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ppt" ContentType="application/vnd.ms-powerpoint"/>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520" w:rsidRPr="005C6D2C" w:rsidRDefault="00FD6520" w:rsidP="009E0B64">
      <w:pPr>
        <w:pStyle w:val="Heading2"/>
        <w:spacing w:line="276" w:lineRule="auto"/>
        <w:jc w:val="center"/>
        <w:rPr>
          <w:rFonts w:ascii="Trebuchet MS" w:hAnsi="Trebuchet MS" w:cs="Trebuchet MS"/>
          <w:kern w:val="36"/>
          <w:sz w:val="44"/>
          <w:szCs w:val="40"/>
        </w:rPr>
      </w:pPr>
      <w:r w:rsidRPr="005C6D2C">
        <w:rPr>
          <w:rFonts w:ascii="Trebuchet MS" w:hAnsi="Trebuchet MS" w:cs="Tahoma"/>
          <w:sz w:val="44"/>
          <w:szCs w:val="40"/>
        </w:rPr>
        <w:t xml:space="preserve">The Role of Automated Open Source </w:t>
      </w:r>
      <w:r>
        <w:rPr>
          <w:rFonts w:ascii="Trebuchet MS" w:hAnsi="Trebuchet MS" w:cs="Tahoma"/>
          <w:sz w:val="44"/>
          <w:szCs w:val="40"/>
        </w:rPr>
        <w:t>Systems</w:t>
      </w:r>
      <w:r w:rsidRPr="005C6D2C">
        <w:rPr>
          <w:rFonts w:ascii="Trebuchet MS" w:hAnsi="Trebuchet MS" w:cs="Tahoma"/>
          <w:sz w:val="44"/>
          <w:szCs w:val="40"/>
        </w:rPr>
        <w:t xml:space="preserve"> in </w:t>
      </w:r>
      <w:r>
        <w:rPr>
          <w:rFonts w:ascii="Trebuchet MS" w:hAnsi="Trebuchet MS" w:cs="Tahoma"/>
          <w:sz w:val="44"/>
          <w:szCs w:val="40"/>
        </w:rPr>
        <w:t xml:space="preserve">the </w:t>
      </w:r>
      <w:r w:rsidRPr="005C6D2C">
        <w:rPr>
          <w:rFonts w:ascii="Trebuchet MS" w:hAnsi="Trebuchet MS" w:cs="Tahoma"/>
          <w:sz w:val="44"/>
          <w:szCs w:val="40"/>
        </w:rPr>
        <w:t>Intelligence</w:t>
      </w:r>
      <w:r>
        <w:rPr>
          <w:rFonts w:ascii="Trebuchet MS" w:hAnsi="Trebuchet MS" w:cs="Tahoma"/>
          <w:sz w:val="44"/>
          <w:szCs w:val="40"/>
        </w:rPr>
        <w:t xml:space="preserve"> </w:t>
      </w:r>
      <w:r w:rsidRPr="005C6D2C">
        <w:rPr>
          <w:rFonts w:ascii="Trebuchet MS" w:hAnsi="Trebuchet MS" w:cs="Tahoma"/>
          <w:sz w:val="44"/>
          <w:szCs w:val="40"/>
        </w:rPr>
        <w:t xml:space="preserve">Analysis </w:t>
      </w:r>
      <w:r>
        <w:rPr>
          <w:rFonts w:ascii="Trebuchet MS" w:hAnsi="Trebuchet MS" w:cs="Tahoma"/>
          <w:sz w:val="44"/>
          <w:szCs w:val="40"/>
        </w:rPr>
        <w:t>of</w:t>
      </w:r>
      <w:r w:rsidRPr="005C6D2C">
        <w:rPr>
          <w:rFonts w:ascii="Trebuchet MS" w:hAnsi="Trebuchet MS" w:cs="Tahoma"/>
          <w:sz w:val="44"/>
          <w:szCs w:val="40"/>
        </w:rPr>
        <w:t xml:space="preserve"> a High-Level Domain Expert</w:t>
      </w:r>
    </w:p>
    <w:p w:rsidR="00FD6520" w:rsidRDefault="00FD6520" w:rsidP="00924793">
      <w:pPr>
        <w:pStyle w:val="Heading2"/>
        <w:spacing w:line="276" w:lineRule="auto"/>
        <w:jc w:val="center"/>
        <w:rPr>
          <w:rFonts w:ascii="Trebuchet MS" w:hAnsi="Trebuchet MS" w:cs="Trebuchet MS"/>
          <w:b w:val="0"/>
          <w:i/>
          <w:kern w:val="36"/>
          <w:sz w:val="32"/>
          <w:szCs w:val="24"/>
        </w:rPr>
      </w:pPr>
      <w:r w:rsidRPr="00924793">
        <w:rPr>
          <w:rFonts w:ascii="Trebuchet MS" w:hAnsi="Trebuchet MS" w:cs="Trebuchet MS"/>
          <w:b w:val="0"/>
          <w:i/>
          <w:kern w:val="36"/>
          <w:sz w:val="32"/>
          <w:szCs w:val="24"/>
        </w:rPr>
        <w:t>Timothy Thomas</w:t>
      </w:r>
      <w:r w:rsidR="00924793" w:rsidRPr="00924793">
        <w:rPr>
          <w:rStyle w:val="FootnoteReference"/>
          <w:b w:val="0"/>
          <w:i/>
          <w:kern w:val="36"/>
          <w:sz w:val="32"/>
          <w:szCs w:val="24"/>
        </w:rPr>
        <w:footnoteReference w:id="1"/>
      </w:r>
      <w:r w:rsidRPr="00924793">
        <w:rPr>
          <w:rFonts w:ascii="Trebuchet MS" w:hAnsi="Trebuchet MS" w:cs="Trebuchet MS"/>
          <w:b w:val="0"/>
          <w:i/>
          <w:kern w:val="36"/>
          <w:sz w:val="32"/>
          <w:szCs w:val="24"/>
        </w:rPr>
        <w:t>, Pallavi Damera</w:t>
      </w:r>
      <w:r w:rsidR="00924793" w:rsidRPr="00924793">
        <w:rPr>
          <w:rStyle w:val="FootnoteReference"/>
          <w:b w:val="0"/>
          <w:i/>
          <w:kern w:val="36"/>
          <w:sz w:val="32"/>
          <w:szCs w:val="24"/>
        </w:rPr>
        <w:footnoteReference w:id="2"/>
      </w:r>
      <w:r w:rsidRPr="00924793">
        <w:rPr>
          <w:rFonts w:ascii="Trebuchet MS" w:hAnsi="Trebuchet MS" w:cs="Trebuchet MS"/>
          <w:b w:val="0"/>
          <w:i/>
          <w:kern w:val="36"/>
          <w:sz w:val="32"/>
          <w:szCs w:val="24"/>
        </w:rPr>
        <w:t>, Mark Haselkorn</w:t>
      </w:r>
      <w:r w:rsidR="009E0B64">
        <w:rPr>
          <w:rStyle w:val="FootnoteReference"/>
          <w:b w:val="0"/>
          <w:i/>
          <w:kern w:val="36"/>
          <w:sz w:val="32"/>
          <w:szCs w:val="24"/>
        </w:rPr>
        <w:footnoteReference w:id="3"/>
      </w:r>
    </w:p>
    <w:p w:rsidR="00924793" w:rsidRPr="009E0B64" w:rsidRDefault="00924793" w:rsidP="00924793">
      <w:pPr>
        <w:pStyle w:val="Subtitle"/>
        <w:jc w:val="center"/>
        <w:rPr>
          <w:rStyle w:val="Strong"/>
          <w:i w:val="0"/>
        </w:rPr>
      </w:pPr>
      <w:r w:rsidRPr="009E0B64">
        <w:rPr>
          <w:rStyle w:val="Strong"/>
          <w:i w:val="0"/>
        </w:rPr>
        <w:t>Department of Human Centered Design and Engineering</w:t>
      </w:r>
    </w:p>
    <w:p w:rsidR="00924793" w:rsidRPr="009E0B64" w:rsidRDefault="00924793" w:rsidP="00924793">
      <w:pPr>
        <w:pStyle w:val="Subtitle"/>
        <w:jc w:val="center"/>
        <w:rPr>
          <w:rStyle w:val="Strong"/>
          <w:i w:val="0"/>
        </w:rPr>
      </w:pPr>
      <w:proofErr w:type="spellStart"/>
      <w:r w:rsidRPr="009E0B64">
        <w:rPr>
          <w:rStyle w:val="Strong"/>
          <w:i w:val="0"/>
        </w:rPr>
        <w:t>Sieg</w:t>
      </w:r>
      <w:proofErr w:type="spellEnd"/>
      <w:r w:rsidRPr="009E0B64">
        <w:rPr>
          <w:rStyle w:val="Strong"/>
          <w:i w:val="0"/>
        </w:rPr>
        <w:t xml:space="preserve"> Hall, Box 352315, University of Washington</w:t>
      </w:r>
    </w:p>
    <w:p w:rsidR="00924793" w:rsidRPr="009E0B64" w:rsidRDefault="00924793" w:rsidP="00924793">
      <w:pPr>
        <w:pStyle w:val="Subtitle"/>
        <w:jc w:val="center"/>
        <w:rPr>
          <w:rStyle w:val="Strong"/>
          <w:i w:val="0"/>
        </w:rPr>
      </w:pPr>
      <w:r w:rsidRPr="009E0B64">
        <w:rPr>
          <w:rStyle w:val="Strong"/>
          <w:i w:val="0"/>
        </w:rPr>
        <w:t>Seattle, WA 98185</w:t>
      </w:r>
    </w:p>
    <w:p w:rsidR="00FD6520" w:rsidRDefault="00FD6520" w:rsidP="00EF520D">
      <w:pPr>
        <w:pStyle w:val="Heading2"/>
        <w:spacing w:line="276" w:lineRule="auto"/>
        <w:rPr>
          <w:rFonts w:ascii="Trebuchet MS" w:hAnsi="Trebuchet MS" w:cs="Trebuchet MS"/>
        </w:rPr>
      </w:pPr>
      <w:r>
        <w:rPr>
          <w:rFonts w:ascii="Trebuchet MS" w:hAnsi="Trebuchet MS" w:cs="Trebuchet MS"/>
        </w:rPr>
        <w:t>Abstract</w:t>
      </w:r>
    </w:p>
    <w:p w:rsidR="00FD6520" w:rsidRDefault="00FD6520" w:rsidP="00EF520D">
      <w:pPr>
        <w:spacing w:line="300" w:lineRule="auto"/>
        <w:rPr>
          <w:rFonts w:ascii="Trebuchet MS" w:hAnsi="Trebuchet MS" w:cs="Trebuchet MS"/>
        </w:rPr>
      </w:pPr>
      <w:r>
        <w:rPr>
          <w:rFonts w:ascii="Trebuchet MS" w:hAnsi="Trebuchet MS" w:cs="Trebuchet MS"/>
        </w:rPr>
        <w:t xml:space="preserve">This exploratory case study examines the interactions between a high-level domain expert engaged in political analysis and the output of a semi-automated commercial open-source analytic system. The study used an in-context think-aloud methodology to extract rich information on the analytical strategies used by the expert as he addressed a typical socio-political analytical task. The task involved the political stability of the uranium-mining region of </w:t>
      </w:r>
      <w:smartTag w:uri="urn:schemas-microsoft-com:office:smarttags" w:element="place">
        <w:r>
          <w:rPr>
            <w:rFonts w:ascii="Trebuchet MS" w:hAnsi="Trebuchet MS" w:cs="Trebuchet MS"/>
          </w:rPr>
          <w:t>Northern Niger</w:t>
        </w:r>
      </w:smartTag>
      <w:r>
        <w:rPr>
          <w:rFonts w:ascii="Trebuchet MS" w:hAnsi="Trebuchet MS" w:cs="Trebuchet MS"/>
        </w:rPr>
        <w:t xml:space="preserve"> and included access to relevant processed open source information.  The focus of the research was on the cognitive processes of the analyst, including analytic strategies and information gathering behaviors.  Three main strategic patterns were observed: (1) the population of a pre-existing cognitive model with relevant information; (2) the identification of relationships between model elements; and (3) the application of analytic judgment to these relationships. The findings in this study </w:t>
      </w:r>
      <w:r w:rsidR="0059241C">
        <w:rPr>
          <w:rFonts w:ascii="Trebuchet MS" w:hAnsi="Trebuchet MS" w:cs="Trebuchet MS"/>
        </w:rPr>
        <w:t xml:space="preserve">reveal misalignments between expert analytic processes and the current design of open source systems, but they also </w:t>
      </w:r>
      <w:r>
        <w:rPr>
          <w:rFonts w:ascii="Trebuchet MS" w:hAnsi="Trebuchet MS" w:cs="Trebuchet MS"/>
        </w:rPr>
        <w:t>strongly suggest that</w:t>
      </w:r>
      <w:r w:rsidR="0059241C">
        <w:rPr>
          <w:rFonts w:ascii="Trebuchet MS" w:hAnsi="Trebuchet MS" w:cs="Trebuchet MS"/>
        </w:rPr>
        <w:t>, designed and used appropriately,</w:t>
      </w:r>
      <w:r>
        <w:rPr>
          <w:rFonts w:ascii="Trebuchet MS" w:hAnsi="Trebuchet MS" w:cs="Trebuchet MS"/>
        </w:rPr>
        <w:t xml:space="preserve"> automated open-source </w:t>
      </w:r>
      <w:proofErr w:type="gramStart"/>
      <w:r>
        <w:rPr>
          <w:rFonts w:ascii="Trebuchet MS" w:hAnsi="Trebuchet MS" w:cs="Trebuchet MS"/>
        </w:rPr>
        <w:t>analytic</w:t>
      </w:r>
      <w:proofErr w:type="gramEnd"/>
      <w:r>
        <w:rPr>
          <w:rFonts w:ascii="Trebuchet MS" w:hAnsi="Trebuchet MS" w:cs="Trebuchet MS"/>
        </w:rPr>
        <w:t xml:space="preserve"> systems</w:t>
      </w:r>
      <w:r w:rsidR="0059241C">
        <w:rPr>
          <w:rFonts w:ascii="Trebuchet MS" w:hAnsi="Trebuchet MS" w:cs="Trebuchet MS"/>
        </w:rPr>
        <w:t xml:space="preserve"> </w:t>
      </w:r>
      <w:r>
        <w:rPr>
          <w:rFonts w:ascii="Trebuchet MS" w:hAnsi="Trebuchet MS" w:cs="Trebuchet MS"/>
        </w:rPr>
        <w:t>have a valuable role to play in supporting the cognitive tasks of high-level analysts and in helping ensure that experts consider key lines of inquiry that directly impact analytic conclusions. The findings of this study have application for shaping the co-evolution of intelligence analysis and computerized open-source extraction systems.</w:t>
      </w:r>
    </w:p>
    <w:p w:rsidR="00FD6520" w:rsidRDefault="00FD6520" w:rsidP="00EF520D">
      <w:pPr>
        <w:spacing w:line="276" w:lineRule="auto"/>
        <w:rPr>
          <w:rFonts w:ascii="Trebuchet MS" w:hAnsi="Trebuchet MS" w:cs="Trebuchet MS"/>
        </w:rPr>
      </w:pPr>
    </w:p>
    <w:p w:rsidR="00FD6520" w:rsidRDefault="00FD6520" w:rsidP="00EF520D">
      <w:pPr>
        <w:pStyle w:val="Heading2"/>
        <w:spacing w:line="276" w:lineRule="auto"/>
        <w:rPr>
          <w:rFonts w:ascii="Trebuchet MS" w:hAnsi="Trebuchet MS" w:cs="Trebuchet MS"/>
        </w:rPr>
      </w:pPr>
      <w:r>
        <w:rPr>
          <w:rFonts w:ascii="Trebuchet MS" w:hAnsi="Trebuchet MS" w:cs="Trebuchet MS"/>
        </w:rPr>
        <w:lastRenderedPageBreak/>
        <w:t>Introduction</w:t>
      </w:r>
    </w:p>
    <w:p w:rsidR="00FD6520" w:rsidRDefault="00FD6520" w:rsidP="00EF520D">
      <w:pPr>
        <w:spacing w:line="300" w:lineRule="auto"/>
        <w:rPr>
          <w:rFonts w:ascii="Trebuchet MS" w:hAnsi="Trebuchet MS" w:cs="Trebuchet MS"/>
        </w:rPr>
      </w:pPr>
      <w:r>
        <w:rPr>
          <w:rFonts w:ascii="Trebuchet MS" w:hAnsi="Trebuchet MS" w:cs="Trebuchet MS"/>
        </w:rPr>
        <w:t>High-level expertise in any field is a rare commodity. This expertise is not well understood,</w:t>
      </w:r>
      <w:r w:rsidDel="009D50F4">
        <w:rPr>
          <w:rFonts w:ascii="Trebuchet MS" w:hAnsi="Trebuchet MS" w:cs="Trebuchet MS"/>
        </w:rPr>
        <w:t xml:space="preserve"> </w:t>
      </w:r>
      <w:r>
        <w:rPr>
          <w:rFonts w:ascii="Trebuchet MS" w:hAnsi="Trebuchet MS" w:cs="Trebuchet MS"/>
        </w:rPr>
        <w:t>particularly in a field like intelligence analysis where many consider analysts’ work to be an art (</w:t>
      </w:r>
      <w:smartTag w:uri="urn:schemas-microsoft-com:office:smarttags" w:element="place">
        <w:smartTag w:uri="urn:schemas-microsoft-com:office:smarttags" w:element="City">
          <w:r>
            <w:rPr>
              <w:rFonts w:ascii="Trebuchet MS" w:hAnsi="Trebuchet MS" w:cs="Trebuchet MS"/>
            </w:rPr>
            <w:t>Johnston</w:t>
          </w:r>
        </w:smartTag>
      </w:smartTag>
      <w:r>
        <w:rPr>
          <w:rFonts w:ascii="Trebuchet MS" w:hAnsi="Trebuchet MS" w:cs="Trebuchet MS"/>
        </w:rPr>
        <w:t>, 2005). The emergence of new types of information systems calls for an improved understanding of how experts function so that these systems can be designed to better enhance the expert’s processes.  Furthermore, deeper understanding of an expert’s cognitive processes and analytic strategies could be of significant help in improving the analytic results of novice analysts.</w:t>
      </w:r>
    </w:p>
    <w:p w:rsidR="00FD6520" w:rsidRDefault="00FD6520" w:rsidP="00EF520D">
      <w:pPr>
        <w:spacing w:line="300" w:lineRule="auto"/>
        <w:rPr>
          <w:rFonts w:ascii="Trebuchet MS" w:hAnsi="Trebuchet MS" w:cs="Trebuchet MS"/>
        </w:rPr>
      </w:pPr>
    </w:p>
    <w:p w:rsidR="00FD6520" w:rsidRDefault="00FD6520" w:rsidP="00EF520D">
      <w:pPr>
        <w:spacing w:line="300" w:lineRule="auto"/>
        <w:rPr>
          <w:rFonts w:ascii="Trebuchet MS" w:hAnsi="Trebuchet MS" w:cs="Trebuchet MS"/>
        </w:rPr>
      </w:pPr>
      <w:r>
        <w:rPr>
          <w:rFonts w:ascii="Trebuchet MS" w:hAnsi="Trebuchet MS" w:cs="Trebuchet MS"/>
        </w:rPr>
        <w:t xml:space="preserve">In order to provide insight into the design requirements for evolving open source analytic systems, it is necessary to first understand the expert analysis processes being supported. A literature search failed to uncover previously published research reporting specifically on the analysis processes of intelligence domain experts engaged in high-level, strategic analysis and decision making. Therefore it was necessary to lay the initial groundwork for understanding this important but little explored terrain and to help find promising approaches for further research. We took an exploratory case study approach to help us gain an initial understanding of this rarely explored area. </w:t>
      </w:r>
    </w:p>
    <w:p w:rsidR="00FD6520" w:rsidRDefault="00FD6520" w:rsidP="00EF520D">
      <w:pPr>
        <w:spacing w:line="300" w:lineRule="auto"/>
        <w:rPr>
          <w:rFonts w:ascii="Trebuchet MS" w:hAnsi="Trebuchet MS" w:cs="Trebuchet MS"/>
        </w:rPr>
      </w:pPr>
    </w:p>
    <w:p w:rsidR="00FD6520" w:rsidRPr="00F348C0" w:rsidRDefault="00FD6520" w:rsidP="00EF520D">
      <w:pPr>
        <w:spacing w:line="300" w:lineRule="auto"/>
        <w:rPr>
          <w:rFonts w:ascii="Trebuchet MS" w:hAnsi="Trebuchet MS" w:cs="Trebuchet MS"/>
        </w:rPr>
      </w:pPr>
      <w:r>
        <w:rPr>
          <w:rFonts w:ascii="Trebuchet MS" w:hAnsi="Trebuchet MS" w:cs="Trebuchet MS"/>
        </w:rPr>
        <w:t>One reason this is a little studied area is that there are not many “experts” of this class for any given topic. Fortunately for this type of research, large numbers of subjects are not necessary. In think-aloud protocols for usability, for example, one is far better than none, and “most usability problems are detected with</w:t>
      </w:r>
      <w:r w:rsidR="008C7E5F">
        <w:rPr>
          <w:rFonts w:ascii="Trebuchet MS" w:hAnsi="Trebuchet MS" w:cs="Trebuchet MS"/>
        </w:rPr>
        <w:t xml:space="preserve"> the first</w:t>
      </w:r>
      <w:r>
        <w:rPr>
          <w:rFonts w:ascii="Trebuchet MS" w:hAnsi="Trebuchet MS" w:cs="Trebuchet MS"/>
        </w:rPr>
        <w:t xml:space="preserve"> three to five subjects” with “additional subjects… unlikely to reveal new information” (Turner, </w:t>
      </w:r>
      <w:r w:rsidR="00504E15" w:rsidRPr="00504E15">
        <w:rPr>
          <w:rFonts w:ascii="Trebuchet MS" w:hAnsi="Trebuchet MS" w:cs="Trebuchet MS"/>
        </w:rPr>
        <w:t xml:space="preserve"> </w:t>
      </w:r>
      <w:r w:rsidR="00504E15">
        <w:rPr>
          <w:rFonts w:ascii="Trebuchet MS" w:hAnsi="Trebuchet MS" w:cs="Trebuchet MS"/>
        </w:rPr>
        <w:t xml:space="preserve">Lewis </w:t>
      </w:r>
      <w:r>
        <w:rPr>
          <w:rFonts w:ascii="Trebuchet MS" w:hAnsi="Trebuchet MS" w:cs="Trebuchet MS"/>
        </w:rPr>
        <w:t xml:space="preserve">&amp; </w:t>
      </w:r>
      <w:r w:rsidR="00504E15">
        <w:rPr>
          <w:rFonts w:ascii="Trebuchet MS" w:hAnsi="Trebuchet MS" w:cs="Trebuchet MS"/>
        </w:rPr>
        <w:t>Nielsen, 2006</w:t>
      </w:r>
      <w:r>
        <w:rPr>
          <w:rFonts w:ascii="Trebuchet MS" w:hAnsi="Trebuchet MS" w:cs="Trebuchet MS"/>
        </w:rPr>
        <w:t xml:space="preserve">).Thus understanding how even one high-level domain expert approaches the intelligence analysis task proves immediately beneficial for a number of purposes, including learning how experts fit new information on a current situation into their rich schema of domain knowledge and experience. </w:t>
      </w:r>
    </w:p>
    <w:p w:rsidR="00FD6520" w:rsidRDefault="00FD6520" w:rsidP="00EF520D">
      <w:pPr>
        <w:spacing w:line="300" w:lineRule="auto"/>
        <w:rPr>
          <w:rFonts w:ascii="Trebuchet MS" w:hAnsi="Trebuchet MS" w:cs="Trebuchet MS"/>
        </w:rPr>
      </w:pPr>
    </w:p>
    <w:p w:rsidR="00FD6520" w:rsidRDefault="00FD6520" w:rsidP="00EF520D">
      <w:pPr>
        <w:spacing w:line="300" w:lineRule="auto"/>
        <w:rPr>
          <w:rFonts w:ascii="Trebuchet MS" w:hAnsi="Trebuchet MS" w:cs="Trebuchet MS"/>
        </w:rPr>
      </w:pPr>
      <w:r>
        <w:rPr>
          <w:rFonts w:ascii="Trebuchet MS" w:hAnsi="Trebuchet MS" w:cs="Trebuchet MS"/>
        </w:rPr>
        <w:t xml:space="preserve">Knowledge of expert analytic patterns will enable us to better utilize the services of the few high level domain experts in both traditional intelligence analysis and in the exploitation of the new capabilities of large automated open source systems. Some of the questions in this context are: </w:t>
      </w:r>
    </w:p>
    <w:p w:rsidR="00FD6520" w:rsidRPr="00883E8A" w:rsidDel="00B34F0C" w:rsidRDefault="00FD6520" w:rsidP="008E3F2D">
      <w:pPr>
        <w:pStyle w:val="ListParagraph"/>
        <w:numPr>
          <w:ilvl w:val="0"/>
          <w:numId w:val="3"/>
        </w:numPr>
        <w:spacing w:line="300" w:lineRule="auto"/>
        <w:ind w:left="720"/>
        <w:rPr>
          <w:rFonts w:ascii="Trebuchet MS" w:hAnsi="Trebuchet MS" w:cs="Trebuchet MS"/>
        </w:rPr>
      </w:pPr>
      <w:r>
        <w:rPr>
          <w:rFonts w:ascii="Trebuchet MS" w:hAnsi="Trebuchet MS" w:cs="Trebuchet MS"/>
        </w:rPr>
        <w:t>Can general purpose analysts aided by a</w:t>
      </w:r>
      <w:r w:rsidR="00F17AD1">
        <w:rPr>
          <w:rFonts w:ascii="Trebuchet MS" w:hAnsi="Trebuchet MS" w:cs="Trebuchet MS"/>
        </w:rPr>
        <w:t>n</w:t>
      </w:r>
      <w:r>
        <w:rPr>
          <w:rFonts w:ascii="Trebuchet MS" w:hAnsi="Trebuchet MS" w:cs="Trebuchet MS"/>
        </w:rPr>
        <w:t xml:space="preserve"> open source system perform at </w:t>
      </w:r>
      <w:r w:rsidR="00F17AD1">
        <w:rPr>
          <w:rFonts w:ascii="Trebuchet MS" w:hAnsi="Trebuchet MS" w:cs="Trebuchet MS"/>
        </w:rPr>
        <w:t>a</w:t>
      </w:r>
      <w:r>
        <w:rPr>
          <w:rFonts w:ascii="Trebuchet MS" w:hAnsi="Trebuchet MS" w:cs="Trebuchet MS"/>
        </w:rPr>
        <w:t xml:space="preserve"> level </w:t>
      </w:r>
      <w:r w:rsidR="00F17AD1">
        <w:rPr>
          <w:rFonts w:ascii="Trebuchet MS" w:hAnsi="Trebuchet MS" w:cs="Trebuchet MS"/>
        </w:rPr>
        <w:t xml:space="preserve">similar to </w:t>
      </w:r>
      <w:r>
        <w:rPr>
          <w:rFonts w:ascii="Trebuchet MS" w:hAnsi="Trebuchet MS" w:cs="Trebuchet MS"/>
        </w:rPr>
        <w:t>a domain expert?</w:t>
      </w:r>
      <w:r w:rsidRPr="00883E8A" w:rsidDel="00B34F0C">
        <w:rPr>
          <w:rFonts w:ascii="Trebuchet MS" w:hAnsi="Trebuchet MS" w:cs="Trebuchet MS"/>
        </w:rPr>
        <w:t xml:space="preserve"> </w:t>
      </w:r>
    </w:p>
    <w:p w:rsidR="00FD6520" w:rsidRDefault="00FD6520" w:rsidP="008E3F2D">
      <w:pPr>
        <w:pStyle w:val="ListParagraph"/>
        <w:numPr>
          <w:ilvl w:val="0"/>
          <w:numId w:val="3"/>
        </w:numPr>
        <w:spacing w:line="300" w:lineRule="auto"/>
        <w:ind w:left="720"/>
        <w:rPr>
          <w:rFonts w:ascii="Trebuchet MS" w:hAnsi="Trebuchet MS" w:cs="Trebuchet MS"/>
        </w:rPr>
      </w:pPr>
      <w:r w:rsidRPr="00883E8A">
        <w:rPr>
          <w:rFonts w:ascii="Trebuchet MS" w:hAnsi="Trebuchet MS" w:cs="Trebuchet MS"/>
        </w:rPr>
        <w:lastRenderedPageBreak/>
        <w:t>To what degree can automated systems be used to</w:t>
      </w:r>
      <w:r>
        <w:rPr>
          <w:rFonts w:ascii="Trebuchet MS" w:hAnsi="Trebuchet MS" w:cs="Trebuchet MS"/>
        </w:rPr>
        <w:t>:</w:t>
      </w:r>
      <w:r w:rsidRPr="00883E8A">
        <w:rPr>
          <w:rFonts w:ascii="Trebuchet MS" w:hAnsi="Trebuchet MS" w:cs="Trebuchet MS"/>
        </w:rPr>
        <w:t xml:space="preserve"> </w:t>
      </w:r>
    </w:p>
    <w:p w:rsidR="00FD6520" w:rsidRDefault="00FD6520" w:rsidP="008E3F2D">
      <w:pPr>
        <w:pStyle w:val="ListParagraph"/>
        <w:numPr>
          <w:ilvl w:val="2"/>
          <w:numId w:val="3"/>
        </w:numPr>
        <w:spacing w:line="300" w:lineRule="auto"/>
        <w:ind w:left="1620" w:hanging="450"/>
        <w:rPr>
          <w:rFonts w:ascii="Trebuchet MS" w:hAnsi="Trebuchet MS" w:cs="Trebuchet MS"/>
        </w:rPr>
      </w:pPr>
      <w:proofErr w:type="gramStart"/>
      <w:r w:rsidRPr="00883E8A">
        <w:rPr>
          <w:rFonts w:ascii="Trebuchet MS" w:hAnsi="Trebuchet MS" w:cs="Trebuchet MS"/>
        </w:rPr>
        <w:t>free</w:t>
      </w:r>
      <w:proofErr w:type="gramEnd"/>
      <w:r w:rsidRPr="00883E8A">
        <w:rPr>
          <w:rFonts w:ascii="Trebuchet MS" w:hAnsi="Trebuchet MS" w:cs="Trebuchet MS"/>
        </w:rPr>
        <w:t xml:space="preserve"> up more time for the expert to address difficult abstract high-level analytic problems?</w:t>
      </w:r>
    </w:p>
    <w:p w:rsidR="00FD6520" w:rsidRPr="008E3F2D" w:rsidRDefault="00FD6520" w:rsidP="008E3F2D">
      <w:pPr>
        <w:pStyle w:val="ListParagraph"/>
        <w:numPr>
          <w:ilvl w:val="2"/>
          <w:numId w:val="3"/>
        </w:numPr>
        <w:spacing w:line="300" w:lineRule="auto"/>
        <w:ind w:left="1620" w:hanging="450"/>
        <w:rPr>
          <w:rFonts w:ascii="Trebuchet MS" w:hAnsi="Trebuchet MS" w:cs="Trebuchet MS"/>
        </w:rPr>
      </w:pPr>
      <w:proofErr w:type="gramStart"/>
      <w:r w:rsidRPr="008E3F2D">
        <w:rPr>
          <w:rFonts w:ascii="Trebuchet MS" w:hAnsi="Trebuchet MS" w:cs="Trebuchet MS"/>
        </w:rPr>
        <w:t>extend</w:t>
      </w:r>
      <w:proofErr w:type="gramEnd"/>
      <w:r w:rsidRPr="008E3F2D">
        <w:rPr>
          <w:rFonts w:ascii="Trebuchet MS" w:hAnsi="Trebuchet MS" w:cs="Trebuchet MS"/>
        </w:rPr>
        <w:t xml:space="preserve"> the expert’s analysis into areas and insights they might not have otherwise achieved?</w:t>
      </w:r>
    </w:p>
    <w:p w:rsidR="00FD6520" w:rsidRDefault="00FD6520" w:rsidP="008E3F2D">
      <w:pPr>
        <w:pStyle w:val="ListParagraph"/>
        <w:numPr>
          <w:ilvl w:val="0"/>
          <w:numId w:val="3"/>
        </w:numPr>
        <w:spacing w:line="300" w:lineRule="auto"/>
        <w:ind w:left="720"/>
        <w:rPr>
          <w:rFonts w:ascii="Trebuchet MS" w:hAnsi="Trebuchet MS" w:cs="Trebuchet MS"/>
        </w:rPr>
      </w:pPr>
      <w:r>
        <w:rPr>
          <w:rFonts w:ascii="Trebuchet MS" w:hAnsi="Trebuchet MS" w:cs="Trebuchet MS"/>
        </w:rPr>
        <w:t>Can improved design requirements for automated open-source systems increase the likelihood of achieving these goals</w:t>
      </w:r>
      <w:r w:rsidRPr="00180F98">
        <w:rPr>
          <w:rFonts w:ascii="Trebuchet MS" w:hAnsi="Trebuchet MS" w:cs="Trebuchet MS"/>
        </w:rPr>
        <w:t xml:space="preserve">?  </w:t>
      </w:r>
    </w:p>
    <w:p w:rsidR="00FD6520" w:rsidRDefault="00FD6520" w:rsidP="00EF520D">
      <w:pPr>
        <w:spacing w:line="300" w:lineRule="auto"/>
        <w:rPr>
          <w:rFonts w:ascii="Trebuchet MS" w:hAnsi="Trebuchet MS" w:cs="Trebuchet MS"/>
        </w:rPr>
      </w:pPr>
    </w:p>
    <w:p w:rsidR="00FD6520" w:rsidRDefault="00FD6520" w:rsidP="00EF520D">
      <w:pPr>
        <w:spacing w:line="300" w:lineRule="auto"/>
        <w:rPr>
          <w:rFonts w:ascii="Trebuchet MS" w:hAnsi="Trebuchet MS" w:cs="Trebuchet MS"/>
        </w:rPr>
      </w:pPr>
      <w:r>
        <w:rPr>
          <w:rFonts w:ascii="Trebuchet MS" w:hAnsi="Trebuchet MS" w:cs="Trebuchet MS"/>
        </w:rPr>
        <w:t xml:space="preserve">Understanding the cognitive processes of a high-level expert and observing how he integrates computerized open-source reporting into his analytic processes helps point the way towards answering these and similar questions. </w:t>
      </w:r>
    </w:p>
    <w:p w:rsidR="00FD6520" w:rsidRDefault="00FD6520" w:rsidP="00EF520D">
      <w:pPr>
        <w:spacing w:line="276" w:lineRule="auto"/>
        <w:rPr>
          <w:rFonts w:ascii="Trebuchet MS" w:hAnsi="Trebuchet MS" w:cs="Trebuchet MS"/>
        </w:rPr>
      </w:pPr>
    </w:p>
    <w:p w:rsidR="00FD6520" w:rsidRDefault="00FD6520" w:rsidP="00EF520D">
      <w:pPr>
        <w:pStyle w:val="Heading2"/>
        <w:spacing w:line="276" w:lineRule="auto"/>
        <w:rPr>
          <w:rFonts w:ascii="Trebuchet MS" w:hAnsi="Trebuchet MS" w:cs="Trebuchet MS"/>
        </w:rPr>
      </w:pPr>
      <w:r>
        <w:rPr>
          <w:rFonts w:ascii="Trebuchet MS" w:hAnsi="Trebuchet MS" w:cs="Trebuchet MS"/>
        </w:rPr>
        <w:t xml:space="preserve">Related Research </w:t>
      </w:r>
    </w:p>
    <w:p w:rsidR="00FD6520" w:rsidRPr="00466124" w:rsidRDefault="00FD6520" w:rsidP="00EF520D">
      <w:pPr>
        <w:pStyle w:val="Heading3"/>
        <w:spacing w:before="100" w:beforeAutospacing="1" w:line="276" w:lineRule="auto"/>
        <w:rPr>
          <w:rFonts w:ascii="Trebuchet MS" w:hAnsi="Trebuchet MS" w:cs="Trebuchet MS"/>
          <w:b w:val="0"/>
          <w:sz w:val="24"/>
          <w:szCs w:val="24"/>
        </w:rPr>
      </w:pPr>
      <w:r>
        <w:rPr>
          <w:rFonts w:ascii="Trebuchet MS" w:hAnsi="Trebuchet MS" w:cs="Trebuchet MS"/>
          <w:b w:val="0"/>
          <w:sz w:val="24"/>
          <w:szCs w:val="24"/>
        </w:rPr>
        <w:t>S</w:t>
      </w:r>
      <w:r w:rsidRPr="00807022">
        <w:rPr>
          <w:rFonts w:ascii="Trebuchet MS" w:hAnsi="Trebuchet MS" w:cs="Trebuchet MS"/>
          <w:b w:val="0"/>
          <w:sz w:val="24"/>
          <w:szCs w:val="24"/>
        </w:rPr>
        <w:t>pecific</w:t>
      </w:r>
      <w:r>
        <w:rPr>
          <w:rFonts w:ascii="Trebuchet MS" w:hAnsi="Trebuchet MS" w:cs="Trebuchet MS"/>
          <w:b w:val="0"/>
          <w:sz w:val="24"/>
          <w:szCs w:val="24"/>
        </w:rPr>
        <w:t xml:space="preserve"> previous research on the analytic processes of high-level intelligence analysts engaged in political analysis is not available, however there are considerable bodies of related research that inform this study.</w:t>
      </w:r>
    </w:p>
    <w:p w:rsidR="00FD6520" w:rsidRPr="00EB0936" w:rsidRDefault="00FD6520" w:rsidP="00EF520D">
      <w:pPr>
        <w:pStyle w:val="Heading3"/>
        <w:spacing w:before="100" w:beforeAutospacing="1" w:line="276" w:lineRule="auto"/>
        <w:rPr>
          <w:rFonts w:ascii="Trebuchet MS" w:hAnsi="Trebuchet MS" w:cs="Trebuchet MS"/>
          <w:sz w:val="28"/>
        </w:rPr>
      </w:pPr>
      <w:r w:rsidRPr="00EB0936">
        <w:rPr>
          <w:rFonts w:ascii="Trebuchet MS" w:hAnsi="Trebuchet MS" w:cs="Trebuchet MS"/>
          <w:sz w:val="28"/>
        </w:rPr>
        <w:t>Intelligence Analysis</w:t>
      </w:r>
    </w:p>
    <w:p w:rsidR="00FD6520" w:rsidRDefault="00FD6520" w:rsidP="00EF520D">
      <w:pPr>
        <w:spacing w:line="300" w:lineRule="auto"/>
        <w:rPr>
          <w:rFonts w:ascii="Trebuchet MS" w:hAnsi="Trebuchet MS" w:cs="Trebuchet MS"/>
        </w:rPr>
      </w:pPr>
      <w:r>
        <w:rPr>
          <w:rFonts w:ascii="Trebuchet MS" w:hAnsi="Trebuchet MS" w:cs="Trebuchet MS"/>
        </w:rPr>
        <w:t>The internal processes by which expert political analysts carry out their work have been the subject of relatively few research studies. The studies that have been done tend to focus primarily on the Intelligence Analysts themselves. Rob Johns</w:t>
      </w:r>
      <w:r w:rsidR="005C4619">
        <w:rPr>
          <w:rFonts w:ascii="Trebuchet MS" w:hAnsi="Trebuchet MS" w:cs="Trebuchet MS"/>
        </w:rPr>
        <w:t>t</w:t>
      </w:r>
      <w:r>
        <w:rPr>
          <w:rFonts w:ascii="Trebuchet MS" w:hAnsi="Trebuchet MS" w:cs="Trebuchet MS"/>
        </w:rPr>
        <w:t xml:space="preserve">on’s (2005) in-depth study of the culture of Intelligence Analysts touches on their cognitive processes while focusing primarily on an anthropological view of how the surrounding culture determines and shapes the observable analytic tradecraft. </w:t>
      </w:r>
      <w:proofErr w:type="spellStart"/>
      <w:r>
        <w:rPr>
          <w:rFonts w:ascii="Trebuchet MS" w:hAnsi="Trebuchet MS" w:cs="Trebuchet MS"/>
        </w:rPr>
        <w:t>Heuer’s</w:t>
      </w:r>
      <w:proofErr w:type="spellEnd"/>
      <w:r>
        <w:rPr>
          <w:rFonts w:ascii="Trebuchet MS" w:hAnsi="Trebuchet MS" w:cs="Trebuchet MS"/>
        </w:rPr>
        <w:t xml:space="preserve"> ground-breaking study </w:t>
      </w:r>
      <w:r w:rsidRPr="00883E8A">
        <w:rPr>
          <w:rFonts w:ascii="Trebuchet MS" w:hAnsi="Trebuchet MS" w:cs="Trebuchet MS"/>
          <w:i/>
        </w:rPr>
        <w:t>Psychology of Intelligence Analysis</w:t>
      </w:r>
      <w:r>
        <w:rPr>
          <w:rFonts w:ascii="Trebuchet MS" w:hAnsi="Trebuchet MS" w:cs="Trebuchet MS"/>
        </w:rPr>
        <w:t xml:space="preserve"> (1999) is more directly relevant, but is primarily concerned with the impact of basic psychological processes such as perception, memory, attention span, and reasoning. He focuses on the way in which these fundamental psychological processes limit and shape the possible analytic conclusions.  Katter,</w:t>
      </w:r>
      <w:r w:rsidR="005C4619">
        <w:rPr>
          <w:rFonts w:ascii="Trebuchet MS" w:hAnsi="Trebuchet MS" w:cs="Trebuchet MS"/>
        </w:rPr>
        <w:t xml:space="preserve"> Montgomery and Thompson (1979</w:t>
      </w:r>
      <w:r>
        <w:rPr>
          <w:rFonts w:ascii="Trebuchet MS" w:hAnsi="Trebuchet MS" w:cs="Trebuchet MS"/>
        </w:rPr>
        <w:t xml:space="preserve">) take the view that intelligence analysis is what intelligence analysts do. This perspective focuses on observed behavior rather than internal, not directly observed, cognition. Nonetheless they do provide a very extensive review of the cognitive psychology literature up to that time. They also examine how those findings relate to single source analytic processes, placing memory in the central role in their model of analytic cognition and concluding, at least for problems like signals analysis, that all meaning is constructed </w:t>
      </w:r>
      <w:r>
        <w:rPr>
          <w:rFonts w:ascii="Trebuchet MS" w:hAnsi="Trebuchet MS" w:cs="Trebuchet MS"/>
        </w:rPr>
        <w:lastRenderedPageBreak/>
        <w:t>by a mix of memory a</w:t>
      </w:r>
      <w:r w:rsidR="00FD3211">
        <w:rPr>
          <w:rFonts w:ascii="Trebuchet MS" w:hAnsi="Trebuchet MS" w:cs="Trebuchet MS"/>
        </w:rPr>
        <w:t>nd sensory input. Lefebvre (2004</w:t>
      </w:r>
      <w:r>
        <w:rPr>
          <w:rFonts w:ascii="Trebuchet MS" w:hAnsi="Trebuchet MS" w:cs="Trebuchet MS"/>
        </w:rPr>
        <w:t xml:space="preserve">) advocates a simple two-step model of analytic cognition consisting of pattern recognition followed by trend analysis. The significance of the recognized patterns </w:t>
      </w:r>
      <w:proofErr w:type="gramStart"/>
      <w:r>
        <w:rPr>
          <w:rFonts w:ascii="Trebuchet MS" w:hAnsi="Trebuchet MS" w:cs="Trebuchet MS"/>
        </w:rPr>
        <w:t>are</w:t>
      </w:r>
      <w:proofErr w:type="gramEnd"/>
      <w:r>
        <w:rPr>
          <w:rFonts w:ascii="Trebuchet MS" w:hAnsi="Trebuchet MS" w:cs="Trebuchet MS"/>
        </w:rPr>
        <w:t xml:space="preserve">, however, referred simply to mental models, presumably generated during an analyst’s education and experience. Those researchers whose goals are the design of tools to aid political analysts must necessarily give some consideration to the cognitive activities they are trying to enhance (Elm et al. 2004). However, current tools development tends to focus on structuring the results of cognition, enhancing data gathering capabilities, and facilitating the storage and usage of partial analytic results. They do not attempt to </w:t>
      </w:r>
      <w:r w:rsidR="00F17AD1">
        <w:rPr>
          <w:rFonts w:ascii="Trebuchet MS" w:hAnsi="Trebuchet MS" w:cs="Trebuchet MS"/>
        </w:rPr>
        <w:t xml:space="preserve">integrate with or </w:t>
      </w:r>
      <w:r>
        <w:rPr>
          <w:rFonts w:ascii="Trebuchet MS" w:hAnsi="Trebuchet MS" w:cs="Trebuchet MS"/>
        </w:rPr>
        <w:t xml:space="preserve">directly impact the analyst’s high-level, core cognitive processes. </w:t>
      </w:r>
    </w:p>
    <w:p w:rsidR="00FD6520" w:rsidRPr="00EB0936" w:rsidRDefault="00FD6520" w:rsidP="00EF520D">
      <w:pPr>
        <w:pStyle w:val="Heading3"/>
        <w:spacing w:before="100" w:beforeAutospacing="1" w:line="276" w:lineRule="auto"/>
        <w:rPr>
          <w:rFonts w:ascii="Trebuchet MS" w:hAnsi="Trebuchet MS" w:cs="Trebuchet MS"/>
          <w:sz w:val="28"/>
        </w:rPr>
      </w:pPr>
      <w:r w:rsidRPr="00EB0936">
        <w:rPr>
          <w:rFonts w:ascii="Trebuchet MS" w:hAnsi="Trebuchet MS" w:cs="Trebuchet MS"/>
          <w:sz w:val="28"/>
        </w:rPr>
        <w:t>Expertise Research</w:t>
      </w:r>
    </w:p>
    <w:p w:rsidR="00F17AD1" w:rsidRDefault="00FD6520" w:rsidP="00EF520D">
      <w:pPr>
        <w:spacing w:line="300" w:lineRule="auto"/>
        <w:rPr>
          <w:rFonts w:ascii="Trebuchet MS" w:hAnsi="Trebuchet MS" w:cs="Trebuchet MS"/>
        </w:rPr>
      </w:pPr>
      <w:r>
        <w:rPr>
          <w:rFonts w:ascii="Trebuchet MS" w:hAnsi="Trebuchet MS" w:cs="Trebuchet MS"/>
        </w:rPr>
        <w:t>A large body of potentially relevant research is found in the experimental psychology studies of expertise and expert per</w:t>
      </w:r>
      <w:r w:rsidR="00B5768A">
        <w:rPr>
          <w:rFonts w:ascii="Trebuchet MS" w:hAnsi="Trebuchet MS" w:cs="Trebuchet MS"/>
        </w:rPr>
        <w:t>formance (Ericsson, et al. 2006a</w:t>
      </w:r>
      <w:r>
        <w:rPr>
          <w:rFonts w:ascii="Trebuchet MS" w:hAnsi="Trebuchet MS" w:cs="Trebuchet MS"/>
        </w:rPr>
        <w:t>). Generally the focus in this domain is on those skills where expertise can be clearly defined and measured, such as chess, music, and athletics, rather than those domains where expert performance is more ambiguously defined. Nonetheless, the application of think-</w:t>
      </w:r>
      <w:r w:rsidR="00453590">
        <w:rPr>
          <w:rFonts w:ascii="Trebuchet MS" w:hAnsi="Trebuchet MS" w:cs="Trebuchet MS"/>
        </w:rPr>
        <w:t>aloud protocols (Ericsson, 2006b</w:t>
      </w:r>
      <w:r>
        <w:rPr>
          <w:rFonts w:ascii="Trebuchet MS" w:hAnsi="Trebuchet MS" w:cs="Trebuchet MS"/>
        </w:rPr>
        <w:t xml:space="preserve">) has shown that the cognitive structures of experts are more elaborate and populated by richer representations than that of non-experts. However, the domain of expertise </w:t>
      </w:r>
      <w:r w:rsidRPr="00EB0936">
        <w:rPr>
          <w:rFonts w:ascii="Trebuchet MS" w:hAnsi="Trebuchet MS" w:cs="Trebuchet MS"/>
        </w:rPr>
        <w:t>does</w:t>
      </w:r>
      <w:r>
        <w:rPr>
          <w:rFonts w:ascii="Trebuchet MS" w:hAnsi="Trebuchet MS" w:cs="Trebuchet MS"/>
        </w:rPr>
        <w:t xml:space="preserve"> make a substantial difference. The mental models of expert medical diagnosticians (</w:t>
      </w:r>
      <w:smartTag w:uri="urn:schemas-microsoft-com:office:smarttags" w:element="place">
        <w:smartTag w:uri="urn:schemas-microsoft-com:office:smarttags" w:element="City">
          <w:r>
            <w:rPr>
              <w:rFonts w:ascii="Trebuchet MS" w:hAnsi="Trebuchet MS" w:cs="Trebuchet MS"/>
            </w:rPr>
            <w:t>Norman</w:t>
          </w:r>
        </w:smartTag>
      </w:smartTag>
      <w:r>
        <w:rPr>
          <w:rFonts w:ascii="Trebuchet MS" w:hAnsi="Trebuchet MS" w:cs="Trebuchet MS"/>
        </w:rPr>
        <w:t>, et al. 2006) have essentially no overlap with that of Historians (Voss and Wiley, 2006) or Chess players (</w:t>
      </w:r>
      <w:proofErr w:type="spellStart"/>
      <w:r>
        <w:rPr>
          <w:rFonts w:ascii="Trebuchet MS" w:hAnsi="Trebuchet MS" w:cs="Trebuchet MS"/>
        </w:rPr>
        <w:t>Gobet</w:t>
      </w:r>
      <w:proofErr w:type="spellEnd"/>
      <w:r>
        <w:rPr>
          <w:rFonts w:ascii="Trebuchet MS" w:hAnsi="Trebuchet MS" w:cs="Trebuchet MS"/>
        </w:rPr>
        <w:t xml:space="preserve"> and </w:t>
      </w:r>
      <w:proofErr w:type="spellStart"/>
      <w:r>
        <w:rPr>
          <w:rFonts w:ascii="Trebuchet MS" w:hAnsi="Trebuchet MS" w:cs="Trebuchet MS"/>
        </w:rPr>
        <w:t>Charness</w:t>
      </w:r>
      <w:proofErr w:type="spellEnd"/>
      <w:r>
        <w:rPr>
          <w:rFonts w:ascii="Trebuchet MS" w:hAnsi="Trebuchet MS" w:cs="Trebuchet MS"/>
        </w:rPr>
        <w:t xml:space="preserve">, 2006). </w:t>
      </w:r>
      <w:r w:rsidR="00F17AD1">
        <w:rPr>
          <w:rFonts w:ascii="Trebuchet MS" w:hAnsi="Trebuchet MS" w:cs="Trebuchet MS"/>
        </w:rPr>
        <w:t>This motivates the need to specifically study expert intelligence analysts.</w:t>
      </w:r>
    </w:p>
    <w:p w:rsidR="00F17AD1" w:rsidRDefault="00F17AD1" w:rsidP="00EF520D">
      <w:pPr>
        <w:spacing w:line="300" w:lineRule="auto"/>
        <w:rPr>
          <w:rFonts w:ascii="Trebuchet MS" w:hAnsi="Trebuchet MS" w:cs="Trebuchet MS"/>
        </w:rPr>
      </w:pPr>
    </w:p>
    <w:p w:rsidR="00FD6520" w:rsidRDefault="00FD6520" w:rsidP="00EF520D">
      <w:pPr>
        <w:spacing w:line="300" w:lineRule="auto"/>
        <w:rPr>
          <w:rFonts w:ascii="Trebuchet MS" w:hAnsi="Trebuchet MS" w:cs="Trebuchet MS"/>
        </w:rPr>
      </w:pPr>
      <w:r>
        <w:rPr>
          <w:rFonts w:ascii="Trebuchet MS" w:hAnsi="Trebuchet MS" w:cs="Trebuchet MS"/>
        </w:rPr>
        <w:t xml:space="preserve">A line of research focused on how to elicit knowledge from experts, typically in order to inform the programming of expert systems, is not directly relevant to the current work since the focus is on capturing the detailed knowledge or information schemas of the expert, rather than on the cognitive processes. The typical methods used to capture expert knowledge are exhaustive interviews, task analysis or contrived tasks (Hoffman, et al., 1995) -- none of which can reveal an ongoing cognitive process in interaction with new input. We have found no studies within this branch of Psychology directly on the processes of expert political analysts. </w:t>
      </w:r>
    </w:p>
    <w:p w:rsidR="00FD6520" w:rsidRPr="00EB0936" w:rsidRDefault="00FD6520" w:rsidP="00EF520D">
      <w:pPr>
        <w:pStyle w:val="Heading3"/>
        <w:spacing w:before="100" w:beforeAutospacing="1" w:line="276" w:lineRule="auto"/>
        <w:rPr>
          <w:rFonts w:ascii="Trebuchet MS" w:hAnsi="Trebuchet MS" w:cs="Trebuchet MS"/>
          <w:sz w:val="28"/>
        </w:rPr>
      </w:pPr>
      <w:r w:rsidRPr="00EB0936">
        <w:rPr>
          <w:rFonts w:ascii="Trebuchet MS" w:hAnsi="Trebuchet MS" w:cs="Trebuchet MS"/>
          <w:sz w:val="28"/>
        </w:rPr>
        <w:t>Education and Decision Making</w:t>
      </w:r>
    </w:p>
    <w:p w:rsidR="00FD6520" w:rsidRDefault="00FD6520" w:rsidP="00EF520D">
      <w:pPr>
        <w:spacing w:line="300" w:lineRule="auto"/>
        <w:rPr>
          <w:rFonts w:ascii="Trebuchet MS" w:hAnsi="Trebuchet MS" w:cs="Trebuchet MS"/>
        </w:rPr>
      </w:pPr>
      <w:r>
        <w:rPr>
          <w:rFonts w:ascii="Trebuchet MS" w:hAnsi="Trebuchet MS" w:cs="Trebuchet MS"/>
        </w:rPr>
        <w:t xml:space="preserve">Some relevant research is available from the fields of education and decision-making. Bloom (1956) presents </w:t>
      </w:r>
      <w:proofErr w:type="gramStart"/>
      <w:r w:rsidR="00F17AD1">
        <w:rPr>
          <w:rFonts w:ascii="Trebuchet MS" w:hAnsi="Trebuchet MS" w:cs="Trebuchet MS"/>
        </w:rPr>
        <w:t xml:space="preserve">a </w:t>
      </w:r>
      <w:r>
        <w:rPr>
          <w:rFonts w:ascii="Trebuchet MS" w:hAnsi="Trebuchet MS" w:cs="Trebuchet MS"/>
        </w:rPr>
        <w:t>taxonomy</w:t>
      </w:r>
      <w:proofErr w:type="gramEnd"/>
      <w:r>
        <w:rPr>
          <w:rFonts w:ascii="Trebuchet MS" w:hAnsi="Trebuchet MS" w:cs="Trebuchet MS"/>
        </w:rPr>
        <w:t xml:space="preserve"> of levels of cognition useful for assessing </w:t>
      </w:r>
      <w:r>
        <w:rPr>
          <w:rFonts w:ascii="Trebuchet MS" w:hAnsi="Trebuchet MS" w:cs="Trebuchet MS"/>
        </w:rPr>
        <w:lastRenderedPageBreak/>
        <w:t>educational goals. While his ideas have been much revised (</w:t>
      </w:r>
      <w:proofErr w:type="spellStart"/>
      <w:r>
        <w:rPr>
          <w:rFonts w:ascii="Trebuchet MS" w:hAnsi="Trebuchet MS" w:cs="Trebuchet MS"/>
        </w:rPr>
        <w:t>Krathwohl</w:t>
      </w:r>
      <w:proofErr w:type="spellEnd"/>
      <w:r>
        <w:rPr>
          <w:rFonts w:ascii="Trebuchet MS" w:hAnsi="Trebuchet MS" w:cs="Trebuchet MS"/>
        </w:rPr>
        <w:t xml:space="preserve">, 2002) they still provide a solid framework for classifying the cognitive processes an analyst must carry out as they work. The taxonomy begins with Remembering, goes through Understanding, Analyzing, Applying, and Evaluating to arrive at Creation. Interestingly, Bloom begins his taxonomy where Katter, et al. leave off, and is therefore a useful perspective for looking at the cognitive aspects of high-level all-source political analysis. Higher cognitive processes are also </w:t>
      </w:r>
      <w:proofErr w:type="gramStart"/>
      <w:r>
        <w:rPr>
          <w:rFonts w:ascii="Trebuchet MS" w:hAnsi="Trebuchet MS" w:cs="Trebuchet MS"/>
        </w:rPr>
        <w:t>key</w:t>
      </w:r>
      <w:proofErr w:type="gramEnd"/>
      <w:r>
        <w:rPr>
          <w:rFonts w:ascii="Trebuchet MS" w:hAnsi="Trebuchet MS" w:cs="Trebuchet MS"/>
        </w:rPr>
        <w:t xml:space="preserve"> to the study of how people make decisions in a complex world. Newell (2008) reviews the cognitive models used to explicate human decision making. He places learning in the central position, arguing that past experience as recorded in memory is the foundation of a learning process that enables experts to efficiently reach effective decisions, even in complex and uncertain environments.  Flowers and Hayes (1982) studied the cognitive processes involved in the process of writing. They capture the activity through think-aloud protocol and develop themes to build a model of cognitive processes that explain</w:t>
      </w:r>
      <w:r w:rsidR="00F17AD1">
        <w:rPr>
          <w:rFonts w:ascii="Trebuchet MS" w:hAnsi="Trebuchet MS" w:cs="Trebuchet MS"/>
        </w:rPr>
        <w:t>s</w:t>
      </w:r>
      <w:r>
        <w:rPr>
          <w:rFonts w:ascii="Trebuchet MS" w:hAnsi="Trebuchet MS" w:cs="Trebuchet MS"/>
        </w:rPr>
        <w:t xml:space="preserve"> th</w:t>
      </w:r>
      <w:r w:rsidR="00F17AD1">
        <w:rPr>
          <w:rFonts w:ascii="Trebuchet MS" w:hAnsi="Trebuchet MS" w:cs="Trebuchet MS"/>
        </w:rPr>
        <w:t>is</w:t>
      </w:r>
      <w:r>
        <w:rPr>
          <w:rFonts w:ascii="Trebuchet MS" w:hAnsi="Trebuchet MS" w:cs="Trebuchet MS"/>
        </w:rPr>
        <w:t xml:space="preserve"> </w:t>
      </w:r>
      <w:r w:rsidR="00F17AD1">
        <w:rPr>
          <w:rFonts w:ascii="Trebuchet MS" w:hAnsi="Trebuchet MS" w:cs="Trebuchet MS"/>
        </w:rPr>
        <w:t>complex behavior</w:t>
      </w:r>
      <w:r>
        <w:rPr>
          <w:rFonts w:ascii="Trebuchet MS" w:hAnsi="Trebuchet MS" w:cs="Trebuchet MS"/>
        </w:rPr>
        <w:t xml:space="preserve">. In a more recent study, Atman </w:t>
      </w:r>
      <w:proofErr w:type="gramStart"/>
      <w:r>
        <w:rPr>
          <w:rFonts w:ascii="Trebuchet MS" w:hAnsi="Trebuchet MS" w:cs="Trebuchet MS"/>
        </w:rPr>
        <w:t>et</w:t>
      </w:r>
      <w:proofErr w:type="gramEnd"/>
      <w:r>
        <w:rPr>
          <w:rFonts w:ascii="Trebuchet MS" w:hAnsi="Trebuchet MS" w:cs="Trebuchet MS"/>
        </w:rPr>
        <w:t xml:space="preserve">. al. (2007) </w:t>
      </w:r>
      <w:proofErr w:type="gramStart"/>
      <w:r>
        <w:rPr>
          <w:rFonts w:ascii="Trebuchet MS" w:hAnsi="Trebuchet MS" w:cs="Trebuchet MS"/>
        </w:rPr>
        <w:t>investigate</w:t>
      </w:r>
      <w:proofErr w:type="gramEnd"/>
      <w:r>
        <w:rPr>
          <w:rFonts w:ascii="Trebuchet MS" w:hAnsi="Trebuchet MS" w:cs="Trebuchet MS"/>
        </w:rPr>
        <w:t xml:space="preserve"> the cognitive processes involved in the design process of an expert (professional) versus a novice (students). Atman’s study also uses verbal protocol analysis. Both Flowers</w:t>
      </w:r>
      <w:r w:rsidR="00F17AD1">
        <w:rPr>
          <w:rFonts w:ascii="Trebuchet MS" w:hAnsi="Trebuchet MS" w:cs="Trebuchet MS"/>
        </w:rPr>
        <w:t>’</w:t>
      </w:r>
      <w:r>
        <w:rPr>
          <w:rFonts w:ascii="Trebuchet MS" w:hAnsi="Trebuchet MS" w:cs="Trebuchet MS"/>
        </w:rPr>
        <w:t xml:space="preserve"> and Atman’s studies investigate cognitive processes involved in tasks that are analytical and creative in nature and are thus more similar to the task of interest for this study than more observable physical tasks. </w:t>
      </w:r>
    </w:p>
    <w:p w:rsidR="00FD6520" w:rsidRPr="00EB0936" w:rsidRDefault="00FD6520" w:rsidP="00EF520D">
      <w:pPr>
        <w:pStyle w:val="Heading3"/>
        <w:spacing w:before="100" w:beforeAutospacing="1" w:line="276" w:lineRule="auto"/>
        <w:rPr>
          <w:rFonts w:ascii="Trebuchet MS" w:hAnsi="Trebuchet MS" w:cs="Trebuchet MS"/>
          <w:sz w:val="28"/>
        </w:rPr>
      </w:pPr>
      <w:r w:rsidRPr="00EB0936">
        <w:rPr>
          <w:rFonts w:ascii="Trebuchet MS" w:hAnsi="Trebuchet MS" w:cs="Trebuchet MS"/>
          <w:sz w:val="28"/>
        </w:rPr>
        <w:t>Instability Variables</w:t>
      </w:r>
      <w:r w:rsidRPr="00EB0936">
        <w:rPr>
          <w:rFonts w:ascii="Trebuchet MS" w:hAnsi="Trebuchet MS" w:cs="Trebuchet MS"/>
          <w:sz w:val="28"/>
        </w:rPr>
        <w:tab/>
      </w:r>
    </w:p>
    <w:p w:rsidR="00FD6520" w:rsidRDefault="00FD6520" w:rsidP="00EF520D">
      <w:pPr>
        <w:spacing w:line="300" w:lineRule="auto"/>
        <w:rPr>
          <w:rFonts w:ascii="Trebuchet MS" w:hAnsi="Trebuchet MS" w:cs="Trebuchet MS"/>
        </w:rPr>
      </w:pPr>
      <w:r>
        <w:rPr>
          <w:rFonts w:ascii="Trebuchet MS" w:hAnsi="Trebuchet MS" w:cs="Trebuchet MS"/>
        </w:rPr>
        <w:t xml:space="preserve">There is a large body of research aimed at understanding the variables that may be related to socio-political instability.  Much of the automated processing of open source collections is aimed at </w:t>
      </w:r>
      <w:r w:rsidR="00F17AD1">
        <w:rPr>
          <w:rFonts w:ascii="Trebuchet MS" w:hAnsi="Trebuchet MS" w:cs="Trebuchet MS"/>
        </w:rPr>
        <w:t>applying</w:t>
      </w:r>
      <w:r>
        <w:rPr>
          <w:rFonts w:ascii="Trebuchet MS" w:hAnsi="Trebuchet MS" w:cs="Trebuchet MS"/>
        </w:rPr>
        <w:t xml:space="preserve"> these variables since they have been shown to be correlated with instability. It seems likely that an expert charged with the task of evaluating the likelihood of future instability would touch upon most if not all of the significant variables revealed in this literature. In order to produce a list of these relevant variables, this paper uses three quantitative systems </w:t>
      </w:r>
      <w:r w:rsidR="00626747">
        <w:rPr>
          <w:rFonts w:ascii="Trebuchet MS" w:hAnsi="Trebuchet MS" w:cs="Trebuchet MS"/>
        </w:rPr>
        <w:t xml:space="preserve">taken from Collier (2004), </w:t>
      </w:r>
      <w:proofErr w:type="spellStart"/>
      <w:r w:rsidR="00626747">
        <w:rPr>
          <w:rFonts w:ascii="Trebuchet MS" w:hAnsi="Trebuchet MS" w:cs="Trebuchet MS"/>
        </w:rPr>
        <w:t>Fearo</w:t>
      </w:r>
      <w:r>
        <w:rPr>
          <w:rFonts w:ascii="Trebuchet MS" w:hAnsi="Trebuchet MS" w:cs="Trebuchet MS"/>
        </w:rPr>
        <w:t>n</w:t>
      </w:r>
      <w:proofErr w:type="spellEnd"/>
      <w:r>
        <w:rPr>
          <w:rFonts w:ascii="Trebuchet MS" w:hAnsi="Trebuchet MS" w:cs="Trebuchet MS"/>
        </w:rPr>
        <w:t xml:space="preserve"> (2003) and the </w:t>
      </w:r>
      <w:r w:rsidRPr="00807022">
        <w:rPr>
          <w:rFonts w:ascii="Trebuchet MS" w:hAnsi="Trebuchet MS" w:cs="Trebuchet MS"/>
          <w:i/>
        </w:rPr>
        <w:t>Failed State Index</w:t>
      </w:r>
      <w:r>
        <w:rPr>
          <w:rFonts w:ascii="Trebuchet MS" w:hAnsi="Trebuchet MS" w:cs="Trebuchet MS"/>
        </w:rPr>
        <w:t xml:space="preserve"> (2009). Each of these studies looks across a large number of cases and attempts to relate specific mathematical combinations of quantitative measures to a variety of instability measures. Collier focuses primarily on civil wars, </w:t>
      </w:r>
      <w:proofErr w:type="spellStart"/>
      <w:r w:rsidR="00626747">
        <w:rPr>
          <w:rFonts w:ascii="Trebuchet MS" w:hAnsi="Trebuchet MS" w:cs="Trebuchet MS"/>
        </w:rPr>
        <w:t>Fearon</w:t>
      </w:r>
      <w:proofErr w:type="spellEnd"/>
      <w:r>
        <w:rPr>
          <w:rFonts w:ascii="Trebuchet MS" w:hAnsi="Trebuchet MS" w:cs="Trebuchet MS"/>
        </w:rPr>
        <w:t xml:space="preserve"> on instability and FSI on state failure. Since these systems are based on quantitative measures they necessarily use available statistical sources as stand-ins for more qualitative variables. For example, they might use years of male schooling as a stand-in for the ability of the state to provide </w:t>
      </w:r>
      <w:r>
        <w:rPr>
          <w:rFonts w:ascii="Trebuchet MS" w:hAnsi="Trebuchet MS" w:cs="Trebuchet MS"/>
        </w:rPr>
        <w:lastRenderedPageBreak/>
        <w:t xml:space="preserve">adequate social services. An expert analyst, not being constrained to numbers, can consider the qualitative aspect of state services directly and in a broader context. </w:t>
      </w:r>
    </w:p>
    <w:p w:rsidR="00FD6520" w:rsidRPr="00EB0936" w:rsidRDefault="00FD6520" w:rsidP="00EF520D">
      <w:pPr>
        <w:pStyle w:val="Heading3"/>
        <w:spacing w:before="100" w:beforeAutospacing="1" w:line="276" w:lineRule="auto"/>
        <w:rPr>
          <w:rFonts w:ascii="Trebuchet MS" w:hAnsi="Trebuchet MS" w:cs="Trebuchet MS"/>
          <w:sz w:val="28"/>
        </w:rPr>
      </w:pPr>
      <w:r w:rsidRPr="00EB0936">
        <w:rPr>
          <w:rFonts w:ascii="Trebuchet MS" w:hAnsi="Trebuchet MS" w:cs="Trebuchet MS"/>
          <w:sz w:val="28"/>
        </w:rPr>
        <w:t>Open Source</w:t>
      </w:r>
    </w:p>
    <w:p w:rsidR="00FD6520" w:rsidRDefault="00FD6520" w:rsidP="00EF520D">
      <w:pPr>
        <w:spacing w:line="300" w:lineRule="auto"/>
        <w:rPr>
          <w:rFonts w:ascii="Trebuchet MS" w:hAnsi="Trebuchet MS" w:cs="Trebuchet MS"/>
        </w:rPr>
      </w:pPr>
      <w:r>
        <w:rPr>
          <w:rFonts w:ascii="Trebuchet MS" w:hAnsi="Trebuchet MS" w:cs="Trebuchet MS"/>
        </w:rPr>
        <w:t xml:space="preserve">Recently, with the revolutionary changes in the Internet media environment, the field of open source collection is undergoing rapid growth and substantial changes. There are now readily available in the vernacular, massive amounts of timely electronic open-source material. This has prompted the development of new computerized tools that collect, mine, and extract valuable information from this continuing stream </w:t>
      </w:r>
      <w:r w:rsidR="004555E3">
        <w:rPr>
          <w:rFonts w:ascii="Trebuchet MS" w:hAnsi="Trebuchet MS" w:cs="Trebuchet MS"/>
        </w:rPr>
        <w:t>(</w:t>
      </w:r>
      <w:proofErr w:type="spellStart"/>
      <w:r w:rsidR="006D646F" w:rsidRPr="006D646F">
        <w:rPr>
          <w:rFonts w:ascii="Trebuchet MS" w:hAnsi="Trebuchet MS" w:cstheme="minorBidi"/>
        </w:rPr>
        <w:t>Veratect</w:t>
      </w:r>
      <w:proofErr w:type="spellEnd"/>
      <w:r w:rsidR="006D646F" w:rsidRPr="006D646F">
        <w:rPr>
          <w:rFonts w:ascii="Trebuchet MS" w:hAnsi="Trebuchet MS" w:cstheme="minorBidi"/>
        </w:rPr>
        <w:t xml:space="preserve">, </w:t>
      </w:r>
      <w:proofErr w:type="spellStart"/>
      <w:r w:rsidR="00CB52D0">
        <w:rPr>
          <w:rFonts w:ascii="Trebuchet MS" w:hAnsi="Trebuchet MS" w:cstheme="minorBidi"/>
        </w:rPr>
        <w:t>Buzzmetrics</w:t>
      </w:r>
      <w:proofErr w:type="spellEnd"/>
      <w:r w:rsidR="00CB52D0">
        <w:rPr>
          <w:rFonts w:ascii="Trebuchet MS" w:hAnsi="Trebuchet MS" w:cstheme="minorBidi"/>
        </w:rPr>
        <w:t xml:space="preserve">, </w:t>
      </w:r>
      <w:proofErr w:type="spellStart"/>
      <w:r w:rsidR="00CB52D0">
        <w:rPr>
          <w:rFonts w:ascii="Trebuchet MS" w:hAnsi="Trebuchet MS" w:cstheme="minorBidi"/>
        </w:rPr>
        <w:t>Cyberalert</w:t>
      </w:r>
      <w:proofErr w:type="spellEnd"/>
      <w:proofErr w:type="gramStart"/>
      <w:r w:rsidR="00CB52D0">
        <w:rPr>
          <w:rFonts w:ascii="Trebuchet MS" w:hAnsi="Trebuchet MS" w:cstheme="minorBidi"/>
        </w:rPr>
        <w:t xml:space="preserve">,  </w:t>
      </w:r>
      <w:r w:rsidR="00602928">
        <w:rPr>
          <w:rFonts w:ascii="Trebuchet MS" w:hAnsi="Trebuchet MS" w:cstheme="minorBidi"/>
        </w:rPr>
        <w:t>Google</w:t>
      </w:r>
      <w:proofErr w:type="gramEnd"/>
      <w:r w:rsidR="00602928">
        <w:rPr>
          <w:rFonts w:ascii="Trebuchet MS" w:hAnsi="Trebuchet MS" w:cstheme="minorBidi"/>
        </w:rPr>
        <w:t xml:space="preserve"> </w:t>
      </w:r>
      <w:r w:rsidR="00357D4E">
        <w:rPr>
          <w:rFonts w:ascii="Trebuchet MS" w:hAnsi="Trebuchet MS" w:cstheme="minorBidi"/>
        </w:rPr>
        <w:t xml:space="preserve">Zeitgeist, </w:t>
      </w:r>
      <w:proofErr w:type="spellStart"/>
      <w:r w:rsidR="00CB52D0">
        <w:rPr>
          <w:rFonts w:ascii="Trebuchet MS" w:hAnsi="Trebuchet MS" w:cstheme="minorBidi"/>
        </w:rPr>
        <w:t>Mark</w:t>
      </w:r>
      <w:r w:rsidR="006D646F" w:rsidRPr="006D646F">
        <w:rPr>
          <w:rFonts w:ascii="Trebuchet MS" w:hAnsi="Trebuchet MS" w:cstheme="minorBidi"/>
        </w:rPr>
        <w:t>Monitor</w:t>
      </w:r>
      <w:proofErr w:type="spellEnd"/>
      <w:r w:rsidR="006D646F" w:rsidRPr="006D646F">
        <w:rPr>
          <w:rFonts w:ascii="Trebuchet MS" w:hAnsi="Trebuchet MS" w:cstheme="minorBidi"/>
        </w:rPr>
        <w:t xml:space="preserve">, </w:t>
      </w:r>
      <w:proofErr w:type="spellStart"/>
      <w:r w:rsidR="006D646F" w:rsidRPr="006D646F">
        <w:rPr>
          <w:rFonts w:ascii="Trebuchet MS" w:hAnsi="Trebuchet MS" w:cstheme="minorBidi"/>
        </w:rPr>
        <w:t>eBeagle</w:t>
      </w:r>
      <w:proofErr w:type="spellEnd"/>
      <w:r w:rsidR="006D646F" w:rsidRPr="006D646F">
        <w:rPr>
          <w:rFonts w:ascii="Trebuchet MS" w:hAnsi="Trebuchet MS" w:cstheme="minorBidi"/>
        </w:rPr>
        <w:t>,  Internet Seer, Agent</w:t>
      </w:r>
      <w:r w:rsidR="006D646F" w:rsidRPr="006D646F">
        <w:rPr>
          <w:rFonts w:ascii="Trebuchet MS" w:hAnsi="Trebuchet MS" w:cstheme="minorBidi"/>
          <w:sz w:val="22"/>
          <w:szCs w:val="22"/>
        </w:rPr>
        <w:t xml:space="preserve"> </w:t>
      </w:r>
      <w:r w:rsidR="006D646F" w:rsidRPr="006D646F">
        <w:rPr>
          <w:rFonts w:ascii="Trebuchet MS" w:hAnsi="Trebuchet MS" w:cstheme="minorBidi"/>
        </w:rPr>
        <w:t>Logic</w:t>
      </w:r>
      <w:r w:rsidR="004555E3">
        <w:rPr>
          <w:rFonts w:ascii="Trebuchet MS" w:hAnsi="Trebuchet MS" w:cs="Trebuchet MS"/>
        </w:rPr>
        <w:t>). What is not clear is what impact these tools will have on the</w:t>
      </w:r>
      <w:r>
        <w:rPr>
          <w:rFonts w:ascii="Trebuchet MS" w:hAnsi="Trebuchet MS" w:cs="Trebuchet MS"/>
        </w:rPr>
        <w:t xml:space="preserve"> cognitive work of senior experienced analysts, nor how they will interact with the analyst’s current techniques and cognitive processes.  It is also not known whether, in the end, these new tools will improve the analytic product. We do know that the all source analyst relies heavily on open source (</w:t>
      </w:r>
      <w:proofErr w:type="spellStart"/>
      <w:r>
        <w:rPr>
          <w:rFonts w:ascii="Trebuchet MS" w:hAnsi="Trebuchet MS" w:cs="Trebuchet MS"/>
        </w:rPr>
        <w:t>Lowenthal</w:t>
      </w:r>
      <w:proofErr w:type="spellEnd"/>
      <w:r>
        <w:rPr>
          <w:rFonts w:ascii="Trebuchet MS" w:hAnsi="Trebuchet MS" w:cs="Trebuchet MS"/>
        </w:rPr>
        <w:t>, 2000). We do not know how new capabilities to collect massive amounts of open source information affect the analytic processes – after all, the ability to push massive amounts of data into the mental work space of an expert may not be an unalloyed good.  It is the need to begin to explore questions like these that primarily motivates the present study.</w:t>
      </w:r>
    </w:p>
    <w:p w:rsidR="00FD6520" w:rsidRDefault="00FD6520" w:rsidP="00EF520D">
      <w:pPr>
        <w:pStyle w:val="Heading2"/>
        <w:spacing w:line="276" w:lineRule="auto"/>
        <w:rPr>
          <w:rFonts w:ascii="Trebuchet MS" w:hAnsi="Trebuchet MS" w:cs="Trebuchet MS"/>
        </w:rPr>
      </w:pPr>
      <w:r>
        <w:rPr>
          <w:rFonts w:ascii="Trebuchet MS" w:hAnsi="Trebuchet MS" w:cs="Trebuchet MS"/>
        </w:rPr>
        <w:t>Methodology</w:t>
      </w:r>
    </w:p>
    <w:p w:rsidR="00FD6520" w:rsidRDefault="00FD6520" w:rsidP="00EF520D">
      <w:pPr>
        <w:spacing w:line="300" w:lineRule="auto"/>
        <w:rPr>
          <w:rFonts w:ascii="Trebuchet MS" w:hAnsi="Trebuchet MS" w:cs="Trebuchet MS"/>
        </w:rPr>
      </w:pPr>
      <w:r>
        <w:rPr>
          <w:rFonts w:ascii="Trebuchet MS" w:hAnsi="Trebuchet MS" w:cs="Trebuchet MS"/>
        </w:rPr>
        <w:t>Our methodology followed precepts of Grounded Theory (Becker, 1993) and case study research which are used to explore qualitative problems which are little understood, but can be observed in selected data. The basic idea in grounded theory is to ground the research in direct observation, take a phenomenological perspective, and try to iteratively evolve a theoretical framework which can encompass the findings. This framework is then expected to generate hypotheses to guide additional observation. As discussed earlier, we chose a case study approach to address a narrow slice (i.e. single subject’s representation) of the larger phenomenon of interest that is intended to help in initial discovery and framing of hypotheses for further research (</w:t>
      </w:r>
      <w:proofErr w:type="spellStart"/>
      <w:r>
        <w:rPr>
          <w:rFonts w:ascii="Trebuchet MS" w:hAnsi="Trebuchet MS" w:cs="Trebuchet MS"/>
        </w:rPr>
        <w:t>MacNealy</w:t>
      </w:r>
      <w:proofErr w:type="spellEnd"/>
      <w:r>
        <w:rPr>
          <w:rFonts w:ascii="Trebuchet MS" w:hAnsi="Trebuchet MS" w:cs="Trebuchet MS"/>
        </w:rPr>
        <w:t xml:space="preserve">, 1997). </w:t>
      </w:r>
    </w:p>
    <w:p w:rsidR="00FD6520" w:rsidRDefault="00FD6520" w:rsidP="00EF520D">
      <w:pPr>
        <w:spacing w:line="300" w:lineRule="auto"/>
        <w:rPr>
          <w:rFonts w:ascii="Trebuchet MS" w:hAnsi="Trebuchet MS" w:cs="Trebuchet MS"/>
        </w:rPr>
      </w:pPr>
    </w:p>
    <w:p w:rsidR="00FD6520" w:rsidRDefault="00FD6520" w:rsidP="00EF520D">
      <w:pPr>
        <w:spacing w:line="300" w:lineRule="auto"/>
        <w:rPr>
          <w:rFonts w:ascii="Trebuchet MS" w:hAnsi="Trebuchet MS" w:cs="Trebuchet MS"/>
        </w:rPr>
      </w:pPr>
      <w:r>
        <w:rPr>
          <w:rFonts w:ascii="Trebuchet MS" w:hAnsi="Trebuchet MS" w:cs="Trebuchet MS"/>
        </w:rPr>
        <w:t>In this study we used a think-aloud protocol, augmented by video and screen capture, to unpack the cognitive and analytic processes of a very high level expert political analyst as he attempts to answer realistic analytic questions concerning the potential instability of the nation of Niger.</w:t>
      </w:r>
    </w:p>
    <w:p w:rsidR="00FD6520" w:rsidRPr="00EB0936" w:rsidRDefault="00FD6520" w:rsidP="00EF520D">
      <w:pPr>
        <w:pStyle w:val="Heading3"/>
        <w:spacing w:before="100" w:beforeAutospacing="1" w:line="276" w:lineRule="auto"/>
        <w:rPr>
          <w:rFonts w:ascii="Trebuchet MS" w:hAnsi="Trebuchet MS" w:cs="Trebuchet MS"/>
          <w:sz w:val="28"/>
        </w:rPr>
      </w:pPr>
      <w:r w:rsidRPr="00EB0936">
        <w:rPr>
          <w:rFonts w:ascii="Trebuchet MS" w:hAnsi="Trebuchet MS" w:cs="Trebuchet MS"/>
          <w:sz w:val="28"/>
        </w:rPr>
        <w:lastRenderedPageBreak/>
        <w:t>Participant</w:t>
      </w:r>
    </w:p>
    <w:p w:rsidR="00FD6520" w:rsidRPr="00EB0936" w:rsidRDefault="00FD6520" w:rsidP="00EF520D">
      <w:pPr>
        <w:spacing w:line="300" w:lineRule="auto"/>
        <w:rPr>
          <w:rFonts w:ascii="Trebuchet MS" w:hAnsi="Trebuchet MS" w:cs="Trebuchet MS"/>
        </w:rPr>
      </w:pPr>
      <w:r>
        <w:rPr>
          <w:rFonts w:ascii="Trebuchet MS" w:hAnsi="Trebuchet MS" w:cs="Trebuchet MS"/>
        </w:rPr>
        <w:t xml:space="preserve">Dr. Daniel </w:t>
      </w:r>
      <w:proofErr w:type="spellStart"/>
      <w:r>
        <w:rPr>
          <w:rFonts w:ascii="Trebuchet MS" w:hAnsi="Trebuchet MS" w:cs="Trebuchet MS"/>
        </w:rPr>
        <w:t>Chirot</w:t>
      </w:r>
      <w:proofErr w:type="spellEnd"/>
      <w:r>
        <w:rPr>
          <w:rFonts w:ascii="Trebuchet MS" w:hAnsi="Trebuchet MS" w:cs="Trebuchet MS"/>
        </w:rPr>
        <w:t xml:space="preserve">, professor of International Studies and Sociology at the Jackson School of International Relations at the University of Washington, was recruited to be the research subject. He has been a student of the African Sahel region for 40 years. He has lived for two years in Niger, has written 10 books of political analysis, and is currently a consultant for CARE in Africa with a portfolio that involves Cote d’Ivoire and Niger.  He has worked as an analyst for USAID and for the United States Institute of Peace -- where he has been a Senior Fellow. His most recent book, </w:t>
      </w:r>
      <w:r w:rsidRPr="00807022">
        <w:rPr>
          <w:rFonts w:ascii="Trebuchet MS" w:hAnsi="Trebuchet MS" w:cs="Trebuchet MS"/>
          <w:i/>
        </w:rPr>
        <w:t>Why Not Kill Them All</w:t>
      </w:r>
      <w:r>
        <w:rPr>
          <w:rFonts w:ascii="Trebuchet MS" w:hAnsi="Trebuchet MS" w:cs="Trebuchet MS"/>
        </w:rPr>
        <w:t xml:space="preserve"> (</w:t>
      </w:r>
      <w:proofErr w:type="spellStart"/>
      <w:r>
        <w:rPr>
          <w:rFonts w:ascii="Trebuchet MS" w:hAnsi="Trebuchet MS" w:cs="Trebuchet MS"/>
        </w:rPr>
        <w:t>Chirot</w:t>
      </w:r>
      <w:proofErr w:type="spellEnd"/>
      <w:r>
        <w:rPr>
          <w:rFonts w:ascii="Trebuchet MS" w:hAnsi="Trebuchet MS" w:cs="Trebuchet MS"/>
        </w:rPr>
        <w:t xml:space="preserve"> and McCauley, 2006), examines in part modern ethnic conflicts in Africa. He has served as expert reviewer for the work of some of the world’s most promine</w:t>
      </w:r>
      <w:r w:rsidR="00626747">
        <w:rPr>
          <w:rFonts w:ascii="Trebuchet MS" w:hAnsi="Trebuchet MS" w:cs="Trebuchet MS"/>
        </w:rPr>
        <w:t>nt analysts</w:t>
      </w:r>
      <w:r>
        <w:rPr>
          <w:rFonts w:ascii="Trebuchet MS" w:hAnsi="Trebuchet MS" w:cs="Trebuchet MS"/>
        </w:rPr>
        <w:t xml:space="preserve">.  In short, Dr. </w:t>
      </w:r>
      <w:proofErr w:type="spellStart"/>
      <w:r>
        <w:rPr>
          <w:rFonts w:ascii="Trebuchet MS" w:hAnsi="Trebuchet MS" w:cs="Trebuchet MS"/>
        </w:rPr>
        <w:t>Chirot</w:t>
      </w:r>
      <w:proofErr w:type="spellEnd"/>
      <w:r>
        <w:rPr>
          <w:rFonts w:ascii="Trebuchet MS" w:hAnsi="Trebuchet MS" w:cs="Trebuchet MS"/>
        </w:rPr>
        <w:t xml:space="preserve"> is one of a handful of serious, genuine expert</w:t>
      </w:r>
      <w:r w:rsidR="00366D87">
        <w:rPr>
          <w:rFonts w:ascii="Trebuchet MS" w:hAnsi="Trebuchet MS" w:cs="Trebuchet MS"/>
        </w:rPr>
        <w:t>s</w:t>
      </w:r>
      <w:r>
        <w:rPr>
          <w:rFonts w:ascii="Trebuchet MS" w:hAnsi="Trebuchet MS" w:cs="Trebuchet MS"/>
        </w:rPr>
        <w:t xml:space="preserve"> </w:t>
      </w:r>
      <w:r w:rsidR="00366D87">
        <w:rPr>
          <w:rFonts w:ascii="Trebuchet MS" w:hAnsi="Trebuchet MS" w:cs="Trebuchet MS"/>
        </w:rPr>
        <w:t>o</w:t>
      </w:r>
      <w:r>
        <w:rPr>
          <w:rFonts w:ascii="Trebuchet MS" w:hAnsi="Trebuchet MS" w:cs="Trebuchet MS"/>
        </w:rPr>
        <w:t xml:space="preserve">n the subject of social unrest in the Sahel. </w:t>
      </w:r>
    </w:p>
    <w:p w:rsidR="00FD6520" w:rsidRPr="00EB0936" w:rsidRDefault="00FD6520" w:rsidP="00EF520D">
      <w:pPr>
        <w:pStyle w:val="Heading3"/>
        <w:spacing w:before="100" w:beforeAutospacing="1" w:line="276" w:lineRule="auto"/>
        <w:rPr>
          <w:rFonts w:ascii="Trebuchet MS" w:hAnsi="Trebuchet MS" w:cs="Trebuchet MS"/>
          <w:sz w:val="28"/>
        </w:rPr>
      </w:pPr>
      <w:r w:rsidRPr="00EB0936">
        <w:rPr>
          <w:rFonts w:ascii="Trebuchet MS" w:hAnsi="Trebuchet MS" w:cs="Trebuchet MS"/>
          <w:sz w:val="28"/>
        </w:rPr>
        <w:t>Instruments</w:t>
      </w:r>
    </w:p>
    <w:p w:rsidR="00FD6520" w:rsidRDefault="00FD6520" w:rsidP="00EF520D">
      <w:pPr>
        <w:spacing w:line="300" w:lineRule="auto"/>
        <w:rPr>
          <w:rFonts w:ascii="Trebuchet MS" w:hAnsi="Trebuchet MS" w:cs="Trebuchet MS"/>
        </w:rPr>
      </w:pPr>
      <w:r>
        <w:rPr>
          <w:rFonts w:ascii="Trebuchet MS" w:hAnsi="Trebuchet MS" w:cs="Trebuchet MS"/>
        </w:rPr>
        <w:t xml:space="preserve">Prior to the session, two commercial semi-automated open-source information products were prepared; one a spread sheet containing brief descriptions of 103 open-source documents that the commercial system deemed to be relevant; and the second, a written White Paper, prepared by an experienced general analyst at the commercial company. The White Paper summarized the major open-source findings and assessed their importance. The participant, who worked in his study (his usual place of work), was asked to use any other information sources he wished. </w:t>
      </w:r>
    </w:p>
    <w:p w:rsidR="00FD6520" w:rsidRPr="00EB0936" w:rsidRDefault="00FD6520" w:rsidP="00EF520D">
      <w:pPr>
        <w:pStyle w:val="Heading3"/>
        <w:spacing w:before="100" w:beforeAutospacing="1" w:line="276" w:lineRule="auto"/>
        <w:rPr>
          <w:rFonts w:ascii="Trebuchet MS" w:hAnsi="Trebuchet MS" w:cs="Trebuchet MS"/>
          <w:sz w:val="28"/>
        </w:rPr>
      </w:pPr>
      <w:r w:rsidRPr="00EB0936">
        <w:rPr>
          <w:rFonts w:ascii="Trebuchet MS" w:hAnsi="Trebuchet MS" w:cs="Trebuchet MS"/>
          <w:sz w:val="28"/>
        </w:rPr>
        <w:t>Tasks</w:t>
      </w:r>
    </w:p>
    <w:p w:rsidR="00FD6520" w:rsidRDefault="00FD6520" w:rsidP="00EF520D">
      <w:pPr>
        <w:spacing w:line="300" w:lineRule="auto"/>
        <w:rPr>
          <w:rFonts w:ascii="Trebuchet MS" w:hAnsi="Trebuchet MS" w:cs="Trebuchet MS"/>
        </w:rPr>
      </w:pPr>
      <w:r>
        <w:rPr>
          <w:rFonts w:ascii="Trebuchet MS" w:hAnsi="Trebuchet MS" w:cs="Trebuchet MS"/>
        </w:rPr>
        <w:t>We began by selecting a challenging political analysis problem from which a set of three specific questions were formed. The participant performed a 2-hour analytic task while thinking aloud. The analytic session was videotaped for post-session analysis by the research team. The challenge used in this study concerned the current socio/political stability of the uranium producing region of northern Niger. This would be the kind of analysis that a mining corporation might be expected to do before making decisions to invest in exploration or in mineral development. Specifically, the task given to the analyst was to answer three rather general, but realistic, questions:</w:t>
      </w:r>
    </w:p>
    <w:p w:rsidR="00FD6520" w:rsidRDefault="00FD6520" w:rsidP="00EF520D">
      <w:pPr>
        <w:pStyle w:val="ListParagraph"/>
        <w:numPr>
          <w:ilvl w:val="0"/>
          <w:numId w:val="1"/>
        </w:numPr>
        <w:spacing w:before="100" w:beforeAutospacing="1" w:after="100" w:afterAutospacing="1" w:line="276" w:lineRule="auto"/>
        <w:rPr>
          <w:rFonts w:ascii="Trebuchet MS" w:hAnsi="Trebuchet MS" w:cs="Trebuchet MS"/>
        </w:rPr>
      </w:pPr>
      <w:r>
        <w:rPr>
          <w:rFonts w:ascii="Trebuchet MS" w:hAnsi="Trebuchet MS" w:cs="Trebuchet MS"/>
        </w:rPr>
        <w:t>Why is the north of Niger where the uranium deposits are found so unstable?</w:t>
      </w:r>
    </w:p>
    <w:p w:rsidR="00FD6520" w:rsidRDefault="00FD6520" w:rsidP="00EF520D">
      <w:pPr>
        <w:pStyle w:val="ListParagraph"/>
        <w:numPr>
          <w:ilvl w:val="0"/>
          <w:numId w:val="1"/>
        </w:numPr>
        <w:spacing w:before="100" w:beforeAutospacing="1" w:after="100" w:afterAutospacing="1" w:line="276" w:lineRule="auto"/>
        <w:rPr>
          <w:rFonts w:ascii="Trebuchet MS" w:hAnsi="Trebuchet MS" w:cs="Trebuchet MS"/>
        </w:rPr>
      </w:pPr>
      <w:r>
        <w:rPr>
          <w:rFonts w:ascii="Trebuchet MS" w:hAnsi="Trebuchet MS" w:cs="Trebuchet MS"/>
        </w:rPr>
        <w:t>What sorts of events would indicate the direction in which the situation is going?</w:t>
      </w:r>
    </w:p>
    <w:p w:rsidR="00FD6520" w:rsidRDefault="00FD6520" w:rsidP="00EF520D">
      <w:pPr>
        <w:pStyle w:val="ListParagraph"/>
        <w:numPr>
          <w:ilvl w:val="0"/>
          <w:numId w:val="1"/>
        </w:numPr>
        <w:spacing w:before="100" w:beforeAutospacing="1" w:after="100" w:afterAutospacing="1" w:line="276" w:lineRule="auto"/>
        <w:rPr>
          <w:rFonts w:ascii="Trebuchet MS" w:hAnsi="Trebuchet MS" w:cs="Trebuchet MS"/>
        </w:rPr>
      </w:pPr>
      <w:r>
        <w:rPr>
          <w:rFonts w:ascii="Trebuchet MS" w:hAnsi="Trebuchet MS" w:cs="Trebuchet MS"/>
        </w:rPr>
        <w:t xml:space="preserve">What are the current chances of the situation getting better, staying the </w:t>
      </w:r>
      <w:proofErr w:type="gramStart"/>
      <w:r>
        <w:rPr>
          <w:rFonts w:ascii="Trebuchet MS" w:hAnsi="Trebuchet MS" w:cs="Trebuchet MS"/>
        </w:rPr>
        <w:t>same,</w:t>
      </w:r>
      <w:proofErr w:type="gramEnd"/>
      <w:r>
        <w:rPr>
          <w:rFonts w:ascii="Trebuchet MS" w:hAnsi="Trebuchet MS" w:cs="Trebuchet MS"/>
        </w:rPr>
        <w:t xml:space="preserve"> or getting worse?</w:t>
      </w:r>
    </w:p>
    <w:p w:rsidR="00FD6520" w:rsidRPr="00EB0936" w:rsidRDefault="00FD6520" w:rsidP="00EF520D">
      <w:pPr>
        <w:spacing w:line="300" w:lineRule="auto"/>
        <w:rPr>
          <w:rFonts w:ascii="Trebuchet MS" w:hAnsi="Trebuchet MS" w:cs="Trebuchet MS"/>
        </w:rPr>
      </w:pPr>
      <w:r>
        <w:rPr>
          <w:rFonts w:ascii="Trebuchet MS" w:hAnsi="Trebuchet MS" w:cs="Trebuchet MS"/>
        </w:rPr>
        <w:lastRenderedPageBreak/>
        <w:t>During the analytic session a Think-Aloud Protocol (Ericsson, 2006a) was used to capture the cognitive analytic process as well as any observable information processing activities. This rigorous methodology elicits verbal reports of thought sequences and produces a valid source of data related to cognitive analytic processes.  The participant was encouraged to “think aloud,” leading to verbal reports of thinking that differ from introspective responses that are elicited separately from the on-going analysis. The protocol session was conducted in the home study of the participant and was recorded by videotape. Conducting the study in context also allowed observation of the participant’s information system and the various visual references in his normal place of work.</w:t>
      </w:r>
      <w:r>
        <w:rPr>
          <w:rStyle w:val="FootnoteReference"/>
        </w:rPr>
        <w:footnoteReference w:id="4"/>
      </w:r>
      <w:r>
        <w:rPr>
          <w:rFonts w:ascii="Trebuchet MS" w:hAnsi="Trebuchet MS" w:cs="Trebuchet MS"/>
        </w:rPr>
        <w:t xml:space="preserve"> Three observers were in the room. One operated the recording equipment and photographed artifacts and tools used by the participant. One intervened occasionally to </w:t>
      </w:r>
      <w:r w:rsidR="00366D87">
        <w:rPr>
          <w:rFonts w:ascii="Trebuchet MS" w:hAnsi="Trebuchet MS" w:cs="Trebuchet MS"/>
        </w:rPr>
        <w:t>e</w:t>
      </w:r>
      <w:r>
        <w:rPr>
          <w:rFonts w:ascii="Trebuchet MS" w:hAnsi="Trebuchet MS" w:cs="Trebuchet MS"/>
        </w:rPr>
        <w:t>nsure that the participant adhered to the requirements of the protocol, and the third took notes on the steps in thinking as the analysis went forward. Care was taken not to shape, bias, or influence the analytic or information gathering processes.</w:t>
      </w:r>
      <w:r w:rsidR="0072451C">
        <w:rPr>
          <w:rStyle w:val="FootnoteReference"/>
        </w:rPr>
        <w:footnoteReference w:id="5"/>
      </w:r>
      <w:r>
        <w:rPr>
          <w:rFonts w:ascii="Trebuchet MS" w:hAnsi="Trebuchet MS" w:cs="Trebuchet MS"/>
        </w:rPr>
        <w:t xml:space="preserve"> </w:t>
      </w:r>
    </w:p>
    <w:p w:rsidR="00FD6520" w:rsidRDefault="00FD6520" w:rsidP="00EF520D">
      <w:pPr>
        <w:spacing w:line="300" w:lineRule="auto"/>
        <w:rPr>
          <w:rFonts w:ascii="Trebuchet MS" w:hAnsi="Trebuchet MS" w:cs="Trebuchet MS"/>
        </w:rPr>
      </w:pPr>
    </w:p>
    <w:p w:rsidR="00FD6520" w:rsidRPr="00EB0936" w:rsidRDefault="00FD6520" w:rsidP="00EF520D">
      <w:pPr>
        <w:spacing w:line="300" w:lineRule="auto"/>
        <w:rPr>
          <w:rFonts w:ascii="Trebuchet MS" w:hAnsi="Trebuchet MS" w:cs="Trebuchet MS"/>
        </w:rPr>
      </w:pPr>
      <w:r>
        <w:rPr>
          <w:rFonts w:ascii="Trebuchet MS" w:hAnsi="Trebuchet MS" w:cs="Trebuchet MS"/>
        </w:rPr>
        <w:t>Before the session began, the participant was given instructions on his role in a think-aloud protocol.  The session began with the first analytical question and the participant receiving two documents from a commercial open-source analysis company, generated by that company’s information collection and analysis system. The commercial system creates intelligence through meticulously analyzing huge amounts of available open source information using specialized summarization tools, native speakers, and human analysts that lightly categorize relevant documents. It has traditionally focused on early indicators and warning in the area of public health, but is being expanded to include indicators of social unrest. The first document was a summarized and categorized list of articles related to Niger and the Uranium region. The second document was a white paper written with the help of the first document by an all-purpose expert analyst at the Company. Thereafter, the research subject addressed the three questions in order utilizing the materials in his office, the two documents provided, as well as Internet searches, note taking, and thinking.</w:t>
      </w:r>
    </w:p>
    <w:p w:rsidR="00FD6520" w:rsidRDefault="00FD6520" w:rsidP="00EF520D">
      <w:pPr>
        <w:pStyle w:val="Heading3"/>
        <w:spacing w:before="100" w:beforeAutospacing="1" w:line="276" w:lineRule="auto"/>
        <w:rPr>
          <w:rFonts w:ascii="Trebuchet MS" w:hAnsi="Trebuchet MS" w:cs="Trebuchet MS"/>
          <w:sz w:val="24"/>
          <w:szCs w:val="24"/>
        </w:rPr>
      </w:pPr>
      <w:r w:rsidRPr="00EB0936">
        <w:rPr>
          <w:rFonts w:ascii="Trebuchet MS" w:hAnsi="Trebuchet MS" w:cs="Trebuchet MS"/>
          <w:sz w:val="28"/>
        </w:rPr>
        <w:lastRenderedPageBreak/>
        <w:t>Analysis</w:t>
      </w:r>
      <w:r>
        <w:rPr>
          <w:rFonts w:ascii="Trebuchet MS" w:hAnsi="Trebuchet MS" w:cs="Trebuchet MS"/>
          <w:sz w:val="28"/>
        </w:rPr>
        <w:t xml:space="preserve"> Methods</w:t>
      </w:r>
    </w:p>
    <w:p w:rsidR="00FD6520" w:rsidRDefault="00FD6520" w:rsidP="00EF520D">
      <w:pPr>
        <w:spacing w:line="300" w:lineRule="auto"/>
        <w:rPr>
          <w:rFonts w:ascii="Trebuchet MS" w:hAnsi="Trebuchet MS" w:cs="Trebuchet MS"/>
        </w:rPr>
      </w:pPr>
      <w:r>
        <w:rPr>
          <w:rFonts w:ascii="Trebuchet MS" w:hAnsi="Trebuchet MS" w:cs="Trebuchet MS"/>
        </w:rPr>
        <w:t>The post session analysis focused on the cognitive processes revealed and on how the open-source information impacted these processes.</w:t>
      </w:r>
    </w:p>
    <w:p w:rsidR="00FD6520" w:rsidRPr="00EB0936" w:rsidRDefault="00FD6520" w:rsidP="00EF520D">
      <w:pPr>
        <w:spacing w:line="300" w:lineRule="auto"/>
        <w:rPr>
          <w:rFonts w:ascii="Trebuchet MS" w:hAnsi="Trebuchet MS" w:cs="Trebuchet MS"/>
        </w:rPr>
      </w:pPr>
    </w:p>
    <w:p w:rsidR="00FD6520" w:rsidRDefault="00FD6520" w:rsidP="00EF520D">
      <w:pPr>
        <w:spacing w:line="300" w:lineRule="auto"/>
        <w:rPr>
          <w:rFonts w:ascii="Trebuchet MS" w:hAnsi="Trebuchet MS" w:cs="Trebuchet MS"/>
        </w:rPr>
      </w:pPr>
      <w:r>
        <w:rPr>
          <w:rFonts w:ascii="Trebuchet MS" w:hAnsi="Trebuchet MS" w:cs="Trebuchet MS"/>
        </w:rPr>
        <w:t xml:space="preserve">After the session, the transcript of the tape was broken into </w:t>
      </w:r>
      <w:r w:rsidRPr="00807022">
        <w:rPr>
          <w:rFonts w:ascii="Trebuchet MS" w:hAnsi="Trebuchet MS" w:cs="Trebuchet MS"/>
          <w:i/>
        </w:rPr>
        <w:t>meaning segments</w:t>
      </w:r>
      <w:r>
        <w:rPr>
          <w:rFonts w:ascii="Trebuchet MS" w:hAnsi="Trebuchet MS" w:cs="Trebuchet MS"/>
        </w:rPr>
        <w:t xml:space="preserve"> and each segment was classified as described below. Meaning segments were produced by breaking the verbal data at (1) the end of a sentence;  (2) a change of subject; or (3) the use of a conjunction such as </w:t>
      </w:r>
      <w:r w:rsidR="00366D87">
        <w:rPr>
          <w:rFonts w:ascii="Trebuchet MS" w:hAnsi="Trebuchet MS" w:cs="Trebuchet MS"/>
        </w:rPr>
        <w:t>“</w:t>
      </w:r>
      <w:r>
        <w:rPr>
          <w:rFonts w:ascii="Trebuchet MS" w:hAnsi="Trebuchet MS" w:cs="Trebuchet MS"/>
        </w:rPr>
        <w:t>and,</w:t>
      </w:r>
      <w:r w:rsidR="00366D87">
        <w:rPr>
          <w:rFonts w:ascii="Trebuchet MS" w:hAnsi="Trebuchet MS" w:cs="Trebuchet MS"/>
        </w:rPr>
        <w:t>”</w:t>
      </w:r>
      <w:r>
        <w:rPr>
          <w:rFonts w:ascii="Trebuchet MS" w:hAnsi="Trebuchet MS" w:cs="Trebuchet MS"/>
        </w:rPr>
        <w:t xml:space="preserve"> </w:t>
      </w:r>
      <w:r w:rsidR="00366D87">
        <w:rPr>
          <w:rFonts w:ascii="Trebuchet MS" w:hAnsi="Trebuchet MS" w:cs="Trebuchet MS"/>
        </w:rPr>
        <w:t>“</w:t>
      </w:r>
      <w:r>
        <w:rPr>
          <w:rFonts w:ascii="Trebuchet MS" w:hAnsi="Trebuchet MS" w:cs="Trebuchet MS"/>
        </w:rPr>
        <w:t>so,</w:t>
      </w:r>
      <w:r w:rsidR="00366D87">
        <w:rPr>
          <w:rFonts w:ascii="Trebuchet MS" w:hAnsi="Trebuchet MS" w:cs="Trebuchet MS"/>
        </w:rPr>
        <w:t>”</w:t>
      </w:r>
      <w:r>
        <w:rPr>
          <w:rFonts w:ascii="Trebuchet MS" w:hAnsi="Trebuchet MS" w:cs="Trebuchet MS"/>
        </w:rPr>
        <w:t xml:space="preserve"> or </w:t>
      </w:r>
      <w:r w:rsidR="00366D87">
        <w:rPr>
          <w:rFonts w:ascii="Trebuchet MS" w:hAnsi="Trebuchet MS" w:cs="Trebuchet MS"/>
        </w:rPr>
        <w:t>“</w:t>
      </w:r>
      <w:r>
        <w:rPr>
          <w:rFonts w:ascii="Trebuchet MS" w:hAnsi="Trebuchet MS" w:cs="Trebuchet MS"/>
        </w:rPr>
        <w:t>but.</w:t>
      </w:r>
      <w:r w:rsidR="00366D87">
        <w:rPr>
          <w:rFonts w:ascii="Trebuchet MS" w:hAnsi="Trebuchet MS" w:cs="Trebuchet MS"/>
        </w:rPr>
        <w:t>”</w:t>
      </w:r>
      <w:r>
        <w:rPr>
          <w:rFonts w:ascii="Trebuchet MS" w:hAnsi="Trebuchet MS" w:cs="Trebuchet MS"/>
        </w:rPr>
        <w:t xml:space="preserve"> After the session, the three observers watched and discussed the video tape with the purpose of identifying repeated patterns of cognitive processes exhibited in the think-aloud protocol. Sections of the tape were reviewed several times and the subject’s behavior was discussed. The observer responsible for recording the session then transcribed the words in the tape and indexed each sequential segment. This produced 1227 segments.</w:t>
      </w:r>
    </w:p>
    <w:p w:rsidR="00FD6520" w:rsidRDefault="00FD6520" w:rsidP="00EF520D">
      <w:pPr>
        <w:spacing w:line="300" w:lineRule="auto"/>
        <w:rPr>
          <w:rFonts w:ascii="Trebuchet MS" w:hAnsi="Trebuchet MS" w:cs="Trebuchet MS"/>
        </w:rPr>
      </w:pPr>
    </w:p>
    <w:p w:rsidR="00FD6520" w:rsidRDefault="00FD6520" w:rsidP="00EF520D">
      <w:pPr>
        <w:spacing w:line="300" w:lineRule="auto"/>
        <w:rPr>
          <w:rFonts w:ascii="Trebuchet MS" w:hAnsi="Trebuchet MS" w:cs="Trebuchet MS"/>
        </w:rPr>
      </w:pPr>
      <w:r>
        <w:rPr>
          <w:rFonts w:ascii="Trebuchet MS" w:hAnsi="Trebuchet MS" w:cs="Trebuchet MS"/>
        </w:rPr>
        <w:t>Nine samples of 10 sequential segments each were taken from the transcript of each of the three tasks and the two coders collaboratively coded these samples, discussing and detailing the coding criteria</w:t>
      </w:r>
      <w:r w:rsidR="005F49DB">
        <w:rPr>
          <w:rFonts w:ascii="Trebuchet MS" w:hAnsi="Trebuchet MS" w:cs="Trebuchet MS"/>
        </w:rPr>
        <w:t xml:space="preserve"> (presented in the following section)</w:t>
      </w:r>
      <w:r>
        <w:rPr>
          <w:rFonts w:ascii="Trebuchet MS" w:hAnsi="Trebuchet MS" w:cs="Trebuchet MS"/>
        </w:rPr>
        <w:t xml:space="preserve"> and refining the definitions of the codes. Both coders then coded the transcript independently and inter-coder compatibility was calculated on Cohen’s k. Since the segments were often very short, coding was context based (i.e. codes were assigned while examining the context in which they appeared). This allowed a fine grained coding that tracked rapid changes in cognitive activities but did not allow each segment to be independently code-able.</w:t>
      </w:r>
    </w:p>
    <w:p w:rsidR="00FD6520" w:rsidRDefault="00FD6520" w:rsidP="00EF520D">
      <w:pPr>
        <w:spacing w:line="300" w:lineRule="auto"/>
        <w:rPr>
          <w:rFonts w:ascii="Trebuchet MS" w:hAnsi="Trebuchet MS" w:cs="Trebuchet MS"/>
        </w:rPr>
      </w:pPr>
    </w:p>
    <w:p w:rsidR="00FD6520" w:rsidRDefault="00FD6520" w:rsidP="00EF520D">
      <w:pPr>
        <w:spacing w:line="300" w:lineRule="auto"/>
        <w:rPr>
          <w:rFonts w:ascii="Trebuchet MS" w:hAnsi="Trebuchet MS" w:cs="Trebuchet MS"/>
        </w:rPr>
      </w:pPr>
      <w:r>
        <w:rPr>
          <w:rFonts w:ascii="Trebuchet MS" w:hAnsi="Trebuchet MS" w:cs="Trebuchet MS"/>
        </w:rPr>
        <w:t>To understand and code the expert’s segments frequently required extensive background in the geography, history, politics, and culture of both the regions under study and, more broadly, the relationships of those factors to global geopolitical events. For example, the subject would refer to a similar situation in Nigeria, or mention the visit of Ambassador Wilson to Niger – using those references as shorthand for explaining what he was thinking. Without knowledge of these references it was difficult for a coder to determine what the subject was expressing</w:t>
      </w:r>
      <w:r w:rsidR="005F49DB">
        <w:rPr>
          <w:rFonts w:ascii="Trebuchet MS" w:hAnsi="Trebuchet MS" w:cs="Trebuchet MS"/>
        </w:rPr>
        <w:t xml:space="preserve"> or the process being described</w:t>
      </w:r>
      <w:r>
        <w:rPr>
          <w:rFonts w:ascii="Trebuchet MS" w:hAnsi="Trebuchet MS" w:cs="Trebuchet MS"/>
        </w:rPr>
        <w:t xml:space="preserve"> in his think-aloud verbalizations. For this reason we used one expert coder, an experienced Intelligence Officer</w:t>
      </w:r>
      <w:r w:rsidR="006D646F" w:rsidRPr="006D646F">
        <w:rPr>
          <w:vertAlign w:val="superscript"/>
        </w:rPr>
        <w:footnoteReference w:id="6"/>
      </w:r>
      <w:r>
        <w:rPr>
          <w:rFonts w:ascii="Trebuchet MS" w:hAnsi="Trebuchet MS" w:cs="Trebuchet MS"/>
        </w:rPr>
        <w:t xml:space="preserve"> with extensive background knowledge of Africa. A second coder with a background in usability studies also coded the </w:t>
      </w:r>
      <w:r>
        <w:rPr>
          <w:rFonts w:ascii="Trebuchet MS" w:hAnsi="Trebuchet MS" w:cs="Trebuchet MS"/>
        </w:rPr>
        <w:lastRenderedPageBreak/>
        <w:t xml:space="preserve">transcript, thus adding a second type of expertise and allowing some estimate of coding reliability. Both the kind of expertise needed to code the think-aloud transcript of a high level expert and the time of the expert analyst himself are rare resources. This combined with a lack of relevant established theories to understand the phenomenon of expert political analysis helps explain the dearth of comparable studies and reinforced using a case study approach in this initial phase of </w:t>
      </w:r>
      <w:r w:rsidR="005F49DB">
        <w:rPr>
          <w:rFonts w:ascii="Trebuchet MS" w:hAnsi="Trebuchet MS" w:cs="Trebuchet MS"/>
        </w:rPr>
        <w:t>research</w:t>
      </w:r>
      <w:r>
        <w:rPr>
          <w:rFonts w:ascii="Trebuchet MS" w:hAnsi="Trebuchet MS" w:cs="Trebuchet MS"/>
        </w:rPr>
        <w:t>.</w:t>
      </w:r>
    </w:p>
    <w:p w:rsidR="00FD6520" w:rsidRPr="00EB0936" w:rsidRDefault="00FD6520" w:rsidP="00EF520D">
      <w:pPr>
        <w:pStyle w:val="Heading3"/>
        <w:spacing w:before="100" w:beforeAutospacing="1" w:line="276" w:lineRule="auto"/>
        <w:rPr>
          <w:rFonts w:ascii="Trebuchet MS" w:hAnsi="Trebuchet MS" w:cs="Trebuchet MS"/>
          <w:sz w:val="28"/>
        </w:rPr>
      </w:pPr>
      <w:r w:rsidRPr="00EB0936">
        <w:rPr>
          <w:rFonts w:ascii="Trebuchet MS" w:hAnsi="Trebuchet MS" w:cs="Trebuchet MS"/>
          <w:sz w:val="28"/>
        </w:rPr>
        <w:t>Classification Coding</w:t>
      </w:r>
    </w:p>
    <w:p w:rsidR="00FD6520" w:rsidRPr="0080358A" w:rsidRDefault="00FD6520" w:rsidP="00EF520D">
      <w:pPr>
        <w:spacing w:line="300" w:lineRule="auto"/>
        <w:rPr>
          <w:rFonts w:ascii="Trebuchet MS" w:hAnsi="Trebuchet MS" w:cs="Trebuchet MS"/>
        </w:rPr>
      </w:pPr>
      <w:r>
        <w:rPr>
          <w:rFonts w:ascii="Trebuchet MS" w:hAnsi="Trebuchet MS" w:cs="Trebuchet MS"/>
        </w:rPr>
        <w:t>Following are the classifications of meaning segments developed and used by the coders.</w:t>
      </w:r>
    </w:p>
    <w:p w:rsidR="00FD6520" w:rsidRDefault="00FD6520" w:rsidP="00EF520D">
      <w:pPr>
        <w:spacing w:line="300" w:lineRule="auto"/>
        <w:rPr>
          <w:rFonts w:ascii="Trebuchet MS" w:hAnsi="Trebuchet MS" w:cs="Trebuchet MS"/>
          <w:b/>
        </w:rPr>
      </w:pPr>
    </w:p>
    <w:p w:rsidR="00FD6520" w:rsidRDefault="00FD6520" w:rsidP="00EF520D">
      <w:pPr>
        <w:spacing w:line="300" w:lineRule="auto"/>
        <w:rPr>
          <w:rFonts w:ascii="Trebuchet MS" w:hAnsi="Trebuchet MS" w:cs="Trebuchet MS"/>
        </w:rPr>
      </w:pPr>
      <w:r w:rsidRPr="004736DC">
        <w:rPr>
          <w:rFonts w:ascii="Trebuchet MS" w:hAnsi="Trebuchet MS" w:cs="Trebuchet MS"/>
          <w:b/>
        </w:rPr>
        <w:t>PEEM</w:t>
      </w:r>
      <w:r>
        <w:rPr>
          <w:rFonts w:ascii="Trebuchet MS" w:hAnsi="Trebuchet MS" w:cs="Trebuchet MS"/>
        </w:rPr>
        <w:t>: Populating Existing Expert Models: This code is used when the subject is filling out an abstract structural model of the situation from remembered concrete facts and objective relationships. It includes naming a model element, adding basic attributes that give the element some characteristic feature, and adding well-accepted and specified relationships between model elements.  Segments coded as PEEM must easily fit into the developing mental model. Attributes of a model element that are value laden or completely abstract with no precise concrete meaning are not PEEM. General statements that are analytic conclusions are not PEEM, even though the expert believes them to be an accurate statement about characteristics of a model element. Examples of PEEM are: “Actually uranium is not that scares a resource” or “there was a trans Saharan trade route.”</w:t>
      </w:r>
    </w:p>
    <w:p w:rsidR="00FD6520" w:rsidRDefault="00FD6520" w:rsidP="00EF520D">
      <w:pPr>
        <w:rPr>
          <w:rFonts w:ascii="Trebuchet MS" w:hAnsi="Trebuchet MS" w:cs="Trebuchet MS"/>
          <w:b/>
          <w:bCs/>
        </w:rPr>
      </w:pPr>
    </w:p>
    <w:p w:rsidR="00FD6520" w:rsidRDefault="00FD6520" w:rsidP="00EF520D">
      <w:pPr>
        <w:spacing w:line="300" w:lineRule="auto"/>
        <w:rPr>
          <w:rFonts w:ascii="Trebuchet MS" w:hAnsi="Trebuchet MS" w:cs="Trebuchet MS"/>
        </w:rPr>
      </w:pPr>
      <w:r>
        <w:rPr>
          <w:rFonts w:ascii="Trebuchet MS" w:hAnsi="Trebuchet MS" w:cs="Trebuchet MS"/>
          <w:b/>
          <w:bCs/>
        </w:rPr>
        <w:t>MMSEI</w:t>
      </w:r>
      <w:r>
        <w:rPr>
          <w:rFonts w:ascii="Trebuchet MS" w:hAnsi="Trebuchet MS" w:cs="Trebuchet MS"/>
        </w:rPr>
        <w:t xml:space="preserve">: Model Modification Stimulated by External Information: This code is applied when the subject receives information from source material that causes him to add model elements, relationships or model attributes --- even if he had that information in memory. The observation that the added elements were directly stimulated by the material he read or consumed makes the segments MMSEI rather than PEEM. Examples are, [While looking at the White Paper] “Niger is the world’s 4th largest producer of Uranium” or [Immediately after looking at Spread Sheet] “The </w:t>
      </w:r>
      <w:proofErr w:type="spellStart"/>
      <w:r>
        <w:rPr>
          <w:rFonts w:ascii="Trebuchet MS" w:hAnsi="Trebuchet MS" w:cs="Trebuchet MS"/>
        </w:rPr>
        <w:t>Tuareg</w:t>
      </w:r>
      <w:proofErr w:type="spellEnd"/>
      <w:r>
        <w:rPr>
          <w:rFonts w:ascii="Trebuchet MS" w:hAnsi="Trebuchet MS" w:cs="Trebuchet MS"/>
        </w:rPr>
        <w:t xml:space="preserve"> movement is more broadly based than just in Niger.”</w:t>
      </w:r>
    </w:p>
    <w:p w:rsidR="00FD6520" w:rsidRDefault="00FD6520" w:rsidP="00EF520D">
      <w:pPr>
        <w:rPr>
          <w:rFonts w:ascii="Trebuchet MS" w:hAnsi="Trebuchet MS" w:cs="Trebuchet MS"/>
        </w:rPr>
      </w:pPr>
    </w:p>
    <w:p w:rsidR="00FD6520" w:rsidRDefault="00FD6520" w:rsidP="00EF520D">
      <w:pPr>
        <w:pStyle w:val="BodyText"/>
        <w:spacing w:line="300" w:lineRule="auto"/>
        <w:rPr>
          <w:rFonts w:ascii="Trebuchet MS" w:hAnsi="Trebuchet MS" w:cs="Trebuchet MS"/>
          <w:sz w:val="24"/>
          <w:szCs w:val="24"/>
        </w:rPr>
      </w:pPr>
      <w:r>
        <w:rPr>
          <w:rFonts w:ascii="Trebuchet MS" w:hAnsi="Trebuchet MS" w:cs="Trebuchet MS"/>
          <w:b/>
          <w:bCs/>
          <w:sz w:val="24"/>
          <w:szCs w:val="24"/>
        </w:rPr>
        <w:t>AJ</w:t>
      </w:r>
      <w:r>
        <w:rPr>
          <w:rFonts w:ascii="Trebuchet MS" w:hAnsi="Trebuchet MS" w:cs="Trebuchet MS"/>
          <w:sz w:val="24"/>
          <w:szCs w:val="24"/>
        </w:rPr>
        <w:t xml:space="preserve">: Analytic Judgment: Here the code signals that the participant is making a value judgment, an analytic conclusion that follows from the model, or a statement of a model attribute that is not certain, extremely abstract, not concrete, or involves the interpretation of the assumed opinion of other people. It includes hypothetical statements that are used to justify analytic conclusions. Examples are: “if they say </w:t>
      </w:r>
      <w:r w:rsidR="005F49DB">
        <w:rPr>
          <w:rFonts w:ascii="Trebuchet MS" w:hAnsi="Trebuchet MS" w:cs="Trebuchet MS"/>
          <w:sz w:val="24"/>
          <w:szCs w:val="24"/>
        </w:rPr>
        <w:lastRenderedPageBreak/>
        <w:t>‘</w:t>
      </w:r>
      <w:r>
        <w:rPr>
          <w:rFonts w:ascii="Trebuchet MS" w:hAnsi="Trebuchet MS" w:cs="Trebuchet MS"/>
          <w:sz w:val="24"/>
          <w:szCs w:val="24"/>
        </w:rPr>
        <w:t xml:space="preserve">Doctors </w:t>
      </w:r>
      <w:proofErr w:type="gramStart"/>
      <w:r>
        <w:rPr>
          <w:rFonts w:ascii="Trebuchet MS" w:hAnsi="Trebuchet MS" w:cs="Trebuchet MS"/>
          <w:sz w:val="24"/>
          <w:szCs w:val="24"/>
        </w:rPr>
        <w:t>Without</w:t>
      </w:r>
      <w:proofErr w:type="gramEnd"/>
      <w:r>
        <w:rPr>
          <w:rFonts w:ascii="Trebuchet MS" w:hAnsi="Trebuchet MS" w:cs="Trebuchet MS"/>
          <w:sz w:val="24"/>
          <w:szCs w:val="24"/>
        </w:rPr>
        <w:t xml:space="preserve"> Borders, you can come back,</w:t>
      </w:r>
      <w:r w:rsidR="005F49DB">
        <w:rPr>
          <w:rFonts w:ascii="Trebuchet MS" w:hAnsi="Trebuchet MS" w:cs="Trebuchet MS"/>
          <w:sz w:val="24"/>
          <w:szCs w:val="24"/>
        </w:rPr>
        <w:t>’ that would be a good sign</w:t>
      </w:r>
      <w:r>
        <w:rPr>
          <w:rFonts w:ascii="Trebuchet MS" w:hAnsi="Trebuchet MS" w:cs="Trebuchet MS"/>
          <w:sz w:val="24"/>
          <w:szCs w:val="24"/>
        </w:rPr>
        <w:t>” or “there would be a conflict anyway, of some sort.”</w:t>
      </w:r>
    </w:p>
    <w:p w:rsidR="00FD6520" w:rsidRDefault="00FD6520" w:rsidP="00EF520D">
      <w:pPr>
        <w:pStyle w:val="BodyText"/>
        <w:spacing w:line="300" w:lineRule="auto"/>
        <w:rPr>
          <w:rFonts w:ascii="Trebuchet MS" w:hAnsi="Trebuchet MS" w:cs="Trebuchet MS"/>
          <w:sz w:val="24"/>
          <w:szCs w:val="24"/>
        </w:rPr>
      </w:pPr>
    </w:p>
    <w:p w:rsidR="00FD6520" w:rsidRDefault="00FD6520" w:rsidP="00EF520D">
      <w:pPr>
        <w:pStyle w:val="BodyText"/>
        <w:spacing w:line="300" w:lineRule="auto"/>
        <w:rPr>
          <w:rFonts w:ascii="Trebuchet MS" w:hAnsi="Trebuchet MS" w:cs="Trebuchet MS"/>
          <w:sz w:val="24"/>
          <w:szCs w:val="24"/>
        </w:rPr>
      </w:pPr>
      <w:r w:rsidRPr="00807022">
        <w:rPr>
          <w:rFonts w:ascii="Trebuchet MS" w:hAnsi="Trebuchet MS" w:cs="Trebuchet MS"/>
          <w:b/>
          <w:sz w:val="24"/>
          <w:szCs w:val="24"/>
        </w:rPr>
        <w:t>ST</w:t>
      </w:r>
      <w:r w:rsidRPr="004736DC">
        <w:rPr>
          <w:rFonts w:ascii="Trebuchet MS" w:hAnsi="Trebuchet MS" w:cs="Trebuchet MS"/>
          <w:sz w:val="24"/>
          <w:szCs w:val="24"/>
        </w:rPr>
        <w:t xml:space="preserve">:  Story Telling is coded from when the subject begins to tell a story </w:t>
      </w:r>
      <w:r w:rsidR="005F49DB">
        <w:rPr>
          <w:rFonts w:ascii="Trebuchet MS" w:hAnsi="Trebuchet MS" w:cs="Trebuchet MS"/>
          <w:sz w:val="24"/>
          <w:szCs w:val="24"/>
        </w:rPr>
        <w:t>during the think aloud</w:t>
      </w:r>
      <w:r w:rsidRPr="004736DC">
        <w:rPr>
          <w:rFonts w:ascii="Trebuchet MS" w:hAnsi="Trebuchet MS" w:cs="Trebuchet MS"/>
          <w:sz w:val="24"/>
          <w:szCs w:val="24"/>
        </w:rPr>
        <w:t xml:space="preserve"> until he signals that the story is finished. </w:t>
      </w:r>
      <w:r w:rsidR="005F49DB">
        <w:rPr>
          <w:rFonts w:ascii="Trebuchet MS" w:hAnsi="Trebuchet MS" w:cs="Trebuchet MS"/>
          <w:sz w:val="24"/>
          <w:szCs w:val="24"/>
        </w:rPr>
        <w:t>Stories</w:t>
      </w:r>
      <w:r w:rsidR="005F49DB" w:rsidRPr="004736DC">
        <w:rPr>
          <w:rFonts w:ascii="Trebuchet MS" w:hAnsi="Trebuchet MS" w:cs="Trebuchet MS"/>
          <w:sz w:val="24"/>
          <w:szCs w:val="24"/>
        </w:rPr>
        <w:t xml:space="preserve"> </w:t>
      </w:r>
      <w:r w:rsidRPr="004736DC">
        <w:rPr>
          <w:rFonts w:ascii="Trebuchet MS" w:hAnsi="Trebuchet MS" w:cs="Trebuchet MS"/>
          <w:sz w:val="24"/>
          <w:szCs w:val="24"/>
        </w:rPr>
        <w:t>begin with some statement like “Once when” and end with something like “Well anyway</w:t>
      </w:r>
      <w:r w:rsidR="005F49DB">
        <w:rPr>
          <w:rFonts w:ascii="Trebuchet MS" w:hAnsi="Trebuchet MS" w:cs="Trebuchet MS"/>
          <w:sz w:val="24"/>
          <w:szCs w:val="24"/>
        </w:rPr>
        <w:t>.</w:t>
      </w:r>
      <w:r w:rsidRPr="004736DC">
        <w:rPr>
          <w:rFonts w:ascii="Trebuchet MS" w:hAnsi="Trebuchet MS" w:cs="Trebuchet MS"/>
          <w:sz w:val="24"/>
          <w:szCs w:val="24"/>
        </w:rPr>
        <w:t xml:space="preserve">” Stories are segments recalled from a memory of a past personal experience or from something he was told in the past. They have a narrative, characters, some kind of dramatic element, and convey meaning indirectly through the events of the story. </w:t>
      </w:r>
      <w:r>
        <w:rPr>
          <w:rFonts w:ascii="Trebuchet MS" w:hAnsi="Trebuchet MS" w:cs="Trebuchet MS"/>
          <w:sz w:val="24"/>
          <w:szCs w:val="24"/>
        </w:rPr>
        <w:t xml:space="preserve">An example is when the subject </w:t>
      </w:r>
      <w:r w:rsidR="005F49DB">
        <w:rPr>
          <w:rFonts w:ascii="Trebuchet MS" w:hAnsi="Trebuchet MS" w:cs="Trebuchet MS"/>
          <w:sz w:val="24"/>
          <w:szCs w:val="24"/>
        </w:rPr>
        <w:t>tells</w:t>
      </w:r>
      <w:r>
        <w:rPr>
          <w:rFonts w:ascii="Trebuchet MS" w:hAnsi="Trebuchet MS" w:cs="Trebuchet MS"/>
          <w:sz w:val="24"/>
          <w:szCs w:val="24"/>
        </w:rPr>
        <w:t xml:space="preserve"> a story of his </w:t>
      </w:r>
      <w:r w:rsidR="005F49DB">
        <w:rPr>
          <w:rFonts w:ascii="Trebuchet MS" w:hAnsi="Trebuchet MS" w:cs="Trebuchet MS"/>
          <w:sz w:val="24"/>
          <w:szCs w:val="24"/>
        </w:rPr>
        <w:t xml:space="preserve">relationship </w:t>
      </w:r>
      <w:r>
        <w:rPr>
          <w:rFonts w:ascii="Trebuchet MS" w:hAnsi="Trebuchet MS" w:cs="Trebuchet MS"/>
          <w:sz w:val="24"/>
          <w:szCs w:val="24"/>
        </w:rPr>
        <w:t xml:space="preserve">with two </w:t>
      </w:r>
      <w:proofErr w:type="spellStart"/>
      <w:r>
        <w:rPr>
          <w:rFonts w:ascii="Trebuchet MS" w:hAnsi="Trebuchet MS" w:cs="Trebuchet MS"/>
          <w:sz w:val="24"/>
          <w:szCs w:val="24"/>
        </w:rPr>
        <w:t>Tuareg</w:t>
      </w:r>
      <w:proofErr w:type="spellEnd"/>
      <w:r>
        <w:rPr>
          <w:rFonts w:ascii="Trebuchet MS" w:hAnsi="Trebuchet MS" w:cs="Trebuchet MS"/>
          <w:sz w:val="24"/>
          <w:szCs w:val="24"/>
        </w:rPr>
        <w:t xml:space="preserve"> youths, one of whom he was surprised to find out was a slave to the other</w:t>
      </w:r>
      <w:r w:rsidRPr="004736DC">
        <w:rPr>
          <w:rFonts w:ascii="Trebuchet MS" w:hAnsi="Trebuchet MS" w:cs="Trebuchet MS"/>
          <w:sz w:val="24"/>
          <w:szCs w:val="24"/>
        </w:rPr>
        <w:t xml:space="preserve">. </w:t>
      </w:r>
    </w:p>
    <w:p w:rsidR="00FD6520" w:rsidRDefault="00FD6520" w:rsidP="00EF520D">
      <w:pPr>
        <w:pStyle w:val="BodyText"/>
        <w:spacing w:line="300" w:lineRule="auto"/>
        <w:rPr>
          <w:rFonts w:ascii="Trebuchet MS" w:hAnsi="Trebuchet MS" w:cs="Trebuchet MS"/>
          <w:sz w:val="24"/>
          <w:szCs w:val="24"/>
        </w:rPr>
      </w:pPr>
    </w:p>
    <w:p w:rsidR="00FD6520" w:rsidRDefault="00FD6520" w:rsidP="00EF520D">
      <w:pPr>
        <w:pStyle w:val="BodyText"/>
        <w:spacing w:line="300" w:lineRule="auto"/>
        <w:rPr>
          <w:rFonts w:ascii="Trebuchet MS" w:hAnsi="Trebuchet MS" w:cs="Trebuchet MS"/>
          <w:sz w:val="24"/>
          <w:szCs w:val="24"/>
        </w:rPr>
      </w:pPr>
      <w:r w:rsidRPr="00807022">
        <w:rPr>
          <w:rFonts w:ascii="Trebuchet MS" w:hAnsi="Trebuchet MS" w:cs="Trebuchet MS"/>
          <w:b/>
          <w:sz w:val="24"/>
          <w:szCs w:val="24"/>
        </w:rPr>
        <w:t>IASB</w:t>
      </w:r>
      <w:r w:rsidRPr="004736DC">
        <w:rPr>
          <w:rFonts w:ascii="Trebuchet MS" w:hAnsi="Trebuchet MS" w:cs="Trebuchet MS"/>
          <w:sz w:val="24"/>
          <w:szCs w:val="24"/>
        </w:rPr>
        <w:t>: Information and Analytic Strategy and Behavior: This is anything that references how the expert gets information, how he processes information, or how he plans to seek more information or how and why he values particular information. It also includes similar statements about how he will analyze the information. Examples are: “I may have to go to the library and get it,” or “what did the president of Niger say recently about this in the last week or two</w:t>
      </w:r>
      <w:r>
        <w:rPr>
          <w:rFonts w:ascii="Trebuchet MS" w:hAnsi="Trebuchet MS" w:cs="Trebuchet MS"/>
          <w:sz w:val="24"/>
          <w:szCs w:val="24"/>
        </w:rPr>
        <w:t>.</w:t>
      </w:r>
      <w:r w:rsidRPr="004736DC">
        <w:rPr>
          <w:rFonts w:ascii="Trebuchet MS" w:hAnsi="Trebuchet MS" w:cs="Trebuchet MS"/>
          <w:sz w:val="24"/>
          <w:szCs w:val="24"/>
        </w:rPr>
        <w:t>”</w:t>
      </w:r>
    </w:p>
    <w:p w:rsidR="00FD6520" w:rsidRPr="004736DC" w:rsidRDefault="00FD6520" w:rsidP="00EF520D">
      <w:pPr>
        <w:pStyle w:val="BodyText"/>
        <w:spacing w:line="300" w:lineRule="auto"/>
        <w:rPr>
          <w:rFonts w:ascii="Trebuchet MS" w:hAnsi="Trebuchet MS" w:cs="Trebuchet MS"/>
          <w:sz w:val="24"/>
          <w:szCs w:val="24"/>
        </w:rPr>
      </w:pPr>
    </w:p>
    <w:p w:rsidR="00FD6520" w:rsidRPr="00EB0936" w:rsidRDefault="00FD6520" w:rsidP="00EF520D">
      <w:pPr>
        <w:pStyle w:val="Heading3"/>
        <w:spacing w:before="100" w:beforeAutospacing="1" w:line="276" w:lineRule="auto"/>
        <w:rPr>
          <w:rFonts w:ascii="Trebuchet MS" w:hAnsi="Trebuchet MS" w:cs="Trebuchet MS"/>
          <w:sz w:val="28"/>
        </w:rPr>
      </w:pPr>
      <w:r w:rsidRPr="00EB0936">
        <w:rPr>
          <w:rFonts w:ascii="Trebuchet MS" w:hAnsi="Trebuchet MS" w:cs="Trebuchet MS"/>
          <w:sz w:val="28"/>
        </w:rPr>
        <w:t>Instability Variables</w:t>
      </w:r>
    </w:p>
    <w:p w:rsidR="006D646F" w:rsidRDefault="00FD6520" w:rsidP="006D646F">
      <w:pPr>
        <w:spacing w:line="300" w:lineRule="auto"/>
        <w:rPr>
          <w:rFonts w:ascii="Trebuchet MS" w:hAnsi="Trebuchet MS" w:cs="Trebuchet MS"/>
        </w:rPr>
      </w:pPr>
      <w:r>
        <w:rPr>
          <w:rFonts w:ascii="Trebuchet MS" w:hAnsi="Trebuchet MS" w:cs="Trebuchet MS"/>
        </w:rPr>
        <w:t>In addition to coding the analysis session using the above classification, we also considered known instability variables in order to determine the degree to which they were used by the expert analyst. We produced a combined list</w:t>
      </w:r>
      <w:r w:rsidR="005F49DB">
        <w:rPr>
          <w:rFonts w:ascii="Trebuchet MS" w:hAnsi="Trebuchet MS" w:cs="Trebuchet MS"/>
        </w:rPr>
        <w:t xml:space="preserve"> (Table 1 below) </w:t>
      </w:r>
      <w:r>
        <w:rPr>
          <w:rFonts w:ascii="Trebuchet MS" w:hAnsi="Trebuchet MS" w:cs="Trebuchet MS"/>
        </w:rPr>
        <w:t>that condenses the variables listed in each of the three reference papers (</w:t>
      </w:r>
      <w:r w:rsidR="005F49DB">
        <w:rPr>
          <w:rFonts w:ascii="Trebuchet MS" w:hAnsi="Trebuchet MS" w:cs="Trebuchet MS"/>
        </w:rPr>
        <w:t>Collier</w:t>
      </w:r>
      <w:r w:rsidR="00161AE4">
        <w:rPr>
          <w:rFonts w:ascii="Trebuchet MS" w:hAnsi="Trebuchet MS" w:cs="Trebuchet MS"/>
        </w:rPr>
        <w:t xml:space="preserve"> 2004</w:t>
      </w:r>
      <w:r w:rsidR="005F49DB">
        <w:rPr>
          <w:rFonts w:ascii="Trebuchet MS" w:hAnsi="Trebuchet MS" w:cs="Trebuchet MS"/>
        </w:rPr>
        <w:t xml:space="preserve">; </w:t>
      </w:r>
      <w:proofErr w:type="spellStart"/>
      <w:r w:rsidR="00626747">
        <w:rPr>
          <w:rFonts w:ascii="Trebuchet MS" w:hAnsi="Trebuchet MS" w:cs="Trebuchet MS"/>
        </w:rPr>
        <w:t>Fearon</w:t>
      </w:r>
      <w:proofErr w:type="spellEnd"/>
      <w:r w:rsidR="00161AE4">
        <w:rPr>
          <w:rFonts w:ascii="Trebuchet MS" w:hAnsi="Trebuchet MS" w:cs="Trebuchet MS"/>
        </w:rPr>
        <w:t xml:space="preserve"> 2003</w:t>
      </w:r>
      <w:r w:rsidR="005F49DB">
        <w:rPr>
          <w:rFonts w:ascii="Trebuchet MS" w:hAnsi="Trebuchet MS" w:cs="Trebuchet MS"/>
        </w:rPr>
        <w:t>; &amp; Failed State Index</w:t>
      </w:r>
      <w:r w:rsidR="00161AE4">
        <w:rPr>
          <w:rFonts w:ascii="Trebuchet MS" w:hAnsi="Trebuchet MS" w:cs="Trebuchet MS"/>
        </w:rPr>
        <w:t xml:space="preserve"> 2009</w:t>
      </w:r>
      <w:r>
        <w:rPr>
          <w:rFonts w:ascii="Trebuchet MS" w:hAnsi="Trebuchet MS" w:cs="Trebuchet MS"/>
        </w:rPr>
        <w:t xml:space="preserve">) into a single combined list of 12 variables. The think-aloud transcript was examined to determine </w:t>
      </w:r>
      <w:r w:rsidR="004C7BF9">
        <w:rPr>
          <w:rFonts w:ascii="Trebuchet MS" w:hAnsi="Trebuchet MS" w:cs="Trebuchet MS"/>
        </w:rPr>
        <w:t xml:space="preserve">if and </w:t>
      </w:r>
      <w:r>
        <w:rPr>
          <w:rFonts w:ascii="Trebuchet MS" w:hAnsi="Trebuchet MS" w:cs="Trebuchet MS"/>
        </w:rPr>
        <w:t>where the participant considered any of these 12 variables. There was no attempt to map each segment of the transcript to a variabl</w:t>
      </w:r>
      <w:r w:rsidR="004C7BF9">
        <w:rPr>
          <w:rFonts w:ascii="Trebuchet MS" w:hAnsi="Trebuchet MS" w:cs="Trebuchet MS"/>
        </w:rPr>
        <w:t>e;</w:t>
      </w:r>
      <w:r>
        <w:rPr>
          <w:rFonts w:ascii="Trebuchet MS" w:hAnsi="Trebuchet MS" w:cs="Trebuchet MS"/>
        </w:rPr>
        <w:t xml:space="preserve"> rather sections of the transcript were annotated to show that issues related to a variable were being considered. </w:t>
      </w:r>
    </w:p>
    <w:p w:rsidR="00FD6520" w:rsidRDefault="00FD6520" w:rsidP="00EF520D">
      <w:pPr>
        <w:spacing w:before="100" w:beforeAutospacing="1" w:line="276" w:lineRule="auto"/>
        <w:rPr>
          <w:rFonts w:ascii="Trebuchet MS" w:hAnsi="Trebuchet MS" w:cs="Trebuchet MS"/>
          <w:bCs/>
        </w:rPr>
      </w:pPr>
      <w:proofErr w:type="gramStart"/>
      <w:r w:rsidRPr="00EC17A0">
        <w:rPr>
          <w:rFonts w:ascii="Trebuchet MS" w:hAnsi="Trebuchet MS" w:cs="Trebuchet MS"/>
        </w:rPr>
        <w:t>Table 1.</w:t>
      </w:r>
      <w:proofErr w:type="gramEnd"/>
      <w:r w:rsidRPr="00EC17A0">
        <w:rPr>
          <w:rFonts w:ascii="Trebuchet MS" w:hAnsi="Trebuchet MS" w:cs="Trebuchet MS"/>
        </w:rPr>
        <w:t xml:space="preserve"> </w:t>
      </w:r>
      <w:r w:rsidRPr="00EC17A0">
        <w:rPr>
          <w:rFonts w:ascii="Trebuchet MS" w:hAnsi="Trebuchet MS" w:cs="Trebuchet MS"/>
          <w:bCs/>
        </w:rPr>
        <w:t>List of Instability Indicators</w:t>
      </w:r>
    </w:p>
    <w:p w:rsidR="00FD6520" w:rsidRPr="004736DC" w:rsidRDefault="00FD6520" w:rsidP="00EF520D">
      <w:pPr>
        <w:numPr>
          <w:ilvl w:val="0"/>
          <w:numId w:val="2"/>
        </w:numPr>
        <w:rPr>
          <w:sz w:val="22"/>
        </w:rPr>
      </w:pPr>
      <w:r w:rsidRPr="004736DC">
        <w:rPr>
          <w:sz w:val="22"/>
        </w:rPr>
        <w:t>Large Population / Demographic Pressure</w:t>
      </w:r>
    </w:p>
    <w:p w:rsidR="00FD6520" w:rsidRPr="004736DC" w:rsidRDefault="00FD6520" w:rsidP="00EF520D">
      <w:pPr>
        <w:numPr>
          <w:ilvl w:val="0"/>
          <w:numId w:val="2"/>
        </w:numPr>
        <w:rPr>
          <w:sz w:val="22"/>
        </w:rPr>
      </w:pPr>
      <w:r w:rsidRPr="004736DC">
        <w:rPr>
          <w:sz w:val="22"/>
        </w:rPr>
        <w:t>Primary Commodity Concentration</w:t>
      </w:r>
    </w:p>
    <w:p w:rsidR="00FD6520" w:rsidRPr="004736DC" w:rsidRDefault="00FD6520" w:rsidP="00EF520D">
      <w:pPr>
        <w:numPr>
          <w:ilvl w:val="0"/>
          <w:numId w:val="2"/>
        </w:numPr>
        <w:rPr>
          <w:sz w:val="22"/>
        </w:rPr>
      </w:pPr>
      <w:r w:rsidRPr="004736DC">
        <w:rPr>
          <w:sz w:val="22"/>
        </w:rPr>
        <w:t>Low GDP per capita / Economic Condition</w:t>
      </w:r>
    </w:p>
    <w:p w:rsidR="00FD6520" w:rsidRPr="004736DC" w:rsidRDefault="00FD6520" w:rsidP="00EF520D">
      <w:pPr>
        <w:numPr>
          <w:ilvl w:val="0"/>
          <w:numId w:val="2"/>
        </w:numPr>
        <w:rPr>
          <w:sz w:val="22"/>
        </w:rPr>
      </w:pPr>
      <w:r w:rsidRPr="004736DC">
        <w:rPr>
          <w:sz w:val="22"/>
        </w:rPr>
        <w:t>External Intervention / Diaspora or Foreign State</w:t>
      </w:r>
    </w:p>
    <w:p w:rsidR="00FD6520" w:rsidRPr="004736DC" w:rsidRDefault="00FD6520" w:rsidP="00EF520D">
      <w:pPr>
        <w:numPr>
          <w:ilvl w:val="0"/>
          <w:numId w:val="2"/>
        </w:numPr>
        <w:rPr>
          <w:sz w:val="22"/>
        </w:rPr>
      </w:pPr>
      <w:r w:rsidRPr="004736DC">
        <w:rPr>
          <w:sz w:val="22"/>
        </w:rPr>
        <w:t>Fractionalization / Ethnic, Religious, or Social</w:t>
      </w:r>
    </w:p>
    <w:p w:rsidR="00FD6520" w:rsidRPr="004736DC" w:rsidRDefault="00FD6520" w:rsidP="00EF520D">
      <w:pPr>
        <w:numPr>
          <w:ilvl w:val="0"/>
          <w:numId w:val="2"/>
        </w:numPr>
        <w:rPr>
          <w:sz w:val="22"/>
        </w:rPr>
      </w:pPr>
      <w:r w:rsidRPr="004736DC">
        <w:rPr>
          <w:sz w:val="22"/>
        </w:rPr>
        <w:t>Geographic Division / Rough Terrain</w:t>
      </w:r>
    </w:p>
    <w:p w:rsidR="00FD6520" w:rsidRPr="004736DC" w:rsidRDefault="00FD6520" w:rsidP="00EF520D">
      <w:pPr>
        <w:numPr>
          <w:ilvl w:val="0"/>
          <w:numId w:val="2"/>
        </w:numPr>
        <w:rPr>
          <w:sz w:val="22"/>
        </w:rPr>
      </w:pPr>
      <w:r w:rsidRPr="004736DC">
        <w:rPr>
          <w:sz w:val="22"/>
        </w:rPr>
        <w:t>Human Rights Violations / Lack of Press Freedom</w:t>
      </w:r>
    </w:p>
    <w:p w:rsidR="00FD6520" w:rsidRPr="004736DC" w:rsidRDefault="00FD6520" w:rsidP="00EF520D">
      <w:pPr>
        <w:numPr>
          <w:ilvl w:val="0"/>
          <w:numId w:val="2"/>
        </w:numPr>
        <w:rPr>
          <w:sz w:val="22"/>
        </w:rPr>
      </w:pPr>
      <w:r w:rsidRPr="004736DC">
        <w:rPr>
          <w:sz w:val="22"/>
        </w:rPr>
        <w:lastRenderedPageBreak/>
        <w:t>Poor State Services / Education, Economic, or Infrastructure</w:t>
      </w:r>
    </w:p>
    <w:p w:rsidR="00FD6520" w:rsidRPr="004736DC" w:rsidRDefault="00FD6520" w:rsidP="00EF520D">
      <w:pPr>
        <w:numPr>
          <w:ilvl w:val="0"/>
          <w:numId w:val="2"/>
        </w:numPr>
        <w:rPr>
          <w:sz w:val="22"/>
        </w:rPr>
      </w:pPr>
      <w:r w:rsidRPr="004736DC">
        <w:rPr>
          <w:sz w:val="22"/>
        </w:rPr>
        <w:t>Weak State Legitimacy / Lack of Democracy</w:t>
      </w:r>
    </w:p>
    <w:p w:rsidR="00FD6520" w:rsidRPr="004736DC" w:rsidRDefault="00FD6520" w:rsidP="00EF520D">
      <w:pPr>
        <w:numPr>
          <w:ilvl w:val="0"/>
          <w:numId w:val="2"/>
        </w:numPr>
        <w:rPr>
          <w:sz w:val="22"/>
        </w:rPr>
      </w:pPr>
      <w:r w:rsidRPr="004736DC">
        <w:rPr>
          <w:sz w:val="22"/>
        </w:rPr>
        <w:t>Uncontrolled Security Services / Police, Army, Intelligence</w:t>
      </w:r>
    </w:p>
    <w:p w:rsidR="00FD6520" w:rsidRPr="004736DC" w:rsidRDefault="00FD6520" w:rsidP="00EF520D">
      <w:pPr>
        <w:numPr>
          <w:ilvl w:val="0"/>
          <w:numId w:val="2"/>
        </w:numPr>
        <w:rPr>
          <w:sz w:val="22"/>
        </w:rPr>
      </w:pPr>
      <w:r w:rsidRPr="004736DC">
        <w:rPr>
          <w:sz w:val="22"/>
        </w:rPr>
        <w:t>Prior War / Insurgency</w:t>
      </w:r>
    </w:p>
    <w:p w:rsidR="00FD6520" w:rsidRPr="004736DC" w:rsidRDefault="00FD6520" w:rsidP="00EF520D">
      <w:pPr>
        <w:numPr>
          <w:ilvl w:val="0"/>
          <w:numId w:val="2"/>
        </w:numPr>
        <w:rPr>
          <w:sz w:val="22"/>
        </w:rPr>
      </w:pPr>
      <w:r w:rsidRPr="004736DC">
        <w:rPr>
          <w:sz w:val="22"/>
        </w:rPr>
        <w:t>Negative Geopolitical Forces / Colonialism, Cold War</w:t>
      </w:r>
    </w:p>
    <w:p w:rsidR="00FD6520" w:rsidRDefault="00FD6520"/>
    <w:p w:rsidR="00FD6520" w:rsidRDefault="00FD6520"/>
    <w:p w:rsidR="00FD6520" w:rsidRPr="00EF520D" w:rsidRDefault="00FD6520" w:rsidP="00EF520D">
      <w:pPr>
        <w:pStyle w:val="Heading1"/>
        <w:rPr>
          <w:rFonts w:ascii="Trebuchet MS" w:hAnsi="Trebuchet MS"/>
          <w:color w:val="auto"/>
          <w:sz w:val="36"/>
          <w:szCs w:val="36"/>
        </w:rPr>
      </w:pPr>
      <w:r w:rsidRPr="00EF520D">
        <w:rPr>
          <w:rFonts w:ascii="Trebuchet MS" w:hAnsi="Trebuchet MS"/>
          <w:color w:val="auto"/>
          <w:sz w:val="36"/>
          <w:szCs w:val="36"/>
        </w:rPr>
        <w:t>Results and Analysis</w:t>
      </w:r>
    </w:p>
    <w:p w:rsidR="00FD6520" w:rsidRPr="00EB0936" w:rsidRDefault="00FD6520" w:rsidP="00EF520D">
      <w:pPr>
        <w:pStyle w:val="Heading3"/>
        <w:spacing w:before="100" w:beforeAutospacing="1" w:line="276" w:lineRule="auto"/>
        <w:rPr>
          <w:rFonts w:ascii="Trebuchet MS" w:hAnsi="Trebuchet MS" w:cs="Trebuchet MS"/>
          <w:sz w:val="28"/>
        </w:rPr>
      </w:pPr>
      <w:r w:rsidRPr="00EB0936">
        <w:rPr>
          <w:rFonts w:ascii="Trebuchet MS" w:hAnsi="Trebuchet MS" w:cs="Trebuchet MS"/>
          <w:sz w:val="28"/>
        </w:rPr>
        <w:t>Coding results</w:t>
      </w:r>
    </w:p>
    <w:p w:rsidR="00600E5D" w:rsidRDefault="004C7BF9" w:rsidP="00733989">
      <w:pPr>
        <w:spacing w:before="100" w:beforeAutospacing="1" w:after="100" w:afterAutospacing="1" w:line="276" w:lineRule="auto"/>
        <w:rPr>
          <w:rFonts w:ascii="Trebuchet MS" w:hAnsi="Trebuchet MS" w:cs="Trebuchet MS"/>
        </w:rPr>
      </w:pPr>
      <w:r>
        <w:rPr>
          <w:rFonts w:ascii="Trebuchet MS" w:hAnsi="Trebuchet MS" w:cs="Trebuchet MS"/>
        </w:rPr>
        <w:t xml:space="preserve">The two independent coders achieved substantial agreement (Cohen’s kappa = .70), reflecting that the subject clearly made distinctive verbalizations that fit within and could be identified by the code descriptions.  We show this agreement in two ways.  </w:t>
      </w:r>
    </w:p>
    <w:p w:rsidR="00733989" w:rsidRDefault="004C7BF9" w:rsidP="00733989">
      <w:pPr>
        <w:spacing w:before="100" w:beforeAutospacing="1" w:after="100" w:afterAutospacing="1" w:line="276" w:lineRule="auto"/>
        <w:rPr>
          <w:rFonts w:ascii="Trebuchet MS" w:hAnsi="Trebuchet MS" w:cs="Trebuchet MS"/>
        </w:rPr>
      </w:pPr>
      <w:r>
        <w:rPr>
          <w:rFonts w:ascii="Trebuchet MS" w:hAnsi="Trebuchet MS" w:cs="Trebuchet MS"/>
        </w:rPr>
        <w:t xml:space="preserve">Figure 1 provides a color-coded chart of the coding for sequential segments. </w:t>
      </w:r>
      <w:r w:rsidR="00733989">
        <w:rPr>
          <w:rFonts w:ascii="Trebuchet MS" w:hAnsi="Trebuchet MS" w:cs="Trebuchet MS"/>
        </w:rPr>
        <w:t xml:space="preserve"> It shows that the two raters were in substantial agreement concerning the general flow of the session, and that the session was successfully coded by the method used.</w:t>
      </w:r>
    </w:p>
    <w:p w:rsidR="006D646F" w:rsidRDefault="00810822" w:rsidP="006D646F">
      <w:pPr>
        <w:spacing w:line="300" w:lineRule="auto"/>
        <w:rPr>
          <w:rFonts w:ascii="Trebuchet MS" w:hAnsi="Trebuchet MS" w:cs="Trebuchet MS"/>
        </w:rPr>
      </w:pPr>
      <w:r>
        <w:rPr>
          <w:rFonts w:ascii="Trebuchet MS" w:hAnsi="Trebuchet MS" w:cs="Trebuchet MS"/>
          <w:noProof/>
        </w:rPr>
        <w:drawing>
          <wp:inline distT="0" distB="0" distL="0" distR="0">
            <wp:extent cx="5943600" cy="2352999"/>
            <wp:effectExtent l="19050" t="0" r="0" b="0"/>
            <wp:docPr id="1" name="Picture 2" descr="\\PALLAVIPC\pallavi\research\RA\images\double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LLAVIPC\pallavi\research\RA\images\doubleCode.jpg"/>
                    <pic:cNvPicPr>
                      <a:picLocks noChangeAspect="1" noChangeArrowheads="1"/>
                    </pic:cNvPicPr>
                  </pic:nvPicPr>
                  <pic:blipFill>
                    <a:blip r:embed="rId8"/>
                    <a:srcRect/>
                    <a:stretch>
                      <a:fillRect/>
                    </a:stretch>
                  </pic:blipFill>
                  <pic:spPr bwMode="auto">
                    <a:xfrm>
                      <a:off x="0" y="0"/>
                      <a:ext cx="5943600" cy="2352999"/>
                    </a:xfrm>
                    <a:prstGeom prst="rect">
                      <a:avLst/>
                    </a:prstGeom>
                    <a:noFill/>
                    <a:ln w="9525">
                      <a:noFill/>
                      <a:miter lim="800000"/>
                      <a:headEnd/>
                      <a:tailEnd/>
                    </a:ln>
                  </pic:spPr>
                </pic:pic>
              </a:graphicData>
            </a:graphic>
          </wp:inline>
        </w:drawing>
      </w:r>
    </w:p>
    <w:p w:rsidR="006D646F" w:rsidRDefault="006D646F" w:rsidP="006D646F">
      <w:pPr>
        <w:keepNext/>
        <w:spacing w:line="276" w:lineRule="auto"/>
        <w:rPr>
          <w:rFonts w:ascii="Trebuchet MS" w:hAnsi="Trebuchet MS" w:cs="Trebuchet MS"/>
        </w:rPr>
      </w:pPr>
    </w:p>
    <w:p w:rsidR="00733989" w:rsidRDefault="00C5764E" w:rsidP="00C5764E">
      <w:pPr>
        <w:spacing w:before="100" w:beforeAutospacing="1" w:after="100" w:afterAutospacing="1" w:line="276" w:lineRule="auto"/>
        <w:rPr>
          <w:rFonts w:ascii="Trebuchet MS" w:hAnsi="Trebuchet MS" w:cs="Trebuchet MS"/>
        </w:rPr>
      </w:pPr>
      <w:r>
        <w:rPr>
          <w:rFonts w:ascii="Trebuchet MS" w:hAnsi="Trebuchet MS" w:cs="Trebuchet MS"/>
        </w:rPr>
        <w:t>Figure 1: Codes on a timeline</w:t>
      </w:r>
      <w:r>
        <w:rPr>
          <w:rFonts w:ascii="Trebuchet MS" w:hAnsi="Trebuchet MS" w:cs="Trebuchet MS"/>
          <w:noProof/>
        </w:rPr>
        <w:t xml:space="preserve">. </w:t>
      </w:r>
    </w:p>
    <w:p w:rsidR="00C5764E" w:rsidRDefault="00733989" w:rsidP="00C5764E">
      <w:pPr>
        <w:spacing w:before="100" w:beforeAutospacing="1" w:after="100" w:afterAutospacing="1" w:line="276" w:lineRule="auto"/>
        <w:rPr>
          <w:rFonts w:ascii="Trebuchet MS" w:hAnsi="Trebuchet MS" w:cs="Trebuchet MS"/>
        </w:rPr>
      </w:pPr>
      <w:r>
        <w:rPr>
          <w:rFonts w:ascii="Trebuchet MS" w:hAnsi="Trebuchet MS" w:cs="Trebuchet MS"/>
        </w:rPr>
        <w:t xml:space="preserve">In Figure 1, the </w:t>
      </w:r>
      <w:r w:rsidR="00C5764E">
        <w:rPr>
          <w:rFonts w:ascii="Trebuchet MS" w:hAnsi="Trebuchet MS" w:cs="Trebuchet MS"/>
        </w:rPr>
        <w:t xml:space="preserve">code pattern on the top </w:t>
      </w:r>
      <w:r>
        <w:rPr>
          <w:rFonts w:ascii="Trebuchet MS" w:hAnsi="Trebuchet MS" w:cs="Trebuchet MS"/>
        </w:rPr>
        <w:t>was</w:t>
      </w:r>
      <w:r w:rsidR="00C5764E">
        <w:rPr>
          <w:rFonts w:ascii="Trebuchet MS" w:hAnsi="Trebuchet MS" w:cs="Trebuchet MS"/>
        </w:rPr>
        <w:t xml:space="preserve"> assigned by the CIA officer and the pattern on the bottom </w:t>
      </w:r>
      <w:r>
        <w:rPr>
          <w:rFonts w:ascii="Trebuchet MS" w:hAnsi="Trebuchet MS" w:cs="Trebuchet MS"/>
        </w:rPr>
        <w:t xml:space="preserve">was assigned </w:t>
      </w:r>
      <w:r w:rsidR="00C5764E">
        <w:rPr>
          <w:rFonts w:ascii="Trebuchet MS" w:hAnsi="Trebuchet MS" w:cs="Trebuchet MS"/>
        </w:rPr>
        <w:t xml:space="preserve">by the usability </w:t>
      </w:r>
      <w:r>
        <w:rPr>
          <w:rFonts w:ascii="Trebuchet MS" w:hAnsi="Trebuchet MS" w:cs="Trebuchet MS"/>
        </w:rPr>
        <w:t>expert</w:t>
      </w:r>
      <w:r w:rsidR="00C5764E">
        <w:rPr>
          <w:rFonts w:ascii="Trebuchet MS" w:hAnsi="Trebuchet MS" w:cs="Trebuchet MS"/>
        </w:rPr>
        <w:t xml:space="preserve">. </w:t>
      </w:r>
      <w:r>
        <w:rPr>
          <w:rFonts w:ascii="Trebuchet MS" w:hAnsi="Trebuchet MS" w:cs="Trebuchet MS"/>
        </w:rPr>
        <w:t>Figure 1</w:t>
      </w:r>
      <w:r w:rsidR="00C5764E">
        <w:rPr>
          <w:rFonts w:ascii="Trebuchet MS" w:hAnsi="Trebuchet MS" w:cs="Trebuchet MS"/>
        </w:rPr>
        <w:t xml:space="preserve"> also indicates </w:t>
      </w:r>
      <w:r>
        <w:rPr>
          <w:rFonts w:ascii="Trebuchet MS" w:hAnsi="Trebuchet MS" w:cs="Trebuchet MS"/>
        </w:rPr>
        <w:t xml:space="preserve">the three </w:t>
      </w:r>
      <w:r w:rsidR="00C5764E">
        <w:rPr>
          <w:rFonts w:ascii="Trebuchet MS" w:hAnsi="Trebuchet MS" w:cs="Trebuchet MS"/>
        </w:rPr>
        <w:t>points when the subject was prompted to address each of the three questions.</w:t>
      </w:r>
    </w:p>
    <w:p w:rsidR="00600E5D" w:rsidRDefault="00733989" w:rsidP="00C5764E">
      <w:pPr>
        <w:spacing w:before="100" w:beforeAutospacing="1" w:after="100" w:afterAutospacing="1" w:line="276" w:lineRule="auto"/>
        <w:rPr>
          <w:rFonts w:ascii="Trebuchet MS" w:hAnsi="Trebuchet MS" w:cs="Trebuchet MS"/>
        </w:rPr>
      </w:pPr>
      <w:r>
        <w:rPr>
          <w:rFonts w:ascii="Trebuchet MS" w:hAnsi="Trebuchet MS" w:cs="Trebuchet MS"/>
        </w:rPr>
        <w:lastRenderedPageBreak/>
        <w:t xml:space="preserve">Table 2 (below) </w:t>
      </w:r>
      <w:r w:rsidR="00600E5D">
        <w:rPr>
          <w:rFonts w:ascii="Trebuchet MS" w:hAnsi="Trebuchet MS" w:cs="Trebuchet MS"/>
        </w:rPr>
        <w:t xml:space="preserve">also </w:t>
      </w:r>
      <w:r>
        <w:rPr>
          <w:rFonts w:ascii="Trebuchet MS" w:hAnsi="Trebuchet MS" w:cs="Trebuchet MS"/>
        </w:rPr>
        <w:t>shows considerable rater agreement</w:t>
      </w:r>
      <w:r w:rsidR="00600E5D">
        <w:rPr>
          <w:rFonts w:ascii="Trebuchet MS" w:hAnsi="Trebuchet MS" w:cs="Trebuchet MS"/>
        </w:rPr>
        <w:t xml:space="preserve"> </w:t>
      </w:r>
      <w:r>
        <w:rPr>
          <w:rFonts w:ascii="Trebuchet MS" w:hAnsi="Trebuchet MS" w:cs="Trebuchet MS"/>
        </w:rPr>
        <w:t>on the assignment of segments to specific codes.  The diagonal green values indicate the number of instances where both code</w:t>
      </w:r>
      <w:r w:rsidR="00600E5D">
        <w:rPr>
          <w:rFonts w:ascii="Trebuchet MS" w:hAnsi="Trebuchet MS" w:cs="Trebuchet MS"/>
        </w:rPr>
        <w:t xml:space="preserve">rs gave a segment the same code while the white and pink boxes indicate instances of disagreement.  </w:t>
      </w:r>
    </w:p>
    <w:p w:rsidR="00733989" w:rsidRDefault="00600E5D" w:rsidP="00C5764E">
      <w:pPr>
        <w:spacing w:before="100" w:beforeAutospacing="1" w:after="100" w:afterAutospacing="1" w:line="276" w:lineRule="auto"/>
        <w:rPr>
          <w:rFonts w:ascii="Trebuchet MS" w:hAnsi="Trebuchet MS" w:cs="Trebuchet MS"/>
        </w:rPr>
      </w:pPr>
      <w:r>
        <w:rPr>
          <w:rFonts w:ascii="Trebuchet MS" w:hAnsi="Trebuchet MS" w:cs="Trebuchet MS"/>
        </w:rPr>
        <w:t>The two greatest areas of disagreement, indicated by the pink boxes, were observed where the CIA expert felt a segment</w:t>
      </w:r>
      <w:r w:rsidRPr="00600E5D">
        <w:rPr>
          <w:rFonts w:ascii="Trebuchet MS" w:hAnsi="Trebuchet MS" w:cs="Trebuchet MS"/>
        </w:rPr>
        <w:t xml:space="preserve"> </w:t>
      </w:r>
      <w:r>
        <w:rPr>
          <w:rFonts w:ascii="Trebuchet MS" w:hAnsi="Trebuchet MS" w:cs="Trebuchet MS"/>
        </w:rPr>
        <w:t>reflected a commonly known fact from the subject’s memory, hence PEEM, while the</w:t>
      </w:r>
      <w:r w:rsidRPr="00600E5D">
        <w:rPr>
          <w:rFonts w:ascii="Trebuchet MS" w:hAnsi="Trebuchet MS" w:cs="Trebuchet MS"/>
        </w:rPr>
        <w:t xml:space="preserve"> </w:t>
      </w:r>
      <w:r>
        <w:rPr>
          <w:rFonts w:ascii="Trebuchet MS" w:hAnsi="Trebuchet MS" w:cs="Trebuchet MS"/>
        </w:rPr>
        <w:t>usability expert felt the statement</w:t>
      </w:r>
      <w:r w:rsidRPr="00600E5D">
        <w:rPr>
          <w:rFonts w:ascii="Trebuchet MS" w:hAnsi="Trebuchet MS" w:cs="Trebuchet MS"/>
        </w:rPr>
        <w:t xml:space="preserve"> </w:t>
      </w:r>
      <w:r>
        <w:rPr>
          <w:rFonts w:ascii="Trebuchet MS" w:hAnsi="Trebuchet MS" w:cs="Trebuchet MS"/>
        </w:rPr>
        <w:t>was</w:t>
      </w:r>
    </w:p>
    <w:p w:rsidR="00733989" w:rsidRDefault="00733989" w:rsidP="00C5764E">
      <w:pPr>
        <w:spacing w:before="100" w:beforeAutospacing="1" w:after="100" w:afterAutospacing="1" w:line="276" w:lineRule="auto"/>
        <w:rPr>
          <w:rFonts w:ascii="Trebuchet MS" w:hAnsi="Trebuchet MS" w:cs="Trebuchet MS"/>
          <w:noProof/>
        </w:rPr>
      </w:pPr>
    </w:p>
    <w:tbl>
      <w:tblPr>
        <w:tblW w:w="6665" w:type="dxa"/>
        <w:jc w:val="center"/>
        <w:tblInd w:w="-106" w:type="dxa"/>
        <w:tblLook w:val="0000"/>
      </w:tblPr>
      <w:tblGrid>
        <w:gridCol w:w="539"/>
        <w:gridCol w:w="929"/>
        <w:gridCol w:w="967"/>
        <w:gridCol w:w="929"/>
        <w:gridCol w:w="817"/>
        <w:gridCol w:w="817"/>
        <w:gridCol w:w="812"/>
        <w:gridCol w:w="855"/>
      </w:tblGrid>
      <w:tr w:rsidR="00733989" w:rsidRPr="00D53B04" w:rsidTr="00733989">
        <w:trPr>
          <w:trHeight w:val="332"/>
          <w:jc w:val="center"/>
        </w:trPr>
        <w:tc>
          <w:tcPr>
            <w:tcW w:w="539" w:type="dxa"/>
            <w:tcBorders>
              <w:top w:val="single" w:sz="12" w:space="0" w:color="auto"/>
              <w:left w:val="single" w:sz="12" w:space="0" w:color="auto"/>
              <w:bottom w:val="double" w:sz="6" w:space="0" w:color="auto"/>
              <w:right w:val="double" w:sz="6" w:space="0" w:color="auto"/>
            </w:tcBorders>
            <w:noWrap/>
            <w:vAlign w:val="bottom"/>
          </w:tcPr>
          <w:p w:rsidR="00FD6520" w:rsidRPr="00D53B04" w:rsidRDefault="00FD6520" w:rsidP="00AC79EE">
            <w:pPr>
              <w:rPr>
                <w:rFonts w:ascii="Calibri" w:hAnsi="Calibri" w:cs="Calibri"/>
                <w:color w:val="000000"/>
              </w:rPr>
            </w:pPr>
            <w:r w:rsidRPr="00D53B04">
              <w:rPr>
                <w:rFonts w:ascii="Calibri" w:hAnsi="Calibri" w:cs="Calibri"/>
                <w:color w:val="000000"/>
                <w:sz w:val="22"/>
                <w:szCs w:val="22"/>
              </w:rPr>
              <w:t> </w:t>
            </w:r>
          </w:p>
        </w:tc>
        <w:tc>
          <w:tcPr>
            <w:tcW w:w="6125" w:type="dxa"/>
            <w:gridSpan w:val="7"/>
            <w:tcBorders>
              <w:top w:val="single" w:sz="12" w:space="0" w:color="auto"/>
              <w:left w:val="nil"/>
              <w:bottom w:val="double" w:sz="6" w:space="0" w:color="auto"/>
              <w:right w:val="single" w:sz="12" w:space="0" w:color="000000"/>
            </w:tcBorders>
            <w:shd w:val="clear" w:color="000000" w:fill="F2F2F2"/>
            <w:noWrap/>
            <w:vAlign w:val="bottom"/>
          </w:tcPr>
          <w:p w:rsidR="00FD6520" w:rsidRPr="00D53B04" w:rsidRDefault="00FD6520" w:rsidP="00810822">
            <w:pPr>
              <w:jc w:val="center"/>
              <w:rPr>
                <w:rFonts w:ascii="Calibri" w:hAnsi="Calibri" w:cs="Calibri"/>
                <w:color w:val="000000"/>
              </w:rPr>
            </w:pPr>
            <w:r w:rsidRPr="00D53B04">
              <w:rPr>
                <w:rFonts w:ascii="Calibri" w:hAnsi="Calibri" w:cs="Calibri"/>
                <w:color w:val="000000"/>
                <w:sz w:val="22"/>
                <w:szCs w:val="22"/>
              </w:rPr>
              <w:t>Coder 2:</w:t>
            </w:r>
            <w:r w:rsidRPr="00D53B04">
              <w:rPr>
                <w:rFonts w:ascii="Trebuchet MS" w:hAnsi="Trebuchet MS" w:cs="Trebuchet MS"/>
              </w:rPr>
              <w:t xml:space="preserve"> </w:t>
            </w:r>
            <w:r w:rsidRPr="00D53B04">
              <w:rPr>
                <w:rFonts w:ascii="Trebuchet MS" w:hAnsi="Trebuchet MS" w:cs="Trebuchet MS"/>
                <w:sz w:val="22"/>
                <w:szCs w:val="22"/>
              </w:rPr>
              <w:t xml:space="preserve">Usability </w:t>
            </w:r>
            <w:r w:rsidR="00810822">
              <w:rPr>
                <w:rFonts w:ascii="Trebuchet MS" w:hAnsi="Trebuchet MS" w:cs="Trebuchet MS"/>
                <w:sz w:val="22"/>
                <w:szCs w:val="22"/>
              </w:rPr>
              <w:t>engineer</w:t>
            </w:r>
          </w:p>
        </w:tc>
      </w:tr>
      <w:tr w:rsidR="00733989" w:rsidRPr="00D53B04" w:rsidTr="00733989">
        <w:trPr>
          <w:cantSplit/>
          <w:trHeight w:val="603"/>
          <w:jc w:val="center"/>
        </w:trPr>
        <w:tc>
          <w:tcPr>
            <w:tcW w:w="539" w:type="dxa"/>
            <w:vMerge w:val="restart"/>
            <w:tcBorders>
              <w:top w:val="nil"/>
              <w:left w:val="single" w:sz="12" w:space="0" w:color="auto"/>
              <w:bottom w:val="single" w:sz="12" w:space="0" w:color="000000"/>
              <w:right w:val="double" w:sz="6" w:space="0" w:color="auto"/>
            </w:tcBorders>
            <w:shd w:val="clear" w:color="000000" w:fill="F2F2F2"/>
            <w:noWrap/>
            <w:textDirection w:val="btLr"/>
            <w:vAlign w:val="center"/>
          </w:tcPr>
          <w:p w:rsidR="00FD6520" w:rsidRPr="00D53B04" w:rsidRDefault="00FD6520" w:rsidP="00AC79EE">
            <w:pPr>
              <w:jc w:val="center"/>
              <w:rPr>
                <w:rFonts w:ascii="Calibri" w:hAnsi="Calibri" w:cs="Calibri"/>
                <w:color w:val="000000"/>
              </w:rPr>
            </w:pPr>
            <w:r w:rsidRPr="00D53B04">
              <w:rPr>
                <w:rFonts w:ascii="Calibri" w:hAnsi="Calibri" w:cs="Calibri"/>
                <w:color w:val="000000"/>
                <w:sz w:val="22"/>
                <w:szCs w:val="22"/>
              </w:rPr>
              <w:t>Coder 1:</w:t>
            </w:r>
            <w:r w:rsidRPr="00D53B04">
              <w:rPr>
                <w:rFonts w:ascii="Trebuchet MS" w:hAnsi="Trebuchet MS" w:cs="Trebuchet MS"/>
              </w:rPr>
              <w:t xml:space="preserve"> </w:t>
            </w:r>
            <w:r w:rsidRPr="00D53B04">
              <w:rPr>
                <w:rFonts w:ascii="Trebuchet MS" w:hAnsi="Trebuchet MS" w:cs="Trebuchet MS"/>
                <w:sz w:val="22"/>
                <w:szCs w:val="22"/>
              </w:rPr>
              <w:t>CIA officer</w:t>
            </w:r>
          </w:p>
        </w:tc>
        <w:tc>
          <w:tcPr>
            <w:tcW w:w="929" w:type="dxa"/>
            <w:tcBorders>
              <w:top w:val="nil"/>
              <w:left w:val="nil"/>
              <w:bottom w:val="double" w:sz="6" w:space="0" w:color="auto"/>
              <w:right w:val="double" w:sz="6" w:space="0" w:color="auto"/>
            </w:tcBorders>
            <w:noWrap/>
            <w:vAlign w:val="bottom"/>
          </w:tcPr>
          <w:p w:rsidR="00FD6520" w:rsidRPr="00D53B04" w:rsidRDefault="00FD6520" w:rsidP="00AC79EE">
            <w:pPr>
              <w:rPr>
                <w:rFonts w:ascii="Calibri" w:hAnsi="Calibri" w:cs="Calibri"/>
                <w:color w:val="000000"/>
              </w:rPr>
            </w:pPr>
            <w:r w:rsidRPr="00D53B04">
              <w:rPr>
                <w:rFonts w:ascii="Calibri" w:hAnsi="Calibri" w:cs="Calibri"/>
                <w:color w:val="000000"/>
                <w:sz w:val="22"/>
                <w:szCs w:val="22"/>
              </w:rPr>
              <w:t> </w:t>
            </w:r>
          </w:p>
        </w:tc>
        <w:tc>
          <w:tcPr>
            <w:tcW w:w="967" w:type="dxa"/>
            <w:tcBorders>
              <w:top w:val="nil"/>
              <w:left w:val="nil"/>
              <w:bottom w:val="double" w:sz="6" w:space="0" w:color="auto"/>
              <w:right w:val="double" w:sz="6" w:space="0" w:color="auto"/>
            </w:tcBorders>
            <w:noWrap/>
            <w:vAlign w:val="bottom"/>
          </w:tcPr>
          <w:p w:rsidR="00FD6520" w:rsidRPr="00D53B04" w:rsidRDefault="00FD6520" w:rsidP="00AC79EE">
            <w:pPr>
              <w:rPr>
                <w:rFonts w:ascii="Calibri" w:hAnsi="Calibri" w:cs="Calibri"/>
                <w:color w:val="000000"/>
              </w:rPr>
            </w:pPr>
            <w:r w:rsidRPr="00D53B04">
              <w:rPr>
                <w:rFonts w:ascii="Calibri" w:hAnsi="Calibri" w:cs="Calibri"/>
                <w:color w:val="000000"/>
                <w:sz w:val="22"/>
                <w:szCs w:val="22"/>
              </w:rPr>
              <w:t>PEEM</w:t>
            </w:r>
          </w:p>
        </w:tc>
        <w:tc>
          <w:tcPr>
            <w:tcW w:w="929" w:type="dxa"/>
            <w:tcBorders>
              <w:top w:val="nil"/>
              <w:left w:val="nil"/>
              <w:bottom w:val="double" w:sz="6" w:space="0" w:color="auto"/>
              <w:right w:val="double" w:sz="6" w:space="0" w:color="auto"/>
            </w:tcBorders>
            <w:noWrap/>
            <w:vAlign w:val="bottom"/>
          </w:tcPr>
          <w:p w:rsidR="00FD6520" w:rsidRPr="00D53B04" w:rsidRDefault="00FD6520" w:rsidP="00AC79EE">
            <w:pPr>
              <w:rPr>
                <w:rFonts w:ascii="Calibri" w:hAnsi="Calibri" w:cs="Calibri"/>
                <w:color w:val="000000"/>
              </w:rPr>
            </w:pPr>
            <w:r w:rsidRPr="00D53B04">
              <w:rPr>
                <w:rFonts w:ascii="Calibri" w:hAnsi="Calibri" w:cs="Calibri"/>
                <w:color w:val="000000"/>
                <w:sz w:val="22"/>
                <w:szCs w:val="22"/>
              </w:rPr>
              <w:t>MMSEI</w:t>
            </w:r>
          </w:p>
        </w:tc>
        <w:tc>
          <w:tcPr>
            <w:tcW w:w="817" w:type="dxa"/>
            <w:tcBorders>
              <w:top w:val="nil"/>
              <w:left w:val="nil"/>
              <w:bottom w:val="double" w:sz="6" w:space="0" w:color="auto"/>
              <w:right w:val="double" w:sz="6" w:space="0" w:color="auto"/>
            </w:tcBorders>
            <w:noWrap/>
            <w:vAlign w:val="bottom"/>
          </w:tcPr>
          <w:p w:rsidR="00FD6520" w:rsidRPr="00D53B04" w:rsidRDefault="00FD6520" w:rsidP="00AC79EE">
            <w:pPr>
              <w:rPr>
                <w:rFonts w:ascii="Calibri" w:hAnsi="Calibri" w:cs="Calibri"/>
                <w:color w:val="000000"/>
              </w:rPr>
            </w:pPr>
            <w:r w:rsidRPr="00D53B04">
              <w:rPr>
                <w:rFonts w:ascii="Calibri" w:hAnsi="Calibri" w:cs="Calibri"/>
                <w:color w:val="000000"/>
                <w:sz w:val="22"/>
                <w:szCs w:val="22"/>
              </w:rPr>
              <w:t>AJ</w:t>
            </w:r>
          </w:p>
        </w:tc>
        <w:tc>
          <w:tcPr>
            <w:tcW w:w="817" w:type="dxa"/>
            <w:tcBorders>
              <w:top w:val="nil"/>
              <w:left w:val="nil"/>
              <w:bottom w:val="double" w:sz="6" w:space="0" w:color="auto"/>
              <w:right w:val="double" w:sz="6" w:space="0" w:color="auto"/>
            </w:tcBorders>
            <w:noWrap/>
            <w:vAlign w:val="bottom"/>
          </w:tcPr>
          <w:p w:rsidR="00FD6520" w:rsidRPr="00D53B04" w:rsidRDefault="00FD6520" w:rsidP="00AC79EE">
            <w:pPr>
              <w:rPr>
                <w:rFonts w:ascii="Calibri" w:hAnsi="Calibri" w:cs="Calibri"/>
                <w:color w:val="000000"/>
              </w:rPr>
            </w:pPr>
            <w:r w:rsidRPr="00D53B04">
              <w:rPr>
                <w:rFonts w:ascii="Calibri" w:hAnsi="Calibri" w:cs="Calibri"/>
                <w:color w:val="000000"/>
                <w:sz w:val="22"/>
                <w:szCs w:val="22"/>
              </w:rPr>
              <w:t>ST</w:t>
            </w:r>
          </w:p>
        </w:tc>
        <w:tc>
          <w:tcPr>
            <w:tcW w:w="812" w:type="dxa"/>
            <w:tcBorders>
              <w:top w:val="nil"/>
              <w:left w:val="nil"/>
              <w:bottom w:val="double" w:sz="6" w:space="0" w:color="auto"/>
              <w:right w:val="double" w:sz="6" w:space="0" w:color="auto"/>
            </w:tcBorders>
            <w:noWrap/>
            <w:vAlign w:val="bottom"/>
          </w:tcPr>
          <w:p w:rsidR="00FD6520" w:rsidRPr="00D53B04" w:rsidRDefault="00810822" w:rsidP="00AC79EE">
            <w:pPr>
              <w:rPr>
                <w:rFonts w:ascii="Calibri" w:hAnsi="Calibri" w:cs="Calibri"/>
                <w:color w:val="000000"/>
              </w:rPr>
            </w:pPr>
            <w:r>
              <w:rPr>
                <w:rFonts w:ascii="Calibri" w:hAnsi="Calibri" w:cs="Calibri"/>
                <w:color w:val="000000"/>
                <w:sz w:val="22"/>
                <w:szCs w:val="22"/>
              </w:rPr>
              <w:t>I</w:t>
            </w:r>
            <w:r w:rsidR="00FD6520" w:rsidRPr="00D53B04">
              <w:rPr>
                <w:rFonts w:ascii="Calibri" w:hAnsi="Calibri" w:cs="Calibri"/>
                <w:color w:val="000000"/>
                <w:sz w:val="22"/>
                <w:szCs w:val="22"/>
              </w:rPr>
              <w:t>A</w:t>
            </w:r>
            <w:r>
              <w:rPr>
                <w:rFonts w:ascii="Calibri" w:hAnsi="Calibri" w:cs="Calibri"/>
                <w:color w:val="000000"/>
                <w:sz w:val="22"/>
                <w:szCs w:val="22"/>
              </w:rPr>
              <w:t>S</w:t>
            </w:r>
            <w:r w:rsidR="00FD6520" w:rsidRPr="00D53B04">
              <w:rPr>
                <w:rFonts w:ascii="Calibri" w:hAnsi="Calibri" w:cs="Calibri"/>
                <w:color w:val="000000"/>
                <w:sz w:val="22"/>
                <w:szCs w:val="22"/>
              </w:rPr>
              <w:t>B</w:t>
            </w:r>
          </w:p>
        </w:tc>
        <w:tc>
          <w:tcPr>
            <w:tcW w:w="855" w:type="dxa"/>
            <w:tcBorders>
              <w:top w:val="nil"/>
              <w:left w:val="nil"/>
              <w:bottom w:val="double" w:sz="6" w:space="0" w:color="auto"/>
              <w:right w:val="single" w:sz="12" w:space="0" w:color="auto"/>
            </w:tcBorders>
            <w:noWrap/>
            <w:vAlign w:val="bottom"/>
          </w:tcPr>
          <w:p w:rsidR="00FD6520" w:rsidRPr="00D53B04" w:rsidRDefault="00FD6520" w:rsidP="00AC79EE">
            <w:pPr>
              <w:rPr>
                <w:rFonts w:ascii="Calibri" w:hAnsi="Calibri" w:cs="Calibri"/>
                <w:color w:val="000000"/>
              </w:rPr>
            </w:pPr>
            <w:r w:rsidRPr="00D53B04">
              <w:rPr>
                <w:rFonts w:ascii="Calibri" w:hAnsi="Calibri" w:cs="Calibri"/>
                <w:color w:val="000000"/>
                <w:sz w:val="22"/>
                <w:szCs w:val="22"/>
              </w:rPr>
              <w:t>∑</w:t>
            </w:r>
          </w:p>
        </w:tc>
      </w:tr>
      <w:tr w:rsidR="00733989" w:rsidRPr="00D53B04" w:rsidTr="00733989">
        <w:trPr>
          <w:cantSplit/>
          <w:trHeight w:val="603"/>
          <w:jc w:val="center"/>
        </w:trPr>
        <w:tc>
          <w:tcPr>
            <w:tcW w:w="539" w:type="dxa"/>
            <w:vMerge/>
            <w:tcBorders>
              <w:top w:val="nil"/>
              <w:left w:val="single" w:sz="12" w:space="0" w:color="auto"/>
              <w:bottom w:val="single" w:sz="12" w:space="0" w:color="000000"/>
              <w:right w:val="double" w:sz="6" w:space="0" w:color="auto"/>
            </w:tcBorders>
            <w:vAlign w:val="center"/>
          </w:tcPr>
          <w:p w:rsidR="00FD6520" w:rsidRPr="00D53B04" w:rsidRDefault="00FD6520" w:rsidP="00AC79EE">
            <w:pPr>
              <w:rPr>
                <w:rFonts w:ascii="Calibri" w:hAnsi="Calibri" w:cs="Calibri"/>
                <w:color w:val="000000"/>
              </w:rPr>
            </w:pPr>
          </w:p>
        </w:tc>
        <w:tc>
          <w:tcPr>
            <w:tcW w:w="929" w:type="dxa"/>
            <w:tcBorders>
              <w:top w:val="nil"/>
              <w:left w:val="nil"/>
              <w:bottom w:val="double" w:sz="6" w:space="0" w:color="auto"/>
              <w:right w:val="double" w:sz="6" w:space="0" w:color="auto"/>
            </w:tcBorders>
            <w:noWrap/>
            <w:vAlign w:val="bottom"/>
          </w:tcPr>
          <w:p w:rsidR="00FD6520" w:rsidRPr="00D53B04" w:rsidRDefault="00FD6520" w:rsidP="00AC79EE">
            <w:pPr>
              <w:rPr>
                <w:rFonts w:ascii="Calibri" w:hAnsi="Calibri" w:cs="Calibri"/>
                <w:color w:val="000000"/>
              </w:rPr>
            </w:pPr>
            <w:r w:rsidRPr="00D53B04">
              <w:rPr>
                <w:rFonts w:ascii="Calibri" w:hAnsi="Calibri" w:cs="Calibri"/>
                <w:color w:val="000000"/>
                <w:sz w:val="22"/>
                <w:szCs w:val="22"/>
              </w:rPr>
              <w:t>PEEM</w:t>
            </w:r>
          </w:p>
        </w:tc>
        <w:tc>
          <w:tcPr>
            <w:tcW w:w="967" w:type="dxa"/>
            <w:tcBorders>
              <w:top w:val="nil"/>
              <w:left w:val="nil"/>
              <w:bottom w:val="double" w:sz="6" w:space="0" w:color="auto"/>
              <w:right w:val="double" w:sz="6" w:space="0" w:color="auto"/>
            </w:tcBorders>
            <w:shd w:val="clear" w:color="000000" w:fill="C2D69A"/>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255</w:t>
            </w:r>
          </w:p>
        </w:tc>
        <w:tc>
          <w:tcPr>
            <w:tcW w:w="929" w:type="dxa"/>
            <w:tcBorders>
              <w:top w:val="nil"/>
              <w:left w:val="nil"/>
              <w:bottom w:val="double" w:sz="6" w:space="0" w:color="auto"/>
              <w:right w:val="double" w:sz="6"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21</w:t>
            </w:r>
          </w:p>
        </w:tc>
        <w:tc>
          <w:tcPr>
            <w:tcW w:w="817" w:type="dxa"/>
            <w:tcBorders>
              <w:top w:val="nil"/>
              <w:left w:val="nil"/>
              <w:bottom w:val="double" w:sz="6" w:space="0" w:color="auto"/>
              <w:right w:val="double" w:sz="6" w:space="0" w:color="auto"/>
            </w:tcBorders>
            <w:shd w:val="clear" w:color="auto" w:fill="FBD4B4"/>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52</w:t>
            </w:r>
          </w:p>
        </w:tc>
        <w:tc>
          <w:tcPr>
            <w:tcW w:w="817" w:type="dxa"/>
            <w:tcBorders>
              <w:top w:val="nil"/>
              <w:left w:val="nil"/>
              <w:bottom w:val="double" w:sz="6" w:space="0" w:color="auto"/>
              <w:right w:val="double" w:sz="6"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9</w:t>
            </w:r>
          </w:p>
        </w:tc>
        <w:tc>
          <w:tcPr>
            <w:tcW w:w="812" w:type="dxa"/>
            <w:tcBorders>
              <w:top w:val="nil"/>
              <w:left w:val="nil"/>
              <w:bottom w:val="double" w:sz="6" w:space="0" w:color="auto"/>
              <w:right w:val="double" w:sz="6"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2</w:t>
            </w:r>
          </w:p>
        </w:tc>
        <w:tc>
          <w:tcPr>
            <w:tcW w:w="855" w:type="dxa"/>
            <w:tcBorders>
              <w:top w:val="nil"/>
              <w:left w:val="nil"/>
              <w:bottom w:val="double" w:sz="6" w:space="0" w:color="auto"/>
              <w:right w:val="single" w:sz="12"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339</w:t>
            </w:r>
          </w:p>
        </w:tc>
      </w:tr>
      <w:tr w:rsidR="00733989" w:rsidRPr="00D53B04" w:rsidTr="00733989">
        <w:trPr>
          <w:cantSplit/>
          <w:trHeight w:val="603"/>
          <w:jc w:val="center"/>
        </w:trPr>
        <w:tc>
          <w:tcPr>
            <w:tcW w:w="539" w:type="dxa"/>
            <w:vMerge/>
            <w:tcBorders>
              <w:top w:val="nil"/>
              <w:left w:val="single" w:sz="12" w:space="0" w:color="auto"/>
              <w:bottom w:val="single" w:sz="12" w:space="0" w:color="000000"/>
              <w:right w:val="double" w:sz="6" w:space="0" w:color="auto"/>
            </w:tcBorders>
            <w:vAlign w:val="center"/>
          </w:tcPr>
          <w:p w:rsidR="00FD6520" w:rsidRPr="00D53B04" w:rsidRDefault="00FD6520" w:rsidP="00AC79EE">
            <w:pPr>
              <w:rPr>
                <w:rFonts w:ascii="Calibri" w:hAnsi="Calibri" w:cs="Calibri"/>
                <w:color w:val="000000"/>
              </w:rPr>
            </w:pPr>
          </w:p>
        </w:tc>
        <w:tc>
          <w:tcPr>
            <w:tcW w:w="929" w:type="dxa"/>
            <w:tcBorders>
              <w:top w:val="nil"/>
              <w:left w:val="nil"/>
              <w:bottom w:val="double" w:sz="6" w:space="0" w:color="auto"/>
              <w:right w:val="double" w:sz="6" w:space="0" w:color="auto"/>
            </w:tcBorders>
            <w:noWrap/>
            <w:vAlign w:val="bottom"/>
          </w:tcPr>
          <w:p w:rsidR="00FD6520" w:rsidRPr="00D53B04" w:rsidRDefault="00FD6520" w:rsidP="00AC79EE">
            <w:pPr>
              <w:rPr>
                <w:rFonts w:ascii="Calibri" w:hAnsi="Calibri" w:cs="Calibri"/>
                <w:color w:val="000000"/>
              </w:rPr>
            </w:pPr>
            <w:r w:rsidRPr="00D53B04">
              <w:rPr>
                <w:rFonts w:ascii="Calibri" w:hAnsi="Calibri" w:cs="Calibri"/>
                <w:color w:val="000000"/>
                <w:sz w:val="22"/>
                <w:szCs w:val="22"/>
              </w:rPr>
              <w:t>MMSEI</w:t>
            </w:r>
          </w:p>
        </w:tc>
        <w:tc>
          <w:tcPr>
            <w:tcW w:w="967" w:type="dxa"/>
            <w:tcBorders>
              <w:top w:val="nil"/>
              <w:left w:val="nil"/>
              <w:bottom w:val="double" w:sz="6" w:space="0" w:color="auto"/>
              <w:right w:val="double" w:sz="6"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34</w:t>
            </w:r>
          </w:p>
        </w:tc>
        <w:tc>
          <w:tcPr>
            <w:tcW w:w="929" w:type="dxa"/>
            <w:tcBorders>
              <w:top w:val="nil"/>
              <w:left w:val="nil"/>
              <w:bottom w:val="double" w:sz="6" w:space="0" w:color="auto"/>
              <w:right w:val="double" w:sz="6" w:space="0" w:color="auto"/>
            </w:tcBorders>
            <w:shd w:val="clear" w:color="000000" w:fill="C2D69A"/>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113</w:t>
            </w:r>
          </w:p>
        </w:tc>
        <w:tc>
          <w:tcPr>
            <w:tcW w:w="817" w:type="dxa"/>
            <w:tcBorders>
              <w:top w:val="nil"/>
              <w:left w:val="nil"/>
              <w:bottom w:val="double" w:sz="6" w:space="0" w:color="auto"/>
              <w:right w:val="double" w:sz="6"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12</w:t>
            </w:r>
          </w:p>
        </w:tc>
        <w:tc>
          <w:tcPr>
            <w:tcW w:w="817" w:type="dxa"/>
            <w:tcBorders>
              <w:top w:val="nil"/>
              <w:left w:val="nil"/>
              <w:bottom w:val="double" w:sz="6" w:space="0" w:color="auto"/>
              <w:right w:val="double" w:sz="6"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0</w:t>
            </w:r>
          </w:p>
        </w:tc>
        <w:tc>
          <w:tcPr>
            <w:tcW w:w="812" w:type="dxa"/>
            <w:tcBorders>
              <w:top w:val="nil"/>
              <w:left w:val="nil"/>
              <w:bottom w:val="double" w:sz="6" w:space="0" w:color="auto"/>
              <w:right w:val="double" w:sz="6"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3</w:t>
            </w:r>
          </w:p>
        </w:tc>
        <w:tc>
          <w:tcPr>
            <w:tcW w:w="855" w:type="dxa"/>
            <w:tcBorders>
              <w:top w:val="nil"/>
              <w:left w:val="nil"/>
              <w:bottom w:val="double" w:sz="6" w:space="0" w:color="auto"/>
              <w:right w:val="single" w:sz="12"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162</w:t>
            </w:r>
          </w:p>
        </w:tc>
      </w:tr>
      <w:tr w:rsidR="00733989" w:rsidRPr="00D53B04" w:rsidTr="00733989">
        <w:trPr>
          <w:cantSplit/>
          <w:trHeight w:val="603"/>
          <w:jc w:val="center"/>
        </w:trPr>
        <w:tc>
          <w:tcPr>
            <w:tcW w:w="539" w:type="dxa"/>
            <w:vMerge/>
            <w:tcBorders>
              <w:top w:val="nil"/>
              <w:left w:val="single" w:sz="12" w:space="0" w:color="auto"/>
              <w:bottom w:val="single" w:sz="12" w:space="0" w:color="000000"/>
              <w:right w:val="double" w:sz="6" w:space="0" w:color="auto"/>
            </w:tcBorders>
            <w:vAlign w:val="center"/>
          </w:tcPr>
          <w:p w:rsidR="00FD6520" w:rsidRPr="00D53B04" w:rsidRDefault="00FD6520" w:rsidP="00AC79EE">
            <w:pPr>
              <w:rPr>
                <w:rFonts w:ascii="Calibri" w:hAnsi="Calibri" w:cs="Calibri"/>
                <w:color w:val="000000"/>
              </w:rPr>
            </w:pPr>
          </w:p>
        </w:tc>
        <w:tc>
          <w:tcPr>
            <w:tcW w:w="929" w:type="dxa"/>
            <w:tcBorders>
              <w:top w:val="nil"/>
              <w:left w:val="nil"/>
              <w:bottom w:val="double" w:sz="6" w:space="0" w:color="auto"/>
              <w:right w:val="double" w:sz="6" w:space="0" w:color="auto"/>
            </w:tcBorders>
            <w:noWrap/>
            <w:vAlign w:val="bottom"/>
          </w:tcPr>
          <w:p w:rsidR="00FD6520" w:rsidRPr="00D53B04" w:rsidRDefault="00FD6520" w:rsidP="00AC79EE">
            <w:pPr>
              <w:rPr>
                <w:rFonts w:ascii="Calibri" w:hAnsi="Calibri" w:cs="Calibri"/>
                <w:color w:val="000000"/>
              </w:rPr>
            </w:pPr>
            <w:r w:rsidRPr="00D53B04">
              <w:rPr>
                <w:rFonts w:ascii="Calibri" w:hAnsi="Calibri" w:cs="Calibri"/>
                <w:color w:val="000000"/>
                <w:sz w:val="22"/>
                <w:szCs w:val="22"/>
              </w:rPr>
              <w:t>AJ</w:t>
            </w:r>
          </w:p>
        </w:tc>
        <w:tc>
          <w:tcPr>
            <w:tcW w:w="967" w:type="dxa"/>
            <w:tcBorders>
              <w:top w:val="nil"/>
              <w:left w:val="nil"/>
              <w:bottom w:val="double" w:sz="6" w:space="0" w:color="auto"/>
              <w:right w:val="double" w:sz="6"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25</w:t>
            </w:r>
          </w:p>
        </w:tc>
        <w:tc>
          <w:tcPr>
            <w:tcW w:w="929" w:type="dxa"/>
            <w:tcBorders>
              <w:top w:val="nil"/>
              <w:left w:val="nil"/>
              <w:bottom w:val="double" w:sz="6" w:space="0" w:color="auto"/>
              <w:right w:val="double" w:sz="6"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14</w:t>
            </w:r>
          </w:p>
        </w:tc>
        <w:tc>
          <w:tcPr>
            <w:tcW w:w="817" w:type="dxa"/>
            <w:tcBorders>
              <w:top w:val="nil"/>
              <w:left w:val="nil"/>
              <w:bottom w:val="double" w:sz="6" w:space="0" w:color="auto"/>
              <w:right w:val="double" w:sz="6" w:space="0" w:color="auto"/>
            </w:tcBorders>
            <w:shd w:val="clear" w:color="000000" w:fill="C2D69A"/>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188</w:t>
            </w:r>
          </w:p>
        </w:tc>
        <w:tc>
          <w:tcPr>
            <w:tcW w:w="817" w:type="dxa"/>
            <w:tcBorders>
              <w:top w:val="nil"/>
              <w:left w:val="nil"/>
              <w:bottom w:val="double" w:sz="6" w:space="0" w:color="auto"/>
              <w:right w:val="double" w:sz="6"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1</w:t>
            </w:r>
          </w:p>
        </w:tc>
        <w:tc>
          <w:tcPr>
            <w:tcW w:w="812" w:type="dxa"/>
            <w:tcBorders>
              <w:top w:val="nil"/>
              <w:left w:val="nil"/>
              <w:bottom w:val="double" w:sz="6" w:space="0" w:color="auto"/>
              <w:right w:val="double" w:sz="6"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12</w:t>
            </w:r>
          </w:p>
        </w:tc>
        <w:tc>
          <w:tcPr>
            <w:tcW w:w="855" w:type="dxa"/>
            <w:tcBorders>
              <w:top w:val="nil"/>
              <w:left w:val="nil"/>
              <w:bottom w:val="double" w:sz="6" w:space="0" w:color="auto"/>
              <w:right w:val="single" w:sz="12"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240</w:t>
            </w:r>
          </w:p>
        </w:tc>
      </w:tr>
      <w:tr w:rsidR="00733989" w:rsidRPr="00D53B04" w:rsidTr="00733989">
        <w:trPr>
          <w:cantSplit/>
          <w:trHeight w:val="603"/>
          <w:jc w:val="center"/>
        </w:trPr>
        <w:tc>
          <w:tcPr>
            <w:tcW w:w="539" w:type="dxa"/>
            <w:vMerge/>
            <w:tcBorders>
              <w:top w:val="nil"/>
              <w:left w:val="single" w:sz="12" w:space="0" w:color="auto"/>
              <w:bottom w:val="single" w:sz="12" w:space="0" w:color="000000"/>
              <w:right w:val="double" w:sz="6" w:space="0" w:color="auto"/>
            </w:tcBorders>
            <w:vAlign w:val="center"/>
          </w:tcPr>
          <w:p w:rsidR="00FD6520" w:rsidRPr="00D53B04" w:rsidRDefault="00FD6520" w:rsidP="00AC79EE">
            <w:pPr>
              <w:rPr>
                <w:rFonts w:ascii="Calibri" w:hAnsi="Calibri" w:cs="Calibri"/>
                <w:color w:val="000000"/>
              </w:rPr>
            </w:pPr>
          </w:p>
        </w:tc>
        <w:tc>
          <w:tcPr>
            <w:tcW w:w="929" w:type="dxa"/>
            <w:tcBorders>
              <w:top w:val="nil"/>
              <w:left w:val="nil"/>
              <w:bottom w:val="double" w:sz="6" w:space="0" w:color="auto"/>
              <w:right w:val="double" w:sz="6" w:space="0" w:color="auto"/>
            </w:tcBorders>
            <w:noWrap/>
            <w:vAlign w:val="bottom"/>
          </w:tcPr>
          <w:p w:rsidR="00FD6520" w:rsidRPr="00D53B04" w:rsidRDefault="00FD6520" w:rsidP="00AC79EE">
            <w:pPr>
              <w:rPr>
                <w:rFonts w:ascii="Calibri" w:hAnsi="Calibri" w:cs="Calibri"/>
                <w:color w:val="000000"/>
              </w:rPr>
            </w:pPr>
            <w:r w:rsidRPr="00D53B04">
              <w:rPr>
                <w:rFonts w:ascii="Calibri" w:hAnsi="Calibri" w:cs="Calibri"/>
                <w:color w:val="000000"/>
                <w:sz w:val="22"/>
                <w:szCs w:val="22"/>
              </w:rPr>
              <w:t>ST</w:t>
            </w:r>
          </w:p>
        </w:tc>
        <w:tc>
          <w:tcPr>
            <w:tcW w:w="967" w:type="dxa"/>
            <w:tcBorders>
              <w:top w:val="nil"/>
              <w:left w:val="nil"/>
              <w:bottom w:val="double" w:sz="6" w:space="0" w:color="auto"/>
              <w:right w:val="double" w:sz="6"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1</w:t>
            </w:r>
          </w:p>
        </w:tc>
        <w:tc>
          <w:tcPr>
            <w:tcW w:w="929" w:type="dxa"/>
            <w:tcBorders>
              <w:top w:val="nil"/>
              <w:left w:val="nil"/>
              <w:bottom w:val="double" w:sz="6" w:space="0" w:color="auto"/>
              <w:right w:val="double" w:sz="6"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0</w:t>
            </w:r>
          </w:p>
        </w:tc>
        <w:tc>
          <w:tcPr>
            <w:tcW w:w="817" w:type="dxa"/>
            <w:tcBorders>
              <w:top w:val="nil"/>
              <w:left w:val="nil"/>
              <w:bottom w:val="double" w:sz="6" w:space="0" w:color="auto"/>
              <w:right w:val="double" w:sz="6"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3</w:t>
            </w:r>
          </w:p>
        </w:tc>
        <w:tc>
          <w:tcPr>
            <w:tcW w:w="817" w:type="dxa"/>
            <w:tcBorders>
              <w:top w:val="nil"/>
              <w:left w:val="nil"/>
              <w:bottom w:val="double" w:sz="6" w:space="0" w:color="auto"/>
              <w:right w:val="double" w:sz="6" w:space="0" w:color="auto"/>
            </w:tcBorders>
            <w:shd w:val="clear" w:color="000000" w:fill="C2D69A"/>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56</w:t>
            </w:r>
          </w:p>
        </w:tc>
        <w:tc>
          <w:tcPr>
            <w:tcW w:w="812" w:type="dxa"/>
            <w:tcBorders>
              <w:top w:val="nil"/>
              <w:left w:val="nil"/>
              <w:bottom w:val="double" w:sz="6" w:space="0" w:color="auto"/>
              <w:right w:val="double" w:sz="6"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9</w:t>
            </w:r>
          </w:p>
        </w:tc>
        <w:tc>
          <w:tcPr>
            <w:tcW w:w="855" w:type="dxa"/>
            <w:tcBorders>
              <w:top w:val="nil"/>
              <w:left w:val="nil"/>
              <w:bottom w:val="double" w:sz="6" w:space="0" w:color="auto"/>
              <w:right w:val="single" w:sz="12"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69</w:t>
            </w:r>
          </w:p>
        </w:tc>
      </w:tr>
      <w:tr w:rsidR="007C638A" w:rsidRPr="00D53B04" w:rsidTr="00733989">
        <w:trPr>
          <w:cantSplit/>
          <w:trHeight w:val="603"/>
          <w:jc w:val="center"/>
        </w:trPr>
        <w:tc>
          <w:tcPr>
            <w:tcW w:w="539" w:type="dxa"/>
            <w:vMerge/>
            <w:tcBorders>
              <w:top w:val="nil"/>
              <w:left w:val="single" w:sz="12" w:space="0" w:color="auto"/>
              <w:bottom w:val="single" w:sz="12" w:space="0" w:color="000000"/>
              <w:right w:val="double" w:sz="6" w:space="0" w:color="auto"/>
            </w:tcBorders>
            <w:vAlign w:val="center"/>
          </w:tcPr>
          <w:p w:rsidR="00FD6520" w:rsidRPr="00D53B04" w:rsidRDefault="00FD6520" w:rsidP="00AC79EE">
            <w:pPr>
              <w:rPr>
                <w:rFonts w:ascii="Calibri" w:hAnsi="Calibri" w:cs="Calibri"/>
                <w:color w:val="000000"/>
              </w:rPr>
            </w:pPr>
          </w:p>
        </w:tc>
        <w:tc>
          <w:tcPr>
            <w:tcW w:w="929" w:type="dxa"/>
            <w:tcBorders>
              <w:top w:val="nil"/>
              <w:left w:val="nil"/>
              <w:bottom w:val="double" w:sz="6" w:space="0" w:color="auto"/>
              <w:right w:val="double" w:sz="6" w:space="0" w:color="auto"/>
            </w:tcBorders>
            <w:noWrap/>
            <w:vAlign w:val="bottom"/>
          </w:tcPr>
          <w:p w:rsidR="00FD6520" w:rsidRPr="00D53B04" w:rsidRDefault="00810822" w:rsidP="00AC79EE">
            <w:pPr>
              <w:rPr>
                <w:rFonts w:ascii="Calibri" w:hAnsi="Calibri" w:cs="Calibri"/>
                <w:color w:val="000000"/>
              </w:rPr>
            </w:pPr>
            <w:r>
              <w:rPr>
                <w:rFonts w:ascii="Calibri" w:hAnsi="Calibri" w:cs="Calibri"/>
                <w:color w:val="000000"/>
                <w:sz w:val="22"/>
                <w:szCs w:val="22"/>
              </w:rPr>
              <w:t>IAS</w:t>
            </w:r>
            <w:r w:rsidR="00FD6520" w:rsidRPr="00D53B04">
              <w:rPr>
                <w:rFonts w:ascii="Calibri" w:hAnsi="Calibri" w:cs="Calibri"/>
                <w:color w:val="000000"/>
                <w:sz w:val="22"/>
                <w:szCs w:val="22"/>
              </w:rPr>
              <w:t>B</w:t>
            </w:r>
          </w:p>
        </w:tc>
        <w:tc>
          <w:tcPr>
            <w:tcW w:w="967" w:type="dxa"/>
            <w:tcBorders>
              <w:top w:val="nil"/>
              <w:left w:val="nil"/>
              <w:bottom w:val="double" w:sz="6" w:space="0" w:color="auto"/>
              <w:right w:val="double" w:sz="6"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20</w:t>
            </w:r>
          </w:p>
        </w:tc>
        <w:tc>
          <w:tcPr>
            <w:tcW w:w="929" w:type="dxa"/>
            <w:tcBorders>
              <w:top w:val="nil"/>
              <w:left w:val="nil"/>
              <w:bottom w:val="double" w:sz="6" w:space="0" w:color="auto"/>
              <w:right w:val="double" w:sz="6" w:space="0" w:color="auto"/>
            </w:tcBorders>
            <w:shd w:val="clear" w:color="auto" w:fill="FBD4B4"/>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35</w:t>
            </w:r>
          </w:p>
        </w:tc>
        <w:tc>
          <w:tcPr>
            <w:tcW w:w="817" w:type="dxa"/>
            <w:tcBorders>
              <w:top w:val="nil"/>
              <w:left w:val="nil"/>
              <w:bottom w:val="double" w:sz="6" w:space="0" w:color="auto"/>
              <w:right w:val="double" w:sz="6"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18</w:t>
            </w:r>
          </w:p>
        </w:tc>
        <w:tc>
          <w:tcPr>
            <w:tcW w:w="817" w:type="dxa"/>
            <w:tcBorders>
              <w:top w:val="nil"/>
              <w:left w:val="nil"/>
              <w:bottom w:val="double" w:sz="6" w:space="0" w:color="auto"/>
              <w:right w:val="double" w:sz="6"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7</w:t>
            </w:r>
          </w:p>
        </w:tc>
        <w:tc>
          <w:tcPr>
            <w:tcW w:w="812" w:type="dxa"/>
            <w:tcBorders>
              <w:top w:val="nil"/>
              <w:left w:val="nil"/>
              <w:bottom w:val="double" w:sz="6" w:space="0" w:color="auto"/>
              <w:right w:val="double" w:sz="6" w:space="0" w:color="auto"/>
            </w:tcBorders>
            <w:shd w:val="clear" w:color="000000" w:fill="C2D69A"/>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337</w:t>
            </w:r>
          </w:p>
        </w:tc>
        <w:tc>
          <w:tcPr>
            <w:tcW w:w="855" w:type="dxa"/>
            <w:tcBorders>
              <w:top w:val="nil"/>
              <w:left w:val="nil"/>
              <w:bottom w:val="double" w:sz="6" w:space="0" w:color="auto"/>
              <w:right w:val="single" w:sz="12"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417</w:t>
            </w:r>
          </w:p>
        </w:tc>
      </w:tr>
      <w:tr w:rsidR="007C638A" w:rsidRPr="00D53B04" w:rsidTr="00733989">
        <w:trPr>
          <w:cantSplit/>
          <w:trHeight w:val="603"/>
          <w:jc w:val="center"/>
        </w:trPr>
        <w:tc>
          <w:tcPr>
            <w:tcW w:w="539" w:type="dxa"/>
            <w:vMerge/>
            <w:tcBorders>
              <w:top w:val="nil"/>
              <w:left w:val="single" w:sz="12" w:space="0" w:color="auto"/>
              <w:bottom w:val="single" w:sz="12" w:space="0" w:color="000000"/>
              <w:right w:val="double" w:sz="6" w:space="0" w:color="auto"/>
            </w:tcBorders>
            <w:vAlign w:val="center"/>
          </w:tcPr>
          <w:p w:rsidR="00FD6520" w:rsidRPr="00D53B04" w:rsidRDefault="00FD6520" w:rsidP="00AC79EE">
            <w:pPr>
              <w:rPr>
                <w:rFonts w:ascii="Calibri" w:hAnsi="Calibri" w:cs="Calibri"/>
                <w:color w:val="000000"/>
              </w:rPr>
            </w:pPr>
          </w:p>
        </w:tc>
        <w:tc>
          <w:tcPr>
            <w:tcW w:w="929" w:type="dxa"/>
            <w:tcBorders>
              <w:top w:val="nil"/>
              <w:left w:val="nil"/>
              <w:bottom w:val="single" w:sz="12" w:space="0" w:color="auto"/>
              <w:right w:val="double" w:sz="6" w:space="0" w:color="auto"/>
            </w:tcBorders>
            <w:noWrap/>
            <w:vAlign w:val="bottom"/>
          </w:tcPr>
          <w:p w:rsidR="00FD6520" w:rsidRPr="00D53B04" w:rsidRDefault="00FD6520" w:rsidP="00AC79EE">
            <w:pPr>
              <w:rPr>
                <w:rFonts w:ascii="Calibri" w:hAnsi="Calibri" w:cs="Calibri"/>
                <w:color w:val="000000"/>
              </w:rPr>
            </w:pPr>
            <w:r w:rsidRPr="00D53B04">
              <w:rPr>
                <w:rFonts w:ascii="Calibri" w:hAnsi="Calibri" w:cs="Calibri"/>
                <w:color w:val="000000"/>
                <w:sz w:val="22"/>
                <w:szCs w:val="22"/>
              </w:rPr>
              <w:t>∑</w:t>
            </w:r>
          </w:p>
        </w:tc>
        <w:tc>
          <w:tcPr>
            <w:tcW w:w="967" w:type="dxa"/>
            <w:tcBorders>
              <w:top w:val="nil"/>
              <w:left w:val="nil"/>
              <w:bottom w:val="single" w:sz="12" w:space="0" w:color="auto"/>
              <w:right w:val="double" w:sz="6"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335</w:t>
            </w:r>
          </w:p>
        </w:tc>
        <w:tc>
          <w:tcPr>
            <w:tcW w:w="929" w:type="dxa"/>
            <w:tcBorders>
              <w:top w:val="nil"/>
              <w:left w:val="nil"/>
              <w:bottom w:val="single" w:sz="12" w:space="0" w:color="auto"/>
              <w:right w:val="double" w:sz="6"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183</w:t>
            </w:r>
          </w:p>
        </w:tc>
        <w:tc>
          <w:tcPr>
            <w:tcW w:w="817" w:type="dxa"/>
            <w:tcBorders>
              <w:top w:val="nil"/>
              <w:left w:val="nil"/>
              <w:bottom w:val="single" w:sz="12" w:space="0" w:color="auto"/>
              <w:right w:val="double" w:sz="6"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273</w:t>
            </w:r>
          </w:p>
        </w:tc>
        <w:tc>
          <w:tcPr>
            <w:tcW w:w="817" w:type="dxa"/>
            <w:tcBorders>
              <w:top w:val="nil"/>
              <w:left w:val="nil"/>
              <w:bottom w:val="single" w:sz="12" w:space="0" w:color="auto"/>
              <w:right w:val="double" w:sz="6"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73</w:t>
            </w:r>
          </w:p>
        </w:tc>
        <w:tc>
          <w:tcPr>
            <w:tcW w:w="812" w:type="dxa"/>
            <w:tcBorders>
              <w:top w:val="nil"/>
              <w:left w:val="nil"/>
              <w:bottom w:val="single" w:sz="12" w:space="0" w:color="auto"/>
              <w:right w:val="double" w:sz="6" w:space="0" w:color="auto"/>
            </w:tcBorders>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363</w:t>
            </w:r>
          </w:p>
        </w:tc>
        <w:tc>
          <w:tcPr>
            <w:tcW w:w="855" w:type="dxa"/>
            <w:tcBorders>
              <w:top w:val="nil"/>
              <w:left w:val="nil"/>
              <w:bottom w:val="single" w:sz="12" w:space="0" w:color="auto"/>
              <w:right w:val="single" w:sz="12" w:space="0" w:color="auto"/>
            </w:tcBorders>
            <w:shd w:val="clear" w:color="000000" w:fill="C2D69A"/>
            <w:noWrap/>
            <w:vAlign w:val="bottom"/>
          </w:tcPr>
          <w:p w:rsidR="00FD6520" w:rsidRPr="00D53B04" w:rsidRDefault="00FD6520" w:rsidP="00AC79EE">
            <w:pPr>
              <w:jc w:val="right"/>
              <w:rPr>
                <w:rFonts w:ascii="Calibri" w:hAnsi="Calibri" w:cs="Calibri"/>
                <w:color w:val="000000"/>
              </w:rPr>
            </w:pPr>
            <w:r w:rsidRPr="00D53B04">
              <w:rPr>
                <w:rFonts w:ascii="Calibri" w:hAnsi="Calibri" w:cs="Calibri"/>
                <w:color w:val="000000"/>
                <w:sz w:val="22"/>
                <w:szCs w:val="22"/>
              </w:rPr>
              <w:t>1227</w:t>
            </w:r>
          </w:p>
        </w:tc>
      </w:tr>
    </w:tbl>
    <w:p w:rsidR="006D646F" w:rsidRDefault="004C7BF9" w:rsidP="006D646F">
      <w:pPr>
        <w:keepNext/>
        <w:spacing w:before="100" w:beforeAutospacing="1" w:after="100" w:afterAutospacing="1" w:line="276" w:lineRule="auto"/>
        <w:ind w:left="720" w:firstLine="720"/>
        <w:rPr>
          <w:rFonts w:ascii="Trebuchet MS" w:hAnsi="Trebuchet MS" w:cs="Trebuchet MS"/>
        </w:rPr>
      </w:pPr>
      <w:r>
        <w:rPr>
          <w:rFonts w:ascii="Trebuchet MS" w:hAnsi="Trebuchet MS" w:cs="Trebuchet MS"/>
        </w:rPr>
        <w:t>Table 2: Agreement Matrix</w:t>
      </w:r>
    </w:p>
    <w:p w:rsidR="00C5764E" w:rsidRDefault="00C5764E" w:rsidP="00C5764E">
      <w:pPr>
        <w:spacing w:before="100" w:beforeAutospacing="1" w:after="100" w:afterAutospacing="1" w:line="300" w:lineRule="auto"/>
        <w:rPr>
          <w:rFonts w:ascii="Trebuchet MS" w:hAnsi="Trebuchet MS" w:cs="Trebuchet MS"/>
        </w:rPr>
      </w:pPr>
      <w:proofErr w:type="gramStart"/>
      <w:r>
        <w:rPr>
          <w:rFonts w:ascii="Trebuchet MS" w:hAnsi="Trebuchet MS" w:cs="Trebuchet MS"/>
        </w:rPr>
        <w:t>an</w:t>
      </w:r>
      <w:proofErr w:type="gramEnd"/>
      <w:r>
        <w:rPr>
          <w:rFonts w:ascii="Trebuchet MS" w:hAnsi="Trebuchet MS" w:cs="Trebuchet MS"/>
        </w:rPr>
        <w:t xml:space="preserve"> abstract judgment rather than a concrete model element, hence AJ. For example, stating that France produced more of its electrical power from nuclear than any other country was regarded as a fact by the CIA rater, and a judgment by the Usability rater. There was also some disagreement in judging whether a segment reflected an information strategy as the CIA rater thought, or model element obtained from the information source. For example, when the subject noted that some work was done by the economist Paul Collier, the usability rater felt that was added to the model and the CIA rater felt it was simply a source description.  </w:t>
      </w:r>
    </w:p>
    <w:p w:rsidR="00FD6520" w:rsidRPr="004736DC" w:rsidRDefault="00FD6520" w:rsidP="00EF520D">
      <w:pPr>
        <w:pStyle w:val="Heading3"/>
        <w:spacing w:before="100" w:beforeAutospacing="1" w:line="276" w:lineRule="auto"/>
        <w:rPr>
          <w:rFonts w:ascii="Trebuchet MS" w:hAnsi="Trebuchet MS" w:cs="Trebuchet MS"/>
          <w:sz w:val="28"/>
        </w:rPr>
      </w:pPr>
      <w:r w:rsidRPr="004736DC">
        <w:rPr>
          <w:rFonts w:ascii="Trebuchet MS" w:hAnsi="Trebuchet MS" w:cs="Trebuchet MS"/>
          <w:sz w:val="28"/>
        </w:rPr>
        <w:lastRenderedPageBreak/>
        <w:t>The Mental Model</w:t>
      </w:r>
    </w:p>
    <w:p w:rsidR="00600E5D" w:rsidRDefault="00FD6520" w:rsidP="00EF520D">
      <w:pPr>
        <w:spacing w:before="100" w:beforeAutospacing="1" w:after="100" w:afterAutospacing="1" w:line="276" w:lineRule="auto"/>
        <w:rPr>
          <w:rFonts w:ascii="Trebuchet MS" w:hAnsi="Trebuchet MS" w:cs="Trebuchet MS"/>
        </w:rPr>
      </w:pPr>
      <w:r>
        <w:rPr>
          <w:rFonts w:ascii="Trebuchet MS" w:hAnsi="Trebuchet MS" w:cs="Trebuchet MS"/>
        </w:rPr>
        <w:t xml:space="preserve">The model constructed by the </w:t>
      </w:r>
      <w:r w:rsidR="00FF34D0">
        <w:rPr>
          <w:rFonts w:ascii="Trebuchet MS" w:hAnsi="Trebuchet MS" w:cs="Trebuchet MS"/>
        </w:rPr>
        <w:t xml:space="preserve">expert </w:t>
      </w:r>
      <w:r>
        <w:rPr>
          <w:rFonts w:ascii="Trebuchet MS" w:hAnsi="Trebuchet MS" w:cs="Trebuchet MS"/>
        </w:rPr>
        <w:t>analyst</w:t>
      </w:r>
      <w:r w:rsidR="00600E5D">
        <w:rPr>
          <w:rFonts w:ascii="Trebuchet MS" w:hAnsi="Trebuchet MS" w:cs="Trebuchet MS"/>
        </w:rPr>
        <w:t xml:space="preserve"> </w:t>
      </w:r>
      <w:r w:rsidR="00FF34D0">
        <w:rPr>
          <w:rFonts w:ascii="Trebuchet MS" w:hAnsi="Trebuchet MS" w:cs="Trebuchet MS"/>
        </w:rPr>
        <w:t xml:space="preserve">for the given problem </w:t>
      </w:r>
      <w:r>
        <w:rPr>
          <w:rFonts w:ascii="Trebuchet MS" w:hAnsi="Trebuchet MS" w:cs="Trebuchet MS"/>
        </w:rPr>
        <w:t xml:space="preserve">consisted of </w:t>
      </w:r>
      <w:r w:rsidR="00600E5D">
        <w:rPr>
          <w:rFonts w:ascii="Trebuchet MS" w:hAnsi="Trebuchet MS" w:cs="Trebuchet MS"/>
        </w:rPr>
        <w:t xml:space="preserve">(1) </w:t>
      </w:r>
      <w:r>
        <w:rPr>
          <w:rFonts w:ascii="Trebuchet MS" w:hAnsi="Trebuchet MS" w:cs="Trebuchet MS"/>
        </w:rPr>
        <w:t>specific elements (such as ‘</w:t>
      </w:r>
      <w:proofErr w:type="spellStart"/>
      <w:r>
        <w:rPr>
          <w:rFonts w:ascii="Trebuchet MS" w:hAnsi="Trebuchet MS" w:cs="Trebuchet MS"/>
        </w:rPr>
        <w:t>Tuareg</w:t>
      </w:r>
      <w:proofErr w:type="spellEnd"/>
      <w:r>
        <w:rPr>
          <w:rFonts w:ascii="Trebuchet MS" w:hAnsi="Trebuchet MS" w:cs="Trebuchet MS"/>
        </w:rPr>
        <w:t xml:space="preserve">’, ‘Uranium’, ‘Country of Niger’, etc.), </w:t>
      </w:r>
      <w:r w:rsidR="00600E5D">
        <w:rPr>
          <w:rFonts w:ascii="Trebuchet MS" w:hAnsi="Trebuchet MS" w:cs="Trebuchet MS"/>
        </w:rPr>
        <w:t xml:space="preserve">(2) </w:t>
      </w:r>
      <w:r>
        <w:rPr>
          <w:rFonts w:ascii="Trebuchet MS" w:hAnsi="Trebuchet MS" w:cs="Trebuchet MS"/>
        </w:rPr>
        <w:t xml:space="preserve">their associated attributes (such as ‘have slaves’; ‘mined in </w:t>
      </w:r>
      <w:proofErr w:type="spellStart"/>
      <w:r>
        <w:rPr>
          <w:rFonts w:ascii="Trebuchet MS" w:hAnsi="Trebuchet MS" w:cs="Trebuchet MS"/>
        </w:rPr>
        <w:t>Arlit</w:t>
      </w:r>
      <w:proofErr w:type="spellEnd"/>
      <w:r>
        <w:rPr>
          <w:rFonts w:ascii="Trebuchet MS" w:hAnsi="Trebuchet MS" w:cs="Trebuchet MS"/>
        </w:rPr>
        <w:t xml:space="preserve">’, ‘part of Sahel) and </w:t>
      </w:r>
      <w:r w:rsidR="00600E5D">
        <w:rPr>
          <w:rFonts w:ascii="Trebuchet MS" w:hAnsi="Trebuchet MS" w:cs="Trebuchet MS"/>
        </w:rPr>
        <w:t xml:space="preserve">(3) </w:t>
      </w:r>
      <w:r>
        <w:rPr>
          <w:rFonts w:ascii="Trebuchet MS" w:hAnsi="Trebuchet MS" w:cs="Trebuchet MS"/>
        </w:rPr>
        <w:t xml:space="preserve">the relationships between them (such as ‘causes trouble for’, ‘has high regard for, ‘produces money for’). </w:t>
      </w:r>
      <w:r w:rsidR="00FF34D0">
        <w:rPr>
          <w:rFonts w:ascii="Trebuchet MS" w:hAnsi="Trebuchet MS" w:cs="Trebuchet MS"/>
        </w:rPr>
        <w:t>The analyst clearly brought a basic framework for his mental model to the session that appeared to be independent of content and was not explicitly described in the think aloud.</w:t>
      </w:r>
      <w:r w:rsidR="00FF34D0" w:rsidRPr="00FF34D0">
        <w:rPr>
          <w:rFonts w:ascii="Trebuchet MS" w:hAnsi="Trebuchet MS" w:cs="Trebuchet MS"/>
        </w:rPr>
        <w:t xml:space="preserve"> </w:t>
      </w:r>
      <w:r w:rsidR="00FF34D0">
        <w:rPr>
          <w:rFonts w:ascii="Trebuchet MS" w:hAnsi="Trebuchet MS" w:cs="Trebuchet MS"/>
        </w:rPr>
        <w:t xml:space="preserve">The model itself was slowly elaborated within this framework in a non-linear fashion as the session proceeded, interspersed with episodes of information gathering and analytic judgment. </w:t>
      </w:r>
      <w:r>
        <w:rPr>
          <w:rFonts w:ascii="Trebuchet MS" w:hAnsi="Trebuchet MS" w:cs="Trebuchet MS"/>
        </w:rPr>
        <w:t xml:space="preserve">The participant initially populated the model with known elements and their attributes, then introduced relationships between the elements and occasionally made an analytic judgment concerning the relationship. Certain elements that were repeatedly mentioned were considered to be major elements. Relationships that were tangential to the argument or merely described a major element were considered attributes of that element. </w:t>
      </w:r>
    </w:p>
    <w:p w:rsidR="00FF34D0" w:rsidRDefault="00FD6520" w:rsidP="00EF520D">
      <w:pPr>
        <w:spacing w:before="100" w:beforeAutospacing="1" w:after="100" w:afterAutospacing="1" w:line="276" w:lineRule="auto"/>
        <w:rPr>
          <w:rFonts w:ascii="Trebuchet MS" w:hAnsi="Trebuchet MS" w:cs="Trebuchet MS"/>
        </w:rPr>
      </w:pPr>
      <w:r>
        <w:rPr>
          <w:rFonts w:ascii="Trebuchet MS" w:hAnsi="Trebuchet MS" w:cs="Trebuchet MS"/>
        </w:rPr>
        <w:t xml:space="preserve">As the model population </w:t>
      </w:r>
      <w:r w:rsidR="00FF34D0">
        <w:rPr>
          <w:rFonts w:ascii="Trebuchet MS" w:hAnsi="Trebuchet MS" w:cs="Trebuchet MS"/>
        </w:rPr>
        <w:t>proceeded,</w:t>
      </w:r>
      <w:r>
        <w:rPr>
          <w:rFonts w:ascii="Trebuchet MS" w:hAnsi="Trebuchet MS" w:cs="Trebuchet MS"/>
        </w:rPr>
        <w:t xml:space="preserve"> the subject created more elaborate and important relationships </w:t>
      </w:r>
      <w:r w:rsidR="00600E5D">
        <w:rPr>
          <w:rFonts w:ascii="Trebuchet MS" w:hAnsi="Trebuchet MS" w:cs="Trebuchet MS"/>
        </w:rPr>
        <w:t xml:space="preserve">among </w:t>
      </w:r>
      <w:r>
        <w:rPr>
          <w:rFonts w:ascii="Trebuchet MS" w:hAnsi="Trebuchet MS" w:cs="Trebuchet MS"/>
        </w:rPr>
        <w:t>the major elements.  These relationships, which were characteristically introduced later in the session, were used primarily to ground analytical judgments. Th</w:t>
      </w:r>
      <w:r w:rsidR="00600E5D">
        <w:rPr>
          <w:rFonts w:ascii="Trebuchet MS" w:hAnsi="Trebuchet MS" w:cs="Trebuchet MS"/>
        </w:rPr>
        <w:t>e</w:t>
      </w:r>
      <w:r>
        <w:rPr>
          <w:rFonts w:ascii="Trebuchet MS" w:hAnsi="Trebuchet MS" w:cs="Trebuchet MS"/>
        </w:rPr>
        <w:t xml:space="preserve"> mental model was specified so completely by the think-aloud protocol that a graphical representation of it could be constructed. That map is shown in Figure 2</w:t>
      </w:r>
      <w:r w:rsidR="00FF34D0">
        <w:rPr>
          <w:rFonts w:ascii="Trebuchet MS" w:hAnsi="Trebuchet MS" w:cs="Trebuchet MS"/>
        </w:rPr>
        <w:t xml:space="preserve"> below</w:t>
      </w:r>
      <w:r>
        <w:rPr>
          <w:rFonts w:ascii="Trebuchet MS" w:hAnsi="Trebuchet MS" w:cs="Trebuchet MS"/>
        </w:rPr>
        <w:t xml:space="preserve">. </w:t>
      </w:r>
    </w:p>
    <w:p w:rsidR="006D646F" w:rsidRPr="006D646F" w:rsidRDefault="00154B2A" w:rsidP="006D646F">
      <w:pPr>
        <w:pStyle w:val="Heading1"/>
        <w:rPr>
          <w:rFonts w:ascii="Trebuchet MS" w:hAnsi="Trebuchet MS"/>
          <w:b w:val="0"/>
          <w:sz w:val="36"/>
          <w:szCs w:val="36"/>
        </w:rPr>
      </w:pPr>
      <w:r>
        <w:rPr>
          <w:rFonts w:ascii="Trebuchet MS" w:hAnsi="Trebuchet MS"/>
          <w:color w:val="auto"/>
          <w:sz w:val="36"/>
          <w:szCs w:val="36"/>
        </w:rPr>
        <w:t>Analysis of Coded Segments</w:t>
      </w:r>
    </w:p>
    <w:p w:rsidR="00FF34D0" w:rsidRPr="004B08B0" w:rsidRDefault="00FF34D0" w:rsidP="00FF34D0">
      <w:pPr>
        <w:spacing w:before="100" w:beforeAutospacing="1" w:after="100" w:afterAutospacing="1" w:line="276" w:lineRule="auto"/>
        <w:rPr>
          <w:rFonts w:ascii="Trebuchet MS" w:hAnsi="Trebuchet MS" w:cs="Trebuchet MS"/>
          <w:b/>
          <w:sz w:val="28"/>
          <w:szCs w:val="28"/>
        </w:rPr>
      </w:pPr>
      <w:r w:rsidRPr="004B08B0">
        <w:rPr>
          <w:rFonts w:ascii="Trebuchet MS" w:hAnsi="Trebuchet MS" w:cs="Trebuchet MS"/>
          <w:b/>
          <w:sz w:val="28"/>
          <w:szCs w:val="28"/>
        </w:rPr>
        <w:t>MMSEI and PEEM Segments</w:t>
      </w:r>
    </w:p>
    <w:p w:rsidR="00154B2A" w:rsidRDefault="00FF34D0" w:rsidP="00FF34D0">
      <w:pPr>
        <w:spacing w:before="100" w:beforeAutospacing="1" w:after="100" w:afterAutospacing="1" w:line="276" w:lineRule="auto"/>
        <w:rPr>
          <w:rFonts w:ascii="Trebuchet MS" w:hAnsi="Trebuchet MS" w:cs="Trebuchet MS"/>
        </w:rPr>
      </w:pPr>
      <w:r>
        <w:rPr>
          <w:rFonts w:ascii="Trebuchet MS" w:hAnsi="Trebuchet MS" w:cs="Trebuchet MS"/>
        </w:rPr>
        <w:t xml:space="preserve">The distinction between the PEEM </w:t>
      </w:r>
      <w:r w:rsidRPr="00D17554">
        <w:rPr>
          <w:rFonts w:ascii="Trebuchet MS" w:hAnsi="Trebuchet MS" w:cs="Trebuchet MS"/>
        </w:rPr>
        <w:t>and</w:t>
      </w:r>
      <w:r>
        <w:rPr>
          <w:rFonts w:ascii="Trebuchet MS" w:hAnsi="Trebuchet MS" w:cs="Trebuchet MS"/>
        </w:rPr>
        <w:t xml:space="preserve"> MMSEI codes does not refer to model construction per se, but rather to the apparent source of the information that was being used to construct the mental model. This distinction was made in order to elucidate the impact of the open source system on the cognition of the expert. Examination of the final map reveals that all the </w:t>
      </w:r>
      <w:r w:rsidRPr="002B0759">
        <w:rPr>
          <w:rFonts w:ascii="Trebuchet MS" w:hAnsi="Trebuchet MS" w:cs="Trebuchet MS"/>
          <w:i/>
        </w:rPr>
        <w:t>elements</w:t>
      </w:r>
      <w:r>
        <w:rPr>
          <w:rFonts w:ascii="Trebuchet MS" w:hAnsi="Trebuchet MS" w:cs="Trebuchet MS"/>
        </w:rPr>
        <w:t xml:space="preserve"> specified in the think aloud were almost certainly available in the expert’s memory before the session began.  This is also true of most of the attributes and relationships. </w:t>
      </w:r>
    </w:p>
    <w:p w:rsidR="00FF34D0" w:rsidRDefault="00154B2A" w:rsidP="00FF34D0">
      <w:pPr>
        <w:spacing w:before="100" w:beforeAutospacing="1" w:after="100" w:afterAutospacing="1" w:line="276" w:lineRule="auto"/>
        <w:rPr>
          <w:rFonts w:ascii="Trebuchet MS" w:hAnsi="Trebuchet MS" w:cs="Trebuchet MS"/>
        </w:rPr>
      </w:pPr>
      <w:r>
        <w:rPr>
          <w:rFonts w:ascii="Trebuchet MS" w:hAnsi="Trebuchet MS" w:cs="Trebuchet MS"/>
        </w:rPr>
        <w:t xml:space="preserve">This does not mean the open source information had no impact on the expert process analysis. </w:t>
      </w:r>
      <w:r w:rsidR="00FF34D0">
        <w:rPr>
          <w:rFonts w:ascii="Trebuchet MS" w:hAnsi="Trebuchet MS" w:cs="Trebuchet MS"/>
        </w:rPr>
        <w:t xml:space="preserve">In some cases, </w:t>
      </w:r>
      <w:r>
        <w:rPr>
          <w:rFonts w:ascii="Trebuchet MS" w:hAnsi="Trebuchet MS" w:cs="Trebuchet MS"/>
        </w:rPr>
        <w:t>open source information led the expert to refine a relationship between model elements, such as when an article summary reported that NGOs were concerned that the government of Niger was not sharing uranium profits</w:t>
      </w:r>
      <w:r w:rsidR="00FF34D0">
        <w:rPr>
          <w:rFonts w:ascii="Trebuchet MS" w:hAnsi="Trebuchet MS" w:cs="Trebuchet MS"/>
        </w:rPr>
        <w:t xml:space="preserve">. </w:t>
      </w:r>
      <w:r w:rsidR="00FF34D0">
        <w:rPr>
          <w:rFonts w:ascii="Trebuchet MS" w:hAnsi="Trebuchet MS" w:cs="Trebuchet MS"/>
        </w:rPr>
        <w:lastRenderedPageBreak/>
        <w:t xml:space="preserve">Surely the expert knew the profits were not being fairly shared, but he did not appear to know that NGO’s had reported this. </w:t>
      </w:r>
      <w:r>
        <w:rPr>
          <w:rFonts w:ascii="Trebuchet MS" w:hAnsi="Trebuchet MS" w:cs="Trebuchet MS"/>
        </w:rPr>
        <w:t>Similarly</w:t>
      </w:r>
      <w:r w:rsidR="00FF34D0">
        <w:rPr>
          <w:rFonts w:ascii="Trebuchet MS" w:hAnsi="Trebuchet MS" w:cs="Trebuchet MS"/>
        </w:rPr>
        <w:t xml:space="preserve"> it seems probable that while </w:t>
      </w:r>
      <w:r>
        <w:rPr>
          <w:rFonts w:ascii="Trebuchet MS" w:hAnsi="Trebuchet MS" w:cs="Trebuchet MS"/>
        </w:rPr>
        <w:t>the expert</w:t>
      </w:r>
      <w:r w:rsidR="00FF34D0">
        <w:rPr>
          <w:rFonts w:ascii="Trebuchet MS" w:hAnsi="Trebuchet MS" w:cs="Trebuchet MS"/>
        </w:rPr>
        <w:t xml:space="preserve"> </w:t>
      </w:r>
      <w:r w:rsidR="00564F50">
        <w:rPr>
          <w:rFonts w:ascii="Trebuchet MS" w:hAnsi="Trebuchet MS" w:cs="Trebuchet MS"/>
        </w:rPr>
        <w:t xml:space="preserve">certainly </w:t>
      </w:r>
      <w:r w:rsidR="00FF34D0">
        <w:rPr>
          <w:rFonts w:ascii="Trebuchet MS" w:hAnsi="Trebuchet MS" w:cs="Trebuchet MS"/>
        </w:rPr>
        <w:t xml:space="preserve">knew </w:t>
      </w:r>
      <w:r>
        <w:rPr>
          <w:rFonts w:ascii="Trebuchet MS" w:hAnsi="Trebuchet MS" w:cs="Trebuchet MS"/>
        </w:rPr>
        <w:t xml:space="preserve">that </w:t>
      </w:r>
      <w:r w:rsidR="00FF34D0">
        <w:rPr>
          <w:rFonts w:ascii="Trebuchet MS" w:hAnsi="Trebuchet MS" w:cs="Trebuchet MS"/>
        </w:rPr>
        <w:t>Niger was a major uranium producer, he did not necessarily know it was the 4</w:t>
      </w:r>
      <w:r w:rsidR="00FF34D0" w:rsidRPr="00BC656D">
        <w:rPr>
          <w:rFonts w:ascii="Trebuchet MS" w:hAnsi="Trebuchet MS" w:cs="Trebuchet MS"/>
          <w:vertAlign w:val="superscript"/>
        </w:rPr>
        <w:t>th</w:t>
      </w:r>
      <w:r w:rsidR="00FF34D0">
        <w:rPr>
          <w:rFonts w:ascii="Trebuchet MS" w:hAnsi="Trebuchet MS" w:cs="Trebuchet MS"/>
        </w:rPr>
        <w:t xml:space="preserve"> largest producer in the world</w:t>
      </w:r>
      <w:r w:rsidR="00564F50">
        <w:rPr>
          <w:rFonts w:ascii="Trebuchet MS" w:hAnsi="Trebuchet MS" w:cs="Trebuchet MS"/>
        </w:rPr>
        <w:t xml:space="preserve"> (as reported in another open source summary)</w:t>
      </w:r>
      <w:r w:rsidR="00FF34D0">
        <w:rPr>
          <w:rFonts w:ascii="Trebuchet MS" w:hAnsi="Trebuchet MS" w:cs="Trebuchet MS"/>
        </w:rPr>
        <w:t>. These are examples of the type of refinements the open source system provi</w:t>
      </w:r>
      <w:r>
        <w:rPr>
          <w:rFonts w:ascii="Trebuchet MS" w:hAnsi="Trebuchet MS" w:cs="Trebuchet MS"/>
        </w:rPr>
        <w:t>ded the expert’s mental model. We would anticipate that n</w:t>
      </w:r>
      <w:r w:rsidR="00FF34D0">
        <w:rPr>
          <w:rFonts w:ascii="Trebuchet MS" w:hAnsi="Trebuchet MS" w:cs="Trebuchet MS"/>
        </w:rPr>
        <w:t xml:space="preserve">ovice or general analysts would respond to the </w:t>
      </w:r>
      <w:r w:rsidR="00564F50">
        <w:rPr>
          <w:rFonts w:ascii="Trebuchet MS" w:hAnsi="Trebuchet MS" w:cs="Trebuchet MS"/>
        </w:rPr>
        <w:t xml:space="preserve">open source </w:t>
      </w:r>
      <w:r w:rsidR="00FF34D0">
        <w:rPr>
          <w:rFonts w:ascii="Trebuchet MS" w:hAnsi="Trebuchet MS" w:cs="Trebuchet MS"/>
        </w:rPr>
        <w:t xml:space="preserve">system output in a very different way, in that much of the specific information would not be in their memory, and therefore we might expect that they would use the </w:t>
      </w:r>
      <w:r>
        <w:rPr>
          <w:rFonts w:ascii="Trebuchet MS" w:hAnsi="Trebuchet MS" w:cs="Trebuchet MS"/>
        </w:rPr>
        <w:t xml:space="preserve">open source </w:t>
      </w:r>
      <w:r w:rsidR="00FF34D0">
        <w:rPr>
          <w:rFonts w:ascii="Trebuchet MS" w:hAnsi="Trebuchet MS" w:cs="Trebuchet MS"/>
        </w:rPr>
        <w:t xml:space="preserve">system to introduce new </w:t>
      </w:r>
      <w:r w:rsidR="00564F50">
        <w:rPr>
          <w:rFonts w:ascii="Trebuchet MS" w:hAnsi="Trebuchet MS" w:cs="Trebuchet MS"/>
        </w:rPr>
        <w:t>elements to their mental model, rather than simply make refinements of existing relationships.</w:t>
      </w:r>
    </w:p>
    <w:p w:rsidR="00FD6520" w:rsidRDefault="00810822" w:rsidP="00EF520D">
      <w:pPr>
        <w:spacing w:before="100" w:beforeAutospacing="1" w:after="100" w:afterAutospacing="1" w:line="276" w:lineRule="auto"/>
        <w:rPr>
          <w:rFonts w:ascii="Trebuchet MS" w:hAnsi="Trebuchet MS" w:cs="Trebuchet MS"/>
        </w:rPr>
      </w:pPr>
      <w:r>
        <w:rPr>
          <w:rFonts w:ascii="Trebuchet MS" w:hAnsi="Trebuchet MS" w:cs="Trebuchet MS"/>
          <w:noProof/>
        </w:rPr>
        <w:drawing>
          <wp:inline distT="0" distB="0" distL="0" distR="0">
            <wp:extent cx="5943600" cy="4268335"/>
            <wp:effectExtent l="19050" t="0" r="0" b="0"/>
            <wp:docPr id="5" name="Picture 3" descr="\\PALLAVIPC\pallavi\research\RA\images\final_processdiagram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LAVIPC\pallavi\research\RA\images\final_processdiagram - Copy.jpg"/>
                    <pic:cNvPicPr>
                      <a:picLocks noChangeAspect="1" noChangeArrowheads="1"/>
                    </pic:cNvPicPr>
                  </pic:nvPicPr>
                  <pic:blipFill>
                    <a:blip r:embed="rId9"/>
                    <a:srcRect/>
                    <a:stretch>
                      <a:fillRect/>
                    </a:stretch>
                  </pic:blipFill>
                  <pic:spPr bwMode="auto">
                    <a:xfrm>
                      <a:off x="0" y="0"/>
                      <a:ext cx="5943600" cy="4268335"/>
                    </a:xfrm>
                    <a:prstGeom prst="rect">
                      <a:avLst/>
                    </a:prstGeom>
                    <a:noFill/>
                    <a:ln w="9525">
                      <a:noFill/>
                      <a:miter lim="800000"/>
                      <a:headEnd/>
                      <a:tailEnd/>
                    </a:ln>
                  </pic:spPr>
                </pic:pic>
              </a:graphicData>
            </a:graphic>
          </wp:inline>
        </w:drawing>
      </w:r>
    </w:p>
    <w:p w:rsidR="00FD6520" w:rsidRDefault="00FD6520" w:rsidP="00EF520D">
      <w:pPr>
        <w:spacing w:before="100" w:beforeAutospacing="1" w:after="100" w:afterAutospacing="1" w:line="276" w:lineRule="auto"/>
        <w:rPr>
          <w:rFonts w:ascii="Trebuchet MS" w:hAnsi="Trebuchet MS" w:cs="Trebuchet MS"/>
        </w:rPr>
      </w:pPr>
    </w:p>
    <w:p w:rsidR="00FD6520" w:rsidRPr="007248D5" w:rsidRDefault="004555E3" w:rsidP="00EF520D">
      <w:pPr>
        <w:spacing w:before="100" w:beforeAutospacing="1" w:after="100" w:afterAutospacing="1" w:line="276" w:lineRule="auto"/>
        <w:rPr>
          <w:rFonts w:ascii="Trebuchet MS" w:hAnsi="Trebuchet MS" w:cs="Trebuchet MS"/>
        </w:rPr>
      </w:pPr>
      <w:r>
        <w:rPr>
          <w:rFonts w:ascii="Trebuchet MS" w:hAnsi="Trebuchet MS" w:cs="Trebuchet MS"/>
        </w:rPr>
        <w:t xml:space="preserve">Figure 2: A static representation of the participant’s mental model derived from the think aloud protocol. Each element in the model is annotated by a list of attributes and directional relationships between them are noted. </w:t>
      </w:r>
      <w:r>
        <w:rPr>
          <w:rFonts w:ascii="Trebuchet MS" w:hAnsi="Trebuchet MS" w:cs="Trebuchet MS"/>
        </w:rPr>
        <w:softHyphen/>
      </w:r>
      <w:r>
        <w:rPr>
          <w:rFonts w:ascii="Trebuchet MS" w:hAnsi="Trebuchet MS" w:cs="Trebuchet MS"/>
        </w:rPr>
        <w:softHyphen/>
      </w:r>
      <w:r>
        <w:rPr>
          <w:rFonts w:ascii="Trebuchet MS" w:hAnsi="Trebuchet MS" w:cs="Trebuchet MS"/>
        </w:rPr>
        <w:softHyphen/>
      </w:r>
    </w:p>
    <w:p w:rsidR="00FD6520" w:rsidRPr="00154B2A" w:rsidRDefault="00154B2A" w:rsidP="00EF520D">
      <w:pPr>
        <w:spacing w:before="100" w:beforeAutospacing="1" w:after="100" w:afterAutospacing="1" w:line="276" w:lineRule="auto"/>
        <w:rPr>
          <w:rFonts w:ascii="Trebuchet MS" w:hAnsi="Trebuchet MS" w:cs="Trebuchet MS"/>
          <w:b/>
        </w:rPr>
      </w:pPr>
      <w:r>
        <w:rPr>
          <w:rFonts w:ascii="Trebuchet MS" w:hAnsi="Trebuchet MS" w:cs="Trebuchet MS"/>
        </w:rPr>
        <w:lastRenderedPageBreak/>
        <w:t xml:space="preserve">Since the primary purposes of this exploratory study was to assess the impact of the output of a semi-automated open-source tool on a high-level expert, the MMSEI segments in which the subject inspected these products were carefully examined. The expert read the analytic piece presented and commented that it was based on the output of a keyword based open source search. He noted that such types of reports required additional background information that cannot be obtained solely from aggregates of news articles. One apparent benefit of reading the piece was to highlight the information not included in the report. That then stimulated him to fill </w:t>
      </w:r>
      <w:r w:rsidR="00FF34D0">
        <w:rPr>
          <w:rFonts w:ascii="Trebuchet MS" w:hAnsi="Trebuchet MS" w:cs="Trebuchet MS"/>
        </w:rPr>
        <w:t>in that specific material from his memory and add it to the mental model. An example of this was adding attributes to the element ‘</w:t>
      </w:r>
      <w:proofErr w:type="spellStart"/>
      <w:r w:rsidR="00FF34D0">
        <w:rPr>
          <w:rFonts w:ascii="Trebuchet MS" w:hAnsi="Trebuchet MS" w:cs="Trebuchet MS"/>
        </w:rPr>
        <w:t>Tuareg</w:t>
      </w:r>
      <w:proofErr w:type="spellEnd"/>
      <w:r w:rsidR="00FF34D0">
        <w:rPr>
          <w:rFonts w:ascii="Trebuchet MS" w:hAnsi="Trebuchet MS" w:cs="Trebuchet MS"/>
        </w:rPr>
        <w:t>’ to include such things as a declining salt trade and the historical role of slavery. It also served the useful benefit of reminding him to include all model elements that were specifically mentioned in the piece, and even to provide, in a few cases, some refinements of which he was apparently not aware.</w:t>
      </w:r>
    </w:p>
    <w:p w:rsidR="00FD6520" w:rsidRPr="00F32AEC" w:rsidRDefault="00FD6520" w:rsidP="00EF520D">
      <w:pPr>
        <w:spacing w:before="100" w:beforeAutospacing="1" w:after="100" w:afterAutospacing="1" w:line="276" w:lineRule="auto"/>
        <w:rPr>
          <w:rFonts w:ascii="Trebuchet MS" w:hAnsi="Trebuchet MS" w:cs="Trebuchet MS"/>
          <w:b/>
          <w:sz w:val="28"/>
          <w:szCs w:val="28"/>
        </w:rPr>
      </w:pPr>
      <w:r w:rsidRPr="00F32AEC">
        <w:rPr>
          <w:rFonts w:ascii="Trebuchet MS" w:hAnsi="Trebuchet MS" w:cs="Trebuchet MS"/>
          <w:b/>
          <w:sz w:val="28"/>
          <w:szCs w:val="28"/>
        </w:rPr>
        <w:t>Analytic Judgment Segments</w:t>
      </w:r>
    </w:p>
    <w:p w:rsidR="00FD6520" w:rsidRDefault="00FD6520" w:rsidP="00EF520D">
      <w:pPr>
        <w:spacing w:before="100" w:beforeAutospacing="1" w:after="100" w:afterAutospacing="1" w:line="276" w:lineRule="auto"/>
        <w:rPr>
          <w:rFonts w:ascii="Trebuchet MS" w:hAnsi="Trebuchet MS" w:cs="Trebuchet MS"/>
        </w:rPr>
      </w:pPr>
      <w:r>
        <w:rPr>
          <w:rFonts w:ascii="Trebuchet MS" w:hAnsi="Trebuchet MS" w:cs="Trebuchet MS"/>
        </w:rPr>
        <w:t xml:space="preserve">Examination of the segments coded AJ revealed </w:t>
      </w:r>
      <w:r w:rsidR="00564F50">
        <w:rPr>
          <w:rFonts w:ascii="Trebuchet MS" w:hAnsi="Trebuchet MS" w:cs="Trebuchet MS"/>
        </w:rPr>
        <w:t>five</w:t>
      </w:r>
      <w:r>
        <w:rPr>
          <w:rFonts w:ascii="Trebuchet MS" w:hAnsi="Trebuchet MS" w:cs="Trebuchet MS"/>
        </w:rPr>
        <w:t xml:space="preserve"> separate cognitive sub-processes </w:t>
      </w:r>
      <w:r w:rsidR="00564F50">
        <w:rPr>
          <w:rFonts w:ascii="Trebuchet MS" w:hAnsi="Trebuchet MS" w:cs="Trebuchet MS"/>
        </w:rPr>
        <w:t xml:space="preserve">being </w:t>
      </w:r>
      <w:r>
        <w:rPr>
          <w:rFonts w:ascii="Trebuchet MS" w:hAnsi="Trebuchet MS" w:cs="Trebuchet MS"/>
        </w:rPr>
        <w:t>used to directly reach analytic conclusions (see Figure 4).</w:t>
      </w:r>
      <w:r w:rsidR="00564F50">
        <w:rPr>
          <w:rFonts w:ascii="Trebuchet MS" w:hAnsi="Trebuchet MS" w:cs="Trebuchet MS"/>
        </w:rPr>
        <w:t xml:space="preserve">  These were:</w:t>
      </w:r>
    </w:p>
    <w:p w:rsidR="00FD6520" w:rsidRDefault="00564F50" w:rsidP="00F32AEC">
      <w:pPr>
        <w:pStyle w:val="ListParagraph"/>
        <w:numPr>
          <w:ilvl w:val="0"/>
          <w:numId w:val="4"/>
        </w:numPr>
        <w:spacing w:before="100" w:beforeAutospacing="1" w:after="100" w:afterAutospacing="1" w:line="276" w:lineRule="auto"/>
        <w:rPr>
          <w:rFonts w:ascii="Trebuchet MS" w:hAnsi="Trebuchet MS" w:cs="Trebuchet MS"/>
        </w:rPr>
      </w:pPr>
      <w:r>
        <w:rPr>
          <w:rFonts w:ascii="Trebuchet MS" w:hAnsi="Trebuchet MS" w:cs="Trebuchet MS"/>
        </w:rPr>
        <w:t>A</w:t>
      </w:r>
      <w:r w:rsidRPr="00F32AEC">
        <w:rPr>
          <w:rFonts w:ascii="Trebuchet MS" w:hAnsi="Trebuchet MS" w:cs="Trebuchet MS"/>
        </w:rPr>
        <w:t xml:space="preserve"> </w:t>
      </w:r>
      <w:r w:rsidR="00FD6520" w:rsidRPr="00F32AEC">
        <w:rPr>
          <w:rFonts w:ascii="Trebuchet MS" w:hAnsi="Trebuchet MS" w:cs="Trebuchet MS"/>
        </w:rPr>
        <w:t xml:space="preserve">process </w:t>
      </w:r>
      <w:r>
        <w:rPr>
          <w:rFonts w:ascii="Trebuchet MS" w:hAnsi="Trebuchet MS" w:cs="Trebuchet MS"/>
        </w:rPr>
        <w:t>where</w:t>
      </w:r>
      <w:r w:rsidR="00FD6520" w:rsidRPr="00F32AEC">
        <w:rPr>
          <w:rFonts w:ascii="Trebuchet MS" w:hAnsi="Trebuchet MS" w:cs="Trebuchet MS"/>
        </w:rPr>
        <w:t xml:space="preserve"> theory</w:t>
      </w:r>
      <w:r>
        <w:rPr>
          <w:rFonts w:ascii="Trebuchet MS" w:hAnsi="Trebuchet MS" w:cs="Trebuchet MS"/>
        </w:rPr>
        <w:t xml:space="preserve"> is used</w:t>
      </w:r>
      <w:r w:rsidR="00FD6520" w:rsidRPr="00F32AEC">
        <w:rPr>
          <w:rFonts w:ascii="Trebuchet MS" w:hAnsi="Trebuchet MS" w:cs="Trebuchet MS"/>
        </w:rPr>
        <w:t xml:space="preserve"> to support a conclusion. An example is </w:t>
      </w:r>
      <w:r>
        <w:rPr>
          <w:rFonts w:ascii="Trebuchet MS" w:hAnsi="Trebuchet MS" w:cs="Trebuchet MS"/>
        </w:rPr>
        <w:t xml:space="preserve">the theory advanced by the expert </w:t>
      </w:r>
      <w:r w:rsidR="00FD6520" w:rsidRPr="00F32AEC">
        <w:rPr>
          <w:rFonts w:ascii="Trebuchet MS" w:hAnsi="Trebuchet MS" w:cs="Trebuchet MS"/>
        </w:rPr>
        <w:t xml:space="preserve">that young men between the ages of 16 and 22 trained in an insurgency are likely to turn to banditry when the insurgency ends. </w:t>
      </w:r>
      <w:r>
        <w:rPr>
          <w:rFonts w:ascii="Trebuchet MS" w:hAnsi="Trebuchet MS" w:cs="Trebuchet MS"/>
        </w:rPr>
        <w:t>This supports the conclusion that</w:t>
      </w:r>
      <w:r w:rsidR="00FD6520" w:rsidRPr="00F32AEC">
        <w:rPr>
          <w:rFonts w:ascii="Trebuchet MS" w:hAnsi="Trebuchet MS" w:cs="Trebuchet MS"/>
        </w:rPr>
        <w:t xml:space="preserve"> an uptick in banditry</w:t>
      </w:r>
      <w:r>
        <w:rPr>
          <w:rFonts w:ascii="Trebuchet MS" w:hAnsi="Trebuchet MS" w:cs="Trebuchet MS"/>
        </w:rPr>
        <w:t xml:space="preserve"> in Niger</w:t>
      </w:r>
      <w:r w:rsidR="00FD6520" w:rsidRPr="00F32AEC">
        <w:rPr>
          <w:rFonts w:ascii="Trebuchet MS" w:hAnsi="Trebuchet MS" w:cs="Trebuchet MS"/>
        </w:rPr>
        <w:t xml:space="preserve"> is a sign the insurgency is weakening.</w:t>
      </w:r>
    </w:p>
    <w:p w:rsidR="00FD6520" w:rsidRDefault="00FD6520" w:rsidP="00F32AEC">
      <w:pPr>
        <w:pStyle w:val="ListParagraph"/>
        <w:numPr>
          <w:ilvl w:val="0"/>
          <w:numId w:val="4"/>
        </w:numPr>
        <w:spacing w:before="100" w:beforeAutospacing="1" w:after="100" w:afterAutospacing="1" w:line="276" w:lineRule="auto"/>
        <w:rPr>
          <w:rFonts w:ascii="Trebuchet MS" w:hAnsi="Trebuchet MS" w:cs="Trebuchet MS"/>
        </w:rPr>
      </w:pPr>
      <w:r w:rsidRPr="00F32AEC">
        <w:rPr>
          <w:rFonts w:ascii="Trebuchet MS" w:hAnsi="Trebuchet MS" w:cs="Trebuchet MS"/>
        </w:rPr>
        <w:t xml:space="preserve"> A process </w:t>
      </w:r>
      <w:r w:rsidR="00564F50">
        <w:rPr>
          <w:rFonts w:ascii="Trebuchet MS" w:hAnsi="Trebuchet MS" w:cs="Trebuchet MS"/>
        </w:rPr>
        <w:t>where</w:t>
      </w:r>
      <w:r w:rsidR="00564F50" w:rsidRPr="00F32AEC">
        <w:rPr>
          <w:rFonts w:ascii="Trebuchet MS" w:hAnsi="Trebuchet MS" w:cs="Trebuchet MS"/>
        </w:rPr>
        <w:t xml:space="preserve"> </w:t>
      </w:r>
      <w:r w:rsidRPr="00F32AEC">
        <w:rPr>
          <w:rFonts w:ascii="Trebuchet MS" w:hAnsi="Trebuchet MS" w:cs="Trebuchet MS"/>
        </w:rPr>
        <w:t>hypothetical “what ifs”</w:t>
      </w:r>
      <w:r w:rsidR="00564F50">
        <w:rPr>
          <w:rFonts w:ascii="Trebuchet MS" w:hAnsi="Trebuchet MS" w:cs="Trebuchet MS"/>
        </w:rPr>
        <w:t xml:space="preserve"> are used to support a conclusion. </w:t>
      </w:r>
      <w:r w:rsidRPr="00F32AEC">
        <w:rPr>
          <w:rFonts w:ascii="Trebuchet MS" w:hAnsi="Trebuchet MS" w:cs="Trebuchet MS"/>
        </w:rPr>
        <w:t xml:space="preserve"> </w:t>
      </w:r>
      <w:r w:rsidR="00564F50">
        <w:rPr>
          <w:rFonts w:ascii="Trebuchet MS" w:hAnsi="Trebuchet MS" w:cs="Trebuchet MS"/>
        </w:rPr>
        <w:t>F</w:t>
      </w:r>
      <w:r w:rsidRPr="00F32AEC">
        <w:rPr>
          <w:rFonts w:ascii="Trebuchet MS" w:hAnsi="Trebuchet MS" w:cs="Trebuchet MS"/>
        </w:rPr>
        <w:t>or example</w:t>
      </w:r>
      <w:r w:rsidR="00564F50">
        <w:rPr>
          <w:rFonts w:ascii="Trebuchet MS" w:hAnsi="Trebuchet MS" w:cs="Trebuchet MS"/>
        </w:rPr>
        <w:t>, the expert</w:t>
      </w:r>
      <w:r w:rsidRPr="00F32AEC">
        <w:rPr>
          <w:rFonts w:ascii="Trebuchet MS" w:hAnsi="Trebuchet MS" w:cs="Trebuchet MS"/>
        </w:rPr>
        <w:t xml:space="preserve"> not</w:t>
      </w:r>
      <w:r w:rsidR="00564F50">
        <w:rPr>
          <w:rFonts w:ascii="Trebuchet MS" w:hAnsi="Trebuchet MS" w:cs="Trebuchet MS"/>
        </w:rPr>
        <w:t>ed</w:t>
      </w:r>
      <w:r w:rsidRPr="00F32AEC">
        <w:rPr>
          <w:rFonts w:ascii="Trebuchet MS" w:hAnsi="Trebuchet MS" w:cs="Trebuchet MS"/>
        </w:rPr>
        <w:t xml:space="preserve"> that if the government invited Doctors </w:t>
      </w:r>
      <w:proofErr w:type="gramStart"/>
      <w:r w:rsidRPr="00F32AEC">
        <w:rPr>
          <w:rFonts w:ascii="Trebuchet MS" w:hAnsi="Trebuchet MS" w:cs="Trebuchet MS"/>
        </w:rPr>
        <w:t>Without</w:t>
      </w:r>
      <w:proofErr w:type="gramEnd"/>
      <w:r w:rsidRPr="00F32AEC">
        <w:rPr>
          <w:rFonts w:ascii="Trebuchet MS" w:hAnsi="Trebuchet MS" w:cs="Trebuchet MS"/>
        </w:rPr>
        <w:t xml:space="preserve"> Borders to return, it would be a sign that the situation is improving. </w:t>
      </w:r>
    </w:p>
    <w:p w:rsidR="00FD6520" w:rsidRDefault="00564F50" w:rsidP="00F32AEC">
      <w:pPr>
        <w:pStyle w:val="ListParagraph"/>
        <w:numPr>
          <w:ilvl w:val="0"/>
          <w:numId w:val="4"/>
        </w:numPr>
        <w:spacing w:before="100" w:beforeAutospacing="1" w:after="100" w:afterAutospacing="1" w:line="276" w:lineRule="auto"/>
        <w:rPr>
          <w:rFonts w:ascii="Trebuchet MS" w:hAnsi="Trebuchet MS" w:cs="Trebuchet MS"/>
        </w:rPr>
      </w:pPr>
      <w:r>
        <w:rPr>
          <w:rFonts w:ascii="Trebuchet MS" w:hAnsi="Trebuchet MS" w:cs="Trebuchet MS"/>
        </w:rPr>
        <w:t>A process where conclusions are</w:t>
      </w:r>
      <w:r w:rsidR="00FD6520" w:rsidRPr="00F32AEC">
        <w:rPr>
          <w:rFonts w:ascii="Trebuchet MS" w:hAnsi="Trebuchet MS" w:cs="Trebuchet MS"/>
        </w:rPr>
        <w:t xml:space="preserve"> drawn from </w:t>
      </w:r>
      <w:r w:rsidR="001D4B95">
        <w:rPr>
          <w:rFonts w:ascii="Trebuchet MS" w:hAnsi="Trebuchet MS" w:cs="Trebuchet MS"/>
        </w:rPr>
        <w:t>analogous</w:t>
      </w:r>
      <w:r w:rsidR="00FD6520" w:rsidRPr="00F32AEC">
        <w:rPr>
          <w:rFonts w:ascii="Trebuchet MS" w:hAnsi="Trebuchet MS" w:cs="Trebuchet MS"/>
        </w:rPr>
        <w:t xml:space="preserve"> situations</w:t>
      </w:r>
      <w:r>
        <w:rPr>
          <w:rFonts w:ascii="Trebuchet MS" w:hAnsi="Trebuchet MS" w:cs="Trebuchet MS"/>
        </w:rPr>
        <w:t>.  F</w:t>
      </w:r>
      <w:r w:rsidR="00FD6520" w:rsidRPr="00F32AEC">
        <w:rPr>
          <w:rFonts w:ascii="Trebuchet MS" w:hAnsi="Trebuchet MS" w:cs="Trebuchet MS"/>
        </w:rPr>
        <w:t>or example</w:t>
      </w:r>
      <w:r>
        <w:rPr>
          <w:rFonts w:ascii="Trebuchet MS" w:hAnsi="Trebuchet MS" w:cs="Trebuchet MS"/>
        </w:rPr>
        <w:t>, the expert</w:t>
      </w:r>
      <w:r w:rsidR="00FD6520" w:rsidRPr="00F32AEC">
        <w:rPr>
          <w:rFonts w:ascii="Trebuchet MS" w:hAnsi="Trebuchet MS" w:cs="Trebuchet MS"/>
        </w:rPr>
        <w:t xml:space="preserve"> not</w:t>
      </w:r>
      <w:r>
        <w:rPr>
          <w:rFonts w:ascii="Trebuchet MS" w:hAnsi="Trebuchet MS" w:cs="Trebuchet MS"/>
        </w:rPr>
        <w:t>ed</w:t>
      </w:r>
      <w:r w:rsidR="00FD6520" w:rsidRPr="00F32AEC">
        <w:rPr>
          <w:rFonts w:ascii="Trebuchet MS" w:hAnsi="Trebuchet MS" w:cs="Trebuchet MS"/>
        </w:rPr>
        <w:t xml:space="preserve"> that banditry increased during the wind down of the IRA insurgency in Ireland. </w:t>
      </w:r>
    </w:p>
    <w:p w:rsidR="00FD6520" w:rsidRDefault="00FD6520" w:rsidP="00F32AEC">
      <w:pPr>
        <w:pStyle w:val="ListParagraph"/>
        <w:numPr>
          <w:ilvl w:val="0"/>
          <w:numId w:val="4"/>
        </w:numPr>
        <w:spacing w:before="100" w:beforeAutospacing="1" w:after="100" w:afterAutospacing="1" w:line="276" w:lineRule="auto"/>
        <w:rPr>
          <w:rFonts w:ascii="Trebuchet MS" w:hAnsi="Trebuchet MS" w:cs="Trebuchet MS"/>
        </w:rPr>
      </w:pPr>
      <w:r w:rsidRPr="00F32AEC">
        <w:rPr>
          <w:rFonts w:ascii="Trebuchet MS" w:hAnsi="Trebuchet MS" w:cs="Trebuchet MS"/>
        </w:rPr>
        <w:t xml:space="preserve">A process </w:t>
      </w:r>
      <w:r w:rsidR="00564F50">
        <w:rPr>
          <w:rFonts w:ascii="Trebuchet MS" w:hAnsi="Trebuchet MS" w:cs="Trebuchet MS"/>
        </w:rPr>
        <w:t>where</w:t>
      </w:r>
      <w:r w:rsidRPr="00F32AEC">
        <w:rPr>
          <w:rFonts w:ascii="Trebuchet MS" w:hAnsi="Trebuchet MS" w:cs="Trebuchet MS"/>
        </w:rPr>
        <w:t xml:space="preserve"> references to narrow specific events </w:t>
      </w:r>
      <w:r w:rsidR="00564F50">
        <w:rPr>
          <w:rFonts w:ascii="Trebuchet MS" w:hAnsi="Trebuchet MS" w:cs="Trebuchet MS"/>
        </w:rPr>
        <w:t>are used to</w:t>
      </w:r>
      <w:r w:rsidR="00564F50" w:rsidRPr="00F32AEC">
        <w:rPr>
          <w:rFonts w:ascii="Trebuchet MS" w:hAnsi="Trebuchet MS" w:cs="Trebuchet MS"/>
        </w:rPr>
        <w:t xml:space="preserve"> </w:t>
      </w:r>
      <w:r w:rsidRPr="00F32AEC">
        <w:rPr>
          <w:rFonts w:ascii="Trebuchet MS" w:hAnsi="Trebuchet MS" w:cs="Trebuchet MS"/>
        </w:rPr>
        <w:t xml:space="preserve">indicate a larger process is underway. For example, </w:t>
      </w:r>
      <w:r w:rsidR="00564F50">
        <w:rPr>
          <w:rFonts w:ascii="Trebuchet MS" w:hAnsi="Trebuchet MS" w:cs="Trebuchet MS"/>
        </w:rPr>
        <w:t>the expert noted</w:t>
      </w:r>
      <w:r w:rsidR="00564F50" w:rsidRPr="00F32AEC">
        <w:rPr>
          <w:rFonts w:ascii="Trebuchet MS" w:hAnsi="Trebuchet MS" w:cs="Trebuchet MS"/>
        </w:rPr>
        <w:t xml:space="preserve"> </w:t>
      </w:r>
      <w:r w:rsidRPr="00F32AEC">
        <w:rPr>
          <w:rFonts w:ascii="Trebuchet MS" w:hAnsi="Trebuchet MS" w:cs="Trebuchet MS"/>
        </w:rPr>
        <w:t xml:space="preserve">that an arrested reporter had been recently released </w:t>
      </w:r>
      <w:r w:rsidR="007248D5">
        <w:rPr>
          <w:rFonts w:ascii="Trebuchet MS" w:hAnsi="Trebuchet MS" w:cs="Trebuchet MS"/>
        </w:rPr>
        <w:t xml:space="preserve">and this </w:t>
      </w:r>
      <w:r w:rsidRPr="00F32AEC">
        <w:rPr>
          <w:rFonts w:ascii="Trebuchet MS" w:hAnsi="Trebuchet MS" w:cs="Trebuchet MS"/>
        </w:rPr>
        <w:t xml:space="preserve">led to the judgment that the government might be opening communication. </w:t>
      </w:r>
      <w:r w:rsidR="007248D5">
        <w:rPr>
          <w:rFonts w:ascii="Trebuchet MS" w:hAnsi="Trebuchet MS" w:cs="Trebuchet MS"/>
        </w:rPr>
        <w:t>The expert</w:t>
      </w:r>
      <w:r w:rsidR="007248D5" w:rsidRPr="00F32AEC">
        <w:rPr>
          <w:rFonts w:ascii="Trebuchet MS" w:hAnsi="Trebuchet MS" w:cs="Trebuchet MS"/>
        </w:rPr>
        <w:t xml:space="preserve"> </w:t>
      </w:r>
      <w:r w:rsidR="007248D5">
        <w:rPr>
          <w:rFonts w:ascii="Trebuchet MS" w:hAnsi="Trebuchet MS" w:cs="Trebuchet MS"/>
        </w:rPr>
        <w:t>went on to note that</w:t>
      </w:r>
      <w:r w:rsidRPr="00F32AEC">
        <w:rPr>
          <w:rFonts w:ascii="Trebuchet MS" w:hAnsi="Trebuchet MS" w:cs="Trebuchet MS"/>
        </w:rPr>
        <w:t xml:space="preserve"> open communication would decrease the likelihood of instability. However, a hypothesized re-arrest would be a very negative sign, and the expert alerted himself to monitor for that event. </w:t>
      </w:r>
    </w:p>
    <w:p w:rsidR="00FD6520" w:rsidRDefault="007248D5" w:rsidP="00F32AEC">
      <w:pPr>
        <w:pStyle w:val="ListParagraph"/>
        <w:numPr>
          <w:ilvl w:val="0"/>
          <w:numId w:val="4"/>
        </w:numPr>
        <w:spacing w:before="100" w:beforeAutospacing="1" w:after="100" w:afterAutospacing="1" w:line="276" w:lineRule="auto"/>
        <w:rPr>
          <w:rFonts w:ascii="Trebuchet MS" w:hAnsi="Trebuchet MS" w:cs="Trebuchet MS"/>
        </w:rPr>
      </w:pPr>
      <w:r>
        <w:rPr>
          <w:rFonts w:ascii="Trebuchet MS" w:hAnsi="Trebuchet MS" w:cs="Trebuchet MS"/>
        </w:rPr>
        <w:t xml:space="preserve">A </w:t>
      </w:r>
      <w:r w:rsidR="00FD6520" w:rsidRPr="00F32AEC">
        <w:rPr>
          <w:rFonts w:ascii="Trebuchet MS" w:hAnsi="Trebuchet MS" w:cs="Trebuchet MS"/>
        </w:rPr>
        <w:t xml:space="preserve">process </w:t>
      </w:r>
      <w:r>
        <w:rPr>
          <w:rFonts w:ascii="Trebuchet MS" w:hAnsi="Trebuchet MS" w:cs="Trebuchet MS"/>
        </w:rPr>
        <w:t>where</w:t>
      </w:r>
      <w:r w:rsidR="00FD6520" w:rsidRPr="00F32AEC">
        <w:rPr>
          <w:rFonts w:ascii="Trebuchet MS" w:hAnsi="Trebuchet MS" w:cs="Trebuchet MS"/>
        </w:rPr>
        <w:t xml:space="preserve"> the expert</w:t>
      </w:r>
      <w:r>
        <w:rPr>
          <w:rFonts w:ascii="Trebuchet MS" w:hAnsi="Trebuchet MS" w:cs="Trebuchet MS"/>
        </w:rPr>
        <w:t xml:space="preserve"> employs a</w:t>
      </w:r>
      <w:r w:rsidR="00FD6520" w:rsidRPr="00F32AEC">
        <w:rPr>
          <w:rFonts w:ascii="Trebuchet MS" w:hAnsi="Trebuchet MS" w:cs="Trebuchet MS"/>
        </w:rPr>
        <w:t xml:space="preserve"> value system to develop the implications of the totality of the conclusions. For example, </w:t>
      </w:r>
      <w:r>
        <w:rPr>
          <w:rFonts w:ascii="Trebuchet MS" w:hAnsi="Trebuchet MS" w:cs="Trebuchet MS"/>
        </w:rPr>
        <w:t>the expert noted</w:t>
      </w:r>
      <w:r w:rsidRPr="00F32AEC">
        <w:rPr>
          <w:rFonts w:ascii="Trebuchet MS" w:hAnsi="Trebuchet MS" w:cs="Trebuchet MS"/>
        </w:rPr>
        <w:t xml:space="preserve"> </w:t>
      </w:r>
      <w:r w:rsidR="00FD6520" w:rsidRPr="00F32AEC">
        <w:rPr>
          <w:rFonts w:ascii="Trebuchet MS" w:hAnsi="Trebuchet MS" w:cs="Trebuchet MS"/>
        </w:rPr>
        <w:t xml:space="preserve">that a </w:t>
      </w:r>
      <w:r w:rsidR="00FD6520" w:rsidRPr="00F32AEC">
        <w:rPr>
          <w:rFonts w:ascii="Trebuchet MS" w:hAnsi="Trebuchet MS" w:cs="Trebuchet MS"/>
        </w:rPr>
        <w:lastRenderedPageBreak/>
        <w:t xml:space="preserve">scenario in which the government attempts total militarily suppression of the </w:t>
      </w:r>
      <w:proofErr w:type="spellStart"/>
      <w:r w:rsidR="00FD6520" w:rsidRPr="00F32AEC">
        <w:rPr>
          <w:rFonts w:ascii="Trebuchet MS" w:hAnsi="Trebuchet MS" w:cs="Trebuchet MS"/>
        </w:rPr>
        <w:t>Tuaregs</w:t>
      </w:r>
      <w:proofErr w:type="spellEnd"/>
      <w:r w:rsidR="00FD6520" w:rsidRPr="00F32AEC">
        <w:rPr>
          <w:rFonts w:ascii="Trebuchet MS" w:hAnsi="Trebuchet MS" w:cs="Trebuchet MS"/>
        </w:rPr>
        <w:t xml:space="preserve"> would simply “keep going on until they are all dead or expelled” and the situation could get “nasty</w:t>
      </w:r>
      <w:r>
        <w:rPr>
          <w:rFonts w:ascii="Trebuchet MS" w:hAnsi="Trebuchet MS" w:cs="Trebuchet MS"/>
        </w:rPr>
        <w:t>.”</w:t>
      </w:r>
    </w:p>
    <w:p w:rsidR="00FD6520" w:rsidRPr="00F32AEC" w:rsidRDefault="001D4B95" w:rsidP="00F32AEC">
      <w:pPr>
        <w:spacing w:before="100" w:beforeAutospacing="1" w:after="100" w:afterAutospacing="1" w:line="276" w:lineRule="auto"/>
        <w:rPr>
          <w:rFonts w:ascii="Trebuchet MS" w:hAnsi="Trebuchet MS" w:cs="Trebuchet MS"/>
        </w:rPr>
      </w:pPr>
      <w:r>
        <w:rPr>
          <w:rFonts w:ascii="Trebuchet MS" w:hAnsi="Trebuchet MS" w:cs="Trebuchet MS"/>
        </w:rPr>
        <w:t>These five</w:t>
      </w:r>
      <w:r w:rsidR="007248D5">
        <w:rPr>
          <w:rFonts w:ascii="Trebuchet MS" w:hAnsi="Trebuchet MS" w:cs="Trebuchet MS"/>
        </w:rPr>
        <w:t xml:space="preserve"> processes were coded as “AJ” and e</w:t>
      </w:r>
      <w:r w:rsidR="00FD6520" w:rsidRPr="00F32AEC">
        <w:rPr>
          <w:rFonts w:ascii="Trebuchet MS" w:hAnsi="Trebuchet MS" w:cs="Trebuchet MS"/>
        </w:rPr>
        <w:t xml:space="preserve">ach </w:t>
      </w:r>
      <w:r w:rsidR="007248D5">
        <w:rPr>
          <w:rFonts w:ascii="Trebuchet MS" w:hAnsi="Trebuchet MS" w:cs="Trebuchet MS"/>
        </w:rPr>
        <w:t>was</w:t>
      </w:r>
      <w:r w:rsidR="00FD6520" w:rsidRPr="00F32AEC">
        <w:rPr>
          <w:rFonts w:ascii="Trebuchet MS" w:hAnsi="Trebuchet MS" w:cs="Trebuchet MS"/>
        </w:rPr>
        <w:t xml:space="preserve"> used multiple times during the session, but tended to be concentrated at the end of the session.</w:t>
      </w:r>
      <w:r w:rsidRPr="001D4B95">
        <w:rPr>
          <w:rFonts w:ascii="Trebuchet MS" w:hAnsi="Trebuchet MS" w:cs="Trebuchet MS"/>
        </w:rPr>
        <w:t xml:space="preserve"> </w:t>
      </w:r>
      <w:r>
        <w:rPr>
          <w:rFonts w:ascii="Trebuchet MS" w:hAnsi="Trebuchet MS" w:cs="Trebuchet MS"/>
        </w:rPr>
        <w:t>The processes appear to be grounded in the mental model discussed in the previous section, but can be applied independently of the content (i.e. they would still apply in a model with a different domain).</w:t>
      </w:r>
    </w:p>
    <w:p w:rsidR="00FD6520" w:rsidRDefault="008E2A8A" w:rsidP="00EF520D">
      <w:pPr>
        <w:spacing w:before="100" w:beforeAutospacing="1" w:after="100" w:afterAutospacing="1" w:line="276" w:lineRule="auto"/>
        <w:rPr>
          <w:rFonts w:ascii="Trebuchet MS" w:hAnsi="Trebuchet MS" w:cs="Trebuchet MS"/>
        </w:rPr>
      </w:pPr>
      <w:r>
        <w:rPr>
          <w:rFonts w:ascii="Trebuchet MS" w:hAnsi="Trebuchet MS" w:cs="Trebuchet MS"/>
          <w:noProof/>
        </w:rPr>
        <w:drawing>
          <wp:inline distT="0" distB="0" distL="0" distR="0">
            <wp:extent cx="4761865" cy="3541899"/>
            <wp:effectExtent l="0" t="0" r="0" b="0"/>
            <wp:docPr id="2"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FD6520" w:rsidRPr="001D4B95" w:rsidRDefault="00FD6520" w:rsidP="001D4B95">
      <w:pPr>
        <w:spacing w:before="100" w:beforeAutospacing="1" w:after="100" w:afterAutospacing="1" w:line="276" w:lineRule="auto"/>
        <w:jc w:val="center"/>
        <w:rPr>
          <w:rFonts w:ascii="Trebuchet MS" w:hAnsi="Trebuchet MS" w:cs="Trebuchet MS"/>
          <w:sz w:val="20"/>
          <w:szCs w:val="20"/>
        </w:rPr>
      </w:pPr>
      <w:proofErr w:type="gramStart"/>
      <w:r w:rsidRPr="001D4B95">
        <w:rPr>
          <w:rFonts w:ascii="Trebuchet MS" w:hAnsi="Trebuchet MS" w:cs="Trebuchet MS"/>
          <w:sz w:val="20"/>
          <w:szCs w:val="20"/>
        </w:rPr>
        <w:t>Figure 4.</w:t>
      </w:r>
      <w:proofErr w:type="gramEnd"/>
      <w:r w:rsidRPr="001D4B95">
        <w:rPr>
          <w:rFonts w:ascii="Trebuchet MS" w:hAnsi="Trebuchet MS" w:cs="Trebuchet MS"/>
          <w:sz w:val="20"/>
          <w:szCs w:val="20"/>
        </w:rPr>
        <w:t xml:space="preserve"> </w:t>
      </w:r>
      <w:r w:rsidR="001D4B95" w:rsidRPr="001D4B95">
        <w:rPr>
          <w:rFonts w:ascii="Trebuchet MS" w:hAnsi="Trebuchet MS" w:cs="Trebuchet MS"/>
          <w:sz w:val="20"/>
          <w:szCs w:val="20"/>
        </w:rPr>
        <w:t>The</w:t>
      </w:r>
      <w:r w:rsidR="001D4B95">
        <w:rPr>
          <w:rFonts w:ascii="Trebuchet MS" w:hAnsi="Trebuchet MS" w:cs="Trebuchet MS"/>
          <w:sz w:val="20"/>
          <w:szCs w:val="20"/>
        </w:rPr>
        <w:t xml:space="preserve"> five</w:t>
      </w:r>
      <w:r w:rsidRPr="001D4B95">
        <w:rPr>
          <w:rFonts w:ascii="Trebuchet MS" w:hAnsi="Trebuchet MS" w:cs="Trebuchet MS"/>
          <w:sz w:val="20"/>
          <w:szCs w:val="20"/>
        </w:rPr>
        <w:t xml:space="preserve"> analytic processes used by the expert to reach analytic conclusions.</w:t>
      </w:r>
    </w:p>
    <w:p w:rsidR="00FD6520" w:rsidRDefault="00FD6520" w:rsidP="00EF520D">
      <w:pPr>
        <w:spacing w:before="100" w:beforeAutospacing="1" w:after="100" w:afterAutospacing="1" w:line="276" w:lineRule="auto"/>
        <w:rPr>
          <w:rFonts w:ascii="Trebuchet MS" w:hAnsi="Trebuchet MS" w:cs="Trebuchet MS"/>
        </w:rPr>
      </w:pPr>
      <w:r>
        <w:rPr>
          <w:rFonts w:ascii="Trebuchet MS" w:hAnsi="Trebuchet MS" w:cs="Trebuchet MS"/>
        </w:rPr>
        <w:t xml:space="preserve">Analytic Judgment segments </w:t>
      </w:r>
      <w:r w:rsidR="007248D5">
        <w:rPr>
          <w:rFonts w:ascii="Trebuchet MS" w:hAnsi="Trebuchet MS" w:cs="Trebuchet MS"/>
        </w:rPr>
        <w:t xml:space="preserve">were related </w:t>
      </w:r>
      <w:r>
        <w:rPr>
          <w:rFonts w:ascii="Trebuchet MS" w:hAnsi="Trebuchet MS" w:cs="Trebuchet MS"/>
        </w:rPr>
        <w:t>to the model building done in the PEEM and MMSEI segments i</w:t>
      </w:r>
      <w:r w:rsidR="007248D5">
        <w:rPr>
          <w:rFonts w:ascii="Trebuchet MS" w:hAnsi="Trebuchet MS" w:cs="Trebuchet MS"/>
        </w:rPr>
        <w:t>n</w:t>
      </w:r>
      <w:r>
        <w:rPr>
          <w:rFonts w:ascii="Trebuchet MS" w:hAnsi="Trebuchet MS" w:cs="Trebuchet MS"/>
        </w:rPr>
        <w:t xml:space="preserve"> that the model provided the framework which grounded the analytic conclusions.  However, </w:t>
      </w:r>
      <w:r w:rsidR="008518EE">
        <w:rPr>
          <w:rFonts w:ascii="Trebuchet MS" w:hAnsi="Trebuchet MS" w:cs="Trebuchet MS"/>
        </w:rPr>
        <w:t>the conclusions themselves were developed from AJ processes that can be generalized to any analysis situation</w:t>
      </w:r>
      <w:r>
        <w:rPr>
          <w:rFonts w:ascii="Trebuchet MS" w:hAnsi="Trebuchet MS" w:cs="Trebuchet MS"/>
        </w:rPr>
        <w:t>.  For example</w:t>
      </w:r>
      <w:r w:rsidR="007248D5">
        <w:rPr>
          <w:rFonts w:ascii="Trebuchet MS" w:hAnsi="Trebuchet MS" w:cs="Trebuchet MS"/>
        </w:rPr>
        <w:t>,</w:t>
      </w:r>
      <w:r>
        <w:rPr>
          <w:rFonts w:ascii="Trebuchet MS" w:hAnsi="Trebuchet MS" w:cs="Trebuchet MS"/>
        </w:rPr>
        <w:t xml:space="preserve"> the model shows a relationship between the Southerners of Niger and the </w:t>
      </w:r>
      <w:proofErr w:type="spellStart"/>
      <w:r>
        <w:rPr>
          <w:rFonts w:ascii="Trebuchet MS" w:hAnsi="Trebuchet MS" w:cs="Trebuchet MS"/>
        </w:rPr>
        <w:t>Tuaregs</w:t>
      </w:r>
      <w:proofErr w:type="spellEnd"/>
      <w:r>
        <w:rPr>
          <w:rFonts w:ascii="Trebuchet MS" w:hAnsi="Trebuchet MS" w:cs="Trebuchet MS"/>
        </w:rPr>
        <w:t xml:space="preserve"> which specifies that the Southerners could massacre </w:t>
      </w:r>
      <w:proofErr w:type="spellStart"/>
      <w:r>
        <w:rPr>
          <w:rFonts w:ascii="Trebuchet MS" w:hAnsi="Trebuchet MS" w:cs="Trebuchet MS"/>
        </w:rPr>
        <w:t>Tuaregs</w:t>
      </w:r>
      <w:proofErr w:type="spellEnd"/>
      <w:r>
        <w:rPr>
          <w:rFonts w:ascii="Trebuchet MS" w:hAnsi="Trebuchet MS" w:cs="Trebuchet MS"/>
        </w:rPr>
        <w:t xml:space="preserve">. The related analytic judgment that real massacres are unlikely to occur </w:t>
      </w:r>
      <w:r w:rsidR="008518EE">
        <w:rPr>
          <w:rFonts w:ascii="Trebuchet MS" w:hAnsi="Trebuchet MS" w:cs="Trebuchet MS"/>
        </w:rPr>
        <w:t>comes from an AJ process that in analogous situations,</w:t>
      </w:r>
      <w:r>
        <w:rPr>
          <w:rFonts w:ascii="Trebuchet MS" w:hAnsi="Trebuchet MS" w:cs="Trebuchet MS"/>
        </w:rPr>
        <w:t xml:space="preserve"> massacres </w:t>
      </w:r>
      <w:r w:rsidR="008518EE">
        <w:rPr>
          <w:rFonts w:ascii="Trebuchet MS" w:hAnsi="Trebuchet MS" w:cs="Trebuchet MS"/>
        </w:rPr>
        <w:t xml:space="preserve">have not occurred because they </w:t>
      </w:r>
      <w:r>
        <w:rPr>
          <w:rFonts w:ascii="Trebuchet MS" w:hAnsi="Trebuchet MS" w:cs="Trebuchet MS"/>
        </w:rPr>
        <w:t>would be</w:t>
      </w:r>
      <w:r w:rsidR="008518EE">
        <w:rPr>
          <w:rFonts w:ascii="Trebuchet MS" w:hAnsi="Trebuchet MS" w:cs="Trebuchet MS"/>
        </w:rPr>
        <w:t xml:space="preserve"> too</w:t>
      </w:r>
      <w:r>
        <w:rPr>
          <w:rFonts w:ascii="Trebuchet MS" w:hAnsi="Trebuchet MS" w:cs="Trebuchet MS"/>
        </w:rPr>
        <w:t xml:space="preserve"> time consuming and difficult to carry out.</w:t>
      </w:r>
    </w:p>
    <w:p w:rsidR="00FD6520" w:rsidRDefault="008518EE" w:rsidP="00EF520D">
      <w:pPr>
        <w:spacing w:before="100" w:beforeAutospacing="1" w:after="100" w:afterAutospacing="1" w:line="276" w:lineRule="auto"/>
        <w:rPr>
          <w:rFonts w:ascii="Trebuchet MS" w:hAnsi="Trebuchet MS" w:cs="Trebuchet MS"/>
        </w:rPr>
      </w:pPr>
      <w:r>
        <w:rPr>
          <w:rFonts w:ascii="Trebuchet MS" w:hAnsi="Trebuchet MS" w:cs="Trebuchet MS"/>
        </w:rPr>
        <w:lastRenderedPageBreak/>
        <w:t>A likely explanation for the increased use of AJ processes near the end of the session is that</w:t>
      </w:r>
      <w:r w:rsidR="00FD6520">
        <w:rPr>
          <w:rFonts w:ascii="Trebuchet MS" w:hAnsi="Trebuchet MS" w:cs="Trebuchet MS"/>
        </w:rPr>
        <w:t xml:space="preserve"> the final question called for projection into the future. This invoked the application of expert analytic judgment to the entire completed model. This process typically involved the use of hypothetical scenarios in which pseudo-model elements were constructed and given hypothetical attributes and relationships. These hypothetical scenarios were then used to produce and justify sensible high-level analytic conclusions. An example is the expert’s creation of a hypothetical scenario in which the governments of Algeria, Libya, Mali and Niger jointly agree to recognize that </w:t>
      </w:r>
      <w:proofErr w:type="spellStart"/>
      <w:r w:rsidR="00FD6520">
        <w:rPr>
          <w:rFonts w:ascii="Trebuchet MS" w:hAnsi="Trebuchet MS" w:cs="Trebuchet MS"/>
        </w:rPr>
        <w:t>Tuaregs</w:t>
      </w:r>
      <w:proofErr w:type="spellEnd"/>
      <w:r w:rsidR="00FD6520">
        <w:rPr>
          <w:rFonts w:ascii="Trebuchet MS" w:hAnsi="Trebuchet MS" w:cs="Trebuchet MS"/>
        </w:rPr>
        <w:t xml:space="preserve"> have a problem, and further agree to take action to aid them. The conclusion is that this would decrease instability. Again, these judgments were not directly linked to the mental model; rather they appeared to represent a separate cognitive activity evoked by the need to produce immediate analytic conclusions. </w:t>
      </w:r>
    </w:p>
    <w:p w:rsidR="00FD6520" w:rsidRDefault="002A662C" w:rsidP="00EF520D">
      <w:pPr>
        <w:spacing w:before="100" w:beforeAutospacing="1" w:after="100" w:afterAutospacing="1" w:line="276" w:lineRule="auto"/>
        <w:rPr>
          <w:rFonts w:ascii="Trebuchet MS" w:hAnsi="Trebuchet MS" w:cs="Trebuchet MS"/>
        </w:rPr>
      </w:pPr>
      <w:r>
        <w:rPr>
          <w:rFonts w:ascii="Trebuchet MS" w:hAnsi="Trebuchet MS" w:cs="Trebuchet MS"/>
        </w:rPr>
        <w:t>While t</w:t>
      </w:r>
      <w:r w:rsidR="00FD6520">
        <w:rPr>
          <w:rFonts w:ascii="Trebuchet MS" w:hAnsi="Trebuchet MS" w:cs="Trebuchet MS"/>
        </w:rPr>
        <w:t xml:space="preserve">he </w:t>
      </w:r>
      <w:r>
        <w:rPr>
          <w:rFonts w:ascii="Trebuchet MS" w:hAnsi="Trebuchet MS" w:cs="Trebuchet MS"/>
        </w:rPr>
        <w:t>information available from</w:t>
      </w:r>
      <w:r w:rsidR="00FD6520">
        <w:rPr>
          <w:rFonts w:ascii="Trebuchet MS" w:hAnsi="Trebuchet MS" w:cs="Trebuchet MS"/>
        </w:rPr>
        <w:t xml:space="preserve"> the open source system </w:t>
      </w:r>
      <w:r>
        <w:rPr>
          <w:rFonts w:ascii="Trebuchet MS" w:hAnsi="Trebuchet MS" w:cs="Trebuchet MS"/>
        </w:rPr>
        <w:t>rarely evoked either changes in the model or</w:t>
      </w:r>
      <w:r w:rsidR="00FD6520">
        <w:rPr>
          <w:rFonts w:ascii="Trebuchet MS" w:hAnsi="Trebuchet MS" w:cs="Trebuchet MS"/>
        </w:rPr>
        <w:t xml:space="preserve"> </w:t>
      </w:r>
      <w:r>
        <w:rPr>
          <w:rFonts w:ascii="Trebuchet MS" w:hAnsi="Trebuchet MS" w:cs="Trebuchet MS"/>
        </w:rPr>
        <w:t xml:space="preserve">stimulated </w:t>
      </w:r>
      <w:r w:rsidR="005839F4">
        <w:rPr>
          <w:rFonts w:ascii="Trebuchet MS" w:hAnsi="Trebuchet MS" w:cs="Trebuchet MS"/>
        </w:rPr>
        <w:t xml:space="preserve">new </w:t>
      </w:r>
      <w:r w:rsidR="00FD6520">
        <w:rPr>
          <w:rFonts w:ascii="Trebuchet MS" w:hAnsi="Trebuchet MS" w:cs="Trebuchet MS"/>
        </w:rPr>
        <w:t xml:space="preserve">analytic judgment </w:t>
      </w:r>
      <w:r>
        <w:rPr>
          <w:rFonts w:ascii="Trebuchet MS" w:hAnsi="Trebuchet MS" w:cs="Trebuchet MS"/>
        </w:rPr>
        <w:t>processes, there were</w:t>
      </w:r>
      <w:r w:rsidR="007248D5">
        <w:rPr>
          <w:rFonts w:ascii="Trebuchet MS" w:hAnsi="Trebuchet MS" w:cs="Trebuchet MS"/>
        </w:rPr>
        <w:t xml:space="preserve"> </w:t>
      </w:r>
      <w:r>
        <w:rPr>
          <w:rFonts w:ascii="Trebuchet MS" w:hAnsi="Trebuchet MS" w:cs="Trebuchet MS"/>
        </w:rPr>
        <w:t>instances were open source information led to</w:t>
      </w:r>
      <w:r w:rsidR="007248D5">
        <w:rPr>
          <w:rFonts w:ascii="Trebuchet MS" w:hAnsi="Trebuchet MS" w:cs="Trebuchet MS"/>
        </w:rPr>
        <w:t xml:space="preserve"> important</w:t>
      </w:r>
      <w:r w:rsidR="005839F4">
        <w:rPr>
          <w:rFonts w:ascii="Trebuchet MS" w:hAnsi="Trebuchet MS" w:cs="Trebuchet MS"/>
        </w:rPr>
        <w:t xml:space="preserve"> analytical results</w:t>
      </w:r>
      <w:r w:rsidR="007248D5">
        <w:rPr>
          <w:rFonts w:ascii="Trebuchet MS" w:hAnsi="Trebuchet MS" w:cs="Trebuchet MS"/>
        </w:rPr>
        <w:t xml:space="preserve">.  </w:t>
      </w:r>
      <w:r w:rsidR="005839F4">
        <w:rPr>
          <w:rFonts w:ascii="Trebuchet MS" w:hAnsi="Trebuchet MS" w:cs="Trebuchet MS"/>
        </w:rPr>
        <w:t xml:space="preserve">In most cases, the open source system provided “merely” additional content that was already represented in some form in the model.  In these cases, the expert analyst quickly moved on.  In those cases where the open source information stimulated AJ processes, it occurred because the information </w:t>
      </w:r>
      <w:r w:rsidR="00FD6520">
        <w:rPr>
          <w:rFonts w:ascii="Trebuchet MS" w:hAnsi="Trebuchet MS" w:cs="Trebuchet MS"/>
        </w:rPr>
        <w:t>reported specific events that</w:t>
      </w:r>
      <w:r w:rsidR="007248D5">
        <w:rPr>
          <w:rFonts w:ascii="Trebuchet MS" w:hAnsi="Trebuchet MS" w:cs="Trebuchet MS"/>
        </w:rPr>
        <w:t xml:space="preserve"> </w:t>
      </w:r>
      <w:r w:rsidR="005839F4">
        <w:rPr>
          <w:rFonts w:ascii="Trebuchet MS" w:hAnsi="Trebuchet MS" w:cs="Trebuchet MS"/>
        </w:rPr>
        <w:t>might</w:t>
      </w:r>
      <w:r w:rsidR="00FD6520">
        <w:rPr>
          <w:rFonts w:ascii="Trebuchet MS" w:hAnsi="Trebuchet MS" w:cs="Trebuchet MS"/>
        </w:rPr>
        <w:t xml:space="preserve"> indicate the presence of larger processes</w:t>
      </w:r>
      <w:r w:rsidR="005839F4">
        <w:rPr>
          <w:rFonts w:ascii="Trebuchet MS" w:hAnsi="Trebuchet MS" w:cs="Trebuchet MS"/>
        </w:rPr>
        <w:t xml:space="preserve"> that might be</w:t>
      </w:r>
      <w:r w:rsidR="00FD6520">
        <w:rPr>
          <w:rFonts w:ascii="Trebuchet MS" w:hAnsi="Trebuchet MS" w:cs="Trebuchet MS"/>
        </w:rPr>
        <w:t xml:space="preserve"> in play</w:t>
      </w:r>
      <w:r w:rsidR="005839F4">
        <w:rPr>
          <w:rFonts w:ascii="Trebuchet MS" w:hAnsi="Trebuchet MS" w:cs="Trebuchet MS"/>
        </w:rPr>
        <w:t xml:space="preserve"> or served to link existing theories to the current situation</w:t>
      </w:r>
      <w:r w:rsidR="00FD6520">
        <w:rPr>
          <w:rFonts w:ascii="Trebuchet MS" w:hAnsi="Trebuchet MS" w:cs="Trebuchet MS"/>
        </w:rPr>
        <w:t xml:space="preserve">.  This </w:t>
      </w:r>
      <w:r w:rsidR="005839F4">
        <w:rPr>
          <w:rFonts w:ascii="Trebuchet MS" w:hAnsi="Trebuchet MS" w:cs="Trebuchet MS"/>
        </w:rPr>
        <w:t>indicates that a more thorough understanding of AJ processes could be used to identify those elements of open source information that will be most useful and impactful on the expert analysis process</w:t>
      </w:r>
      <w:r w:rsidR="00FD6520">
        <w:rPr>
          <w:rFonts w:ascii="Trebuchet MS" w:hAnsi="Trebuchet MS" w:cs="Trebuchet MS"/>
        </w:rPr>
        <w:t>.</w:t>
      </w:r>
    </w:p>
    <w:p w:rsidR="00FD6520" w:rsidRPr="00AC2AD8" w:rsidRDefault="00FD6520" w:rsidP="00EF520D">
      <w:pPr>
        <w:spacing w:before="100" w:beforeAutospacing="1" w:after="100" w:afterAutospacing="1" w:line="276" w:lineRule="auto"/>
        <w:rPr>
          <w:rFonts w:ascii="Trebuchet MS" w:hAnsi="Trebuchet MS" w:cs="Trebuchet MS"/>
          <w:b/>
          <w:sz w:val="28"/>
          <w:szCs w:val="28"/>
        </w:rPr>
      </w:pPr>
      <w:r w:rsidRPr="00AC2AD8">
        <w:rPr>
          <w:rFonts w:ascii="Trebuchet MS" w:hAnsi="Trebuchet MS" w:cs="Trebuchet MS"/>
          <w:b/>
          <w:sz w:val="28"/>
          <w:szCs w:val="28"/>
        </w:rPr>
        <w:t>Story Telling Segments</w:t>
      </w:r>
    </w:p>
    <w:p w:rsidR="00CD4B97" w:rsidRDefault="00FD6520" w:rsidP="00EF520D">
      <w:pPr>
        <w:spacing w:before="100" w:beforeAutospacing="1" w:line="300" w:lineRule="auto"/>
        <w:rPr>
          <w:rFonts w:ascii="Trebuchet MS" w:hAnsi="Trebuchet MS" w:cs="Trebuchet MS"/>
        </w:rPr>
      </w:pPr>
      <w:r>
        <w:rPr>
          <w:rFonts w:ascii="Trebuchet MS" w:hAnsi="Trebuchet MS" w:cs="Trebuchet MS"/>
        </w:rPr>
        <w:t xml:space="preserve">The subject engaged in a considerable amount of </w:t>
      </w:r>
      <w:proofErr w:type="spellStart"/>
      <w:r>
        <w:rPr>
          <w:rFonts w:ascii="Trebuchet MS" w:hAnsi="Trebuchet MS" w:cs="Trebuchet MS"/>
        </w:rPr>
        <w:t>story</w:t>
      </w:r>
      <w:r w:rsidR="006D5BDA">
        <w:rPr>
          <w:rFonts w:ascii="Trebuchet MS" w:hAnsi="Trebuchet MS" w:cs="Trebuchet MS"/>
        </w:rPr>
        <w:t xml:space="preserve"> </w:t>
      </w:r>
      <w:r>
        <w:rPr>
          <w:rFonts w:ascii="Trebuchet MS" w:hAnsi="Trebuchet MS" w:cs="Trebuchet MS"/>
        </w:rPr>
        <w:t>telling</w:t>
      </w:r>
      <w:proofErr w:type="spellEnd"/>
      <w:r>
        <w:rPr>
          <w:rFonts w:ascii="Trebuchet MS" w:hAnsi="Trebuchet MS" w:cs="Trebuchet MS"/>
        </w:rPr>
        <w:t xml:space="preserve">. </w:t>
      </w:r>
      <w:r w:rsidR="00CD4B97">
        <w:rPr>
          <w:rFonts w:ascii="Trebuchet MS" w:hAnsi="Trebuchet MS" w:cs="Trebuchet MS"/>
        </w:rPr>
        <w:t>While story</w:t>
      </w:r>
      <w:r w:rsidR="006D5BDA">
        <w:rPr>
          <w:rFonts w:ascii="Trebuchet MS" w:hAnsi="Trebuchet MS" w:cs="Trebuchet MS"/>
        </w:rPr>
        <w:t xml:space="preserve"> </w:t>
      </w:r>
      <w:r w:rsidR="00CD4B97">
        <w:rPr>
          <w:rFonts w:ascii="Trebuchet MS" w:hAnsi="Trebuchet MS" w:cs="Trebuchet MS"/>
        </w:rPr>
        <w:t>telling is not always recognized as an analytic process, the act of organizing information into narrative elements served a clear and important role in this expert’s analysis. The expert often verbalized</w:t>
      </w:r>
      <w:r>
        <w:rPr>
          <w:rFonts w:ascii="Trebuchet MS" w:hAnsi="Trebuchet MS" w:cs="Trebuchet MS"/>
        </w:rPr>
        <w:t xml:space="preserve"> a sequence of events that related to some central character and trac</w:t>
      </w:r>
      <w:r w:rsidR="00CD4B97">
        <w:rPr>
          <w:rFonts w:ascii="Trebuchet MS" w:hAnsi="Trebuchet MS" w:cs="Trebuchet MS"/>
        </w:rPr>
        <w:t>ed</w:t>
      </w:r>
      <w:r>
        <w:rPr>
          <w:rFonts w:ascii="Trebuchet MS" w:hAnsi="Trebuchet MS" w:cs="Trebuchet MS"/>
        </w:rPr>
        <w:t xml:space="preserve"> a short plot line that l</w:t>
      </w:r>
      <w:r w:rsidR="00CD4B97">
        <w:rPr>
          <w:rFonts w:ascii="Trebuchet MS" w:hAnsi="Trebuchet MS" w:cs="Trebuchet MS"/>
        </w:rPr>
        <w:t xml:space="preserve">ed through a dramatic conflict </w:t>
      </w:r>
      <w:r>
        <w:rPr>
          <w:rFonts w:ascii="Trebuchet MS" w:hAnsi="Trebuchet MS" w:cs="Trebuchet MS"/>
        </w:rPr>
        <w:t xml:space="preserve">and finally to a resolution. </w:t>
      </w:r>
      <w:r w:rsidR="00CD4B97">
        <w:rPr>
          <w:rFonts w:ascii="Trebuchet MS" w:hAnsi="Trebuchet MS" w:cs="Trebuchet MS"/>
        </w:rPr>
        <w:t>In doing so, he activated and justified the inclusion of memories needed to populate the model and to evoke in the analyst’s mind the relevant values and atmospherics that motivate the effort needed to proceed with the analysis.</w:t>
      </w:r>
    </w:p>
    <w:p w:rsidR="003577DC" w:rsidRDefault="003577DC" w:rsidP="00EF520D">
      <w:pPr>
        <w:spacing w:before="100" w:beforeAutospacing="1" w:line="300" w:lineRule="auto"/>
        <w:rPr>
          <w:rFonts w:ascii="Trebuchet MS" w:hAnsi="Trebuchet MS" w:cs="Trebuchet MS"/>
        </w:rPr>
      </w:pPr>
      <w:r>
        <w:rPr>
          <w:rFonts w:ascii="Trebuchet MS" w:hAnsi="Trebuchet MS" w:cs="Trebuchet MS"/>
        </w:rPr>
        <w:t xml:space="preserve">Stories are easily recognizable because they are highly formulaic, the elements being most famously identified by </w:t>
      </w:r>
      <w:r w:rsidRPr="00E02D43">
        <w:rPr>
          <w:rFonts w:ascii="Trebuchet MS" w:hAnsi="Trebuchet MS" w:cs="Trebuchet MS"/>
        </w:rPr>
        <w:t>Campbell (19</w:t>
      </w:r>
      <w:r w:rsidR="00E02D43">
        <w:rPr>
          <w:rFonts w:ascii="Trebuchet MS" w:hAnsi="Trebuchet MS" w:cs="Trebuchet MS"/>
        </w:rPr>
        <w:t>49</w:t>
      </w:r>
      <w:r w:rsidRPr="00E02D43">
        <w:rPr>
          <w:rFonts w:ascii="Trebuchet MS" w:hAnsi="Trebuchet MS" w:cs="Trebuchet MS"/>
        </w:rPr>
        <w:t>).</w:t>
      </w:r>
      <w:r>
        <w:rPr>
          <w:rFonts w:ascii="Trebuchet MS" w:hAnsi="Trebuchet MS" w:cs="Trebuchet MS"/>
        </w:rPr>
        <w:t xml:space="preserve"> </w:t>
      </w:r>
      <w:r w:rsidR="00FD6520">
        <w:rPr>
          <w:rFonts w:ascii="Trebuchet MS" w:hAnsi="Trebuchet MS" w:cs="Trebuchet MS"/>
        </w:rPr>
        <w:t>Figure 3 gives a transcript of one such story</w:t>
      </w:r>
      <w:r>
        <w:rPr>
          <w:rFonts w:ascii="Trebuchet MS" w:hAnsi="Trebuchet MS" w:cs="Trebuchet MS"/>
        </w:rPr>
        <w:t>,</w:t>
      </w:r>
      <w:r w:rsidR="00387D81">
        <w:rPr>
          <w:rFonts w:ascii="Trebuchet MS" w:hAnsi="Trebuchet MS" w:cs="Trebuchet MS"/>
        </w:rPr>
        <w:t xml:space="preserve"> </w:t>
      </w:r>
      <w:r w:rsidR="00025C69">
        <w:rPr>
          <w:rFonts w:ascii="Trebuchet MS" w:hAnsi="Trebuchet MS" w:cs="Trebuchet MS"/>
        </w:rPr>
        <w:t xml:space="preserve">showing how it can be </w:t>
      </w:r>
      <w:r w:rsidR="00387D81">
        <w:rPr>
          <w:rFonts w:ascii="Trebuchet MS" w:hAnsi="Trebuchet MS" w:cs="Trebuchet MS"/>
        </w:rPr>
        <w:t xml:space="preserve">broken down and </w:t>
      </w:r>
      <w:r w:rsidR="00FD6520">
        <w:rPr>
          <w:rFonts w:ascii="Trebuchet MS" w:hAnsi="Trebuchet MS" w:cs="Trebuchet MS"/>
        </w:rPr>
        <w:t xml:space="preserve">tagged </w:t>
      </w:r>
      <w:r w:rsidR="00387D81">
        <w:rPr>
          <w:rFonts w:ascii="Trebuchet MS" w:hAnsi="Trebuchet MS" w:cs="Trebuchet MS"/>
        </w:rPr>
        <w:t>with</w:t>
      </w:r>
      <w:r w:rsidR="00FD6520">
        <w:rPr>
          <w:rFonts w:ascii="Trebuchet MS" w:hAnsi="Trebuchet MS" w:cs="Trebuchet MS"/>
        </w:rPr>
        <w:t xml:space="preserve"> </w:t>
      </w:r>
      <w:r>
        <w:rPr>
          <w:rFonts w:ascii="Trebuchet MS" w:hAnsi="Trebuchet MS" w:cs="Trebuchet MS"/>
        </w:rPr>
        <w:t>Campbell’s</w:t>
      </w:r>
      <w:r w:rsidR="00FD6520">
        <w:rPr>
          <w:rFonts w:ascii="Trebuchet MS" w:hAnsi="Trebuchet MS" w:cs="Trebuchet MS"/>
        </w:rPr>
        <w:t xml:space="preserve"> elements. </w:t>
      </w:r>
    </w:p>
    <w:p w:rsidR="00FD6520" w:rsidRDefault="0005263B" w:rsidP="00EF520D">
      <w:pPr>
        <w:spacing w:before="100" w:beforeAutospacing="1" w:line="300" w:lineRule="auto"/>
        <w:rPr>
          <w:rFonts w:ascii="Trebuchet MS" w:hAnsi="Trebuchet MS" w:cs="Trebuchet MS"/>
        </w:rPr>
      </w:pPr>
      <w:r w:rsidRPr="00A8328E">
        <w:rPr>
          <w:rFonts w:ascii="Trebuchet MS" w:hAnsi="Trebuchet MS" w:cs="Trebuchet MS"/>
        </w:rPr>
        <w:object w:dxaOrig="6483" w:dyaOrig="4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35pt;height:230.95pt" o:ole="">
            <v:imagedata r:id="rId14" o:title=""/>
          </v:shape>
          <o:OLEObject Type="Embed" ProgID="PowerPoint.Show.8" ShapeID="_x0000_i1025" DrawAspect="Content" ObjectID="_1327745361" r:id="rId15"/>
        </w:object>
      </w:r>
    </w:p>
    <w:p w:rsidR="00FD6520" w:rsidRPr="003577DC" w:rsidRDefault="00FD6520" w:rsidP="003577DC">
      <w:pPr>
        <w:spacing w:line="300" w:lineRule="auto"/>
        <w:rPr>
          <w:rFonts w:ascii="Trebuchet MS" w:hAnsi="Trebuchet MS" w:cs="Trebuchet MS"/>
          <w:bCs/>
          <w:sz w:val="20"/>
          <w:szCs w:val="20"/>
        </w:rPr>
      </w:pPr>
      <w:r w:rsidRPr="003577DC">
        <w:rPr>
          <w:rFonts w:ascii="Trebuchet MS" w:hAnsi="Trebuchet MS" w:cs="Trebuchet MS"/>
          <w:bCs/>
          <w:sz w:val="20"/>
          <w:szCs w:val="20"/>
        </w:rPr>
        <w:t xml:space="preserve">Figure 3: This story, taken from the transcript starting on segment 125, illustrates the story telling mode and shows that the stories rather precisely followed a classic story format (Campbell, </w:t>
      </w:r>
      <w:r w:rsidR="00ED1ACC">
        <w:rPr>
          <w:rFonts w:ascii="Trebuchet MS" w:hAnsi="Trebuchet MS" w:cs="Trebuchet MS"/>
          <w:bCs/>
          <w:sz w:val="20"/>
          <w:szCs w:val="20"/>
        </w:rPr>
        <w:t>1949</w:t>
      </w:r>
      <w:r w:rsidRPr="003577DC">
        <w:rPr>
          <w:rFonts w:ascii="Trebuchet MS" w:hAnsi="Trebuchet MS" w:cs="Trebuchet MS"/>
          <w:bCs/>
          <w:sz w:val="20"/>
          <w:szCs w:val="20"/>
        </w:rPr>
        <w:t>).</w:t>
      </w:r>
    </w:p>
    <w:p w:rsidR="003577DC" w:rsidRDefault="003577DC" w:rsidP="003577DC">
      <w:pPr>
        <w:spacing w:before="100" w:beforeAutospacing="1" w:line="300" w:lineRule="auto"/>
        <w:rPr>
          <w:rFonts w:ascii="Trebuchet MS" w:hAnsi="Trebuchet MS" w:cs="Trebuchet MS"/>
        </w:rPr>
      </w:pPr>
      <w:r>
        <w:rPr>
          <w:rFonts w:ascii="Trebuchet MS" w:hAnsi="Trebuchet MS" w:cs="Trebuchet MS"/>
        </w:rPr>
        <w:t xml:space="preserve">In telling </w:t>
      </w:r>
      <w:r w:rsidR="00025C69">
        <w:rPr>
          <w:rFonts w:ascii="Trebuchet MS" w:hAnsi="Trebuchet MS" w:cs="Trebuchet MS"/>
        </w:rPr>
        <w:t>a</w:t>
      </w:r>
      <w:r>
        <w:rPr>
          <w:rFonts w:ascii="Trebuchet MS" w:hAnsi="Trebuchet MS" w:cs="Trebuchet MS"/>
        </w:rPr>
        <w:t xml:space="preserve"> story, the expert </w:t>
      </w:r>
      <w:r w:rsidR="00025C69">
        <w:rPr>
          <w:rFonts w:ascii="Trebuchet MS" w:hAnsi="Trebuchet MS" w:cs="Trebuchet MS"/>
        </w:rPr>
        <w:t xml:space="preserve">can </w:t>
      </w:r>
      <w:r w:rsidR="000D7B1C">
        <w:rPr>
          <w:rFonts w:ascii="Trebuchet MS" w:hAnsi="Trebuchet MS" w:cs="Trebuchet MS"/>
        </w:rPr>
        <w:t>evoke a rich intercon</w:t>
      </w:r>
      <w:r w:rsidR="00025C69">
        <w:rPr>
          <w:rFonts w:ascii="Trebuchet MS" w:hAnsi="Trebuchet MS" w:cs="Trebuchet MS"/>
        </w:rPr>
        <w:t>nected set of relevant elements, in this case</w:t>
      </w:r>
      <w:r w:rsidR="000D7B1C">
        <w:rPr>
          <w:rFonts w:ascii="Trebuchet MS" w:hAnsi="Trebuchet MS" w:cs="Trebuchet MS"/>
        </w:rPr>
        <w:t xml:space="preserve"> </w:t>
      </w:r>
      <w:r>
        <w:rPr>
          <w:rFonts w:ascii="Trebuchet MS" w:hAnsi="Trebuchet MS" w:cs="Trebuchet MS"/>
        </w:rPr>
        <w:t>t</w:t>
      </w:r>
      <w:r w:rsidR="009219AF">
        <w:rPr>
          <w:rFonts w:ascii="Trebuchet MS" w:hAnsi="Trebuchet MS" w:cs="Trebuchet MS"/>
        </w:rPr>
        <w:t>he desire of France for uranium and</w:t>
      </w:r>
      <w:r>
        <w:rPr>
          <w:rFonts w:ascii="Trebuchet MS" w:hAnsi="Trebuchet MS" w:cs="Trebuchet MS"/>
        </w:rPr>
        <w:t xml:space="preserve"> the surreptiti</w:t>
      </w:r>
      <w:r w:rsidR="009219AF">
        <w:rPr>
          <w:rFonts w:ascii="Trebuchet MS" w:hAnsi="Trebuchet MS" w:cs="Trebuchet MS"/>
        </w:rPr>
        <w:t>ous nature of that desire.</w:t>
      </w:r>
    </w:p>
    <w:p w:rsidR="008C5B25" w:rsidRDefault="00025C69" w:rsidP="00EF520D">
      <w:pPr>
        <w:spacing w:before="100" w:beforeAutospacing="1" w:line="300" w:lineRule="auto"/>
        <w:rPr>
          <w:rFonts w:ascii="Trebuchet MS" w:hAnsi="Trebuchet MS" w:cs="Trebuchet MS"/>
        </w:rPr>
      </w:pPr>
      <w:r>
        <w:rPr>
          <w:rFonts w:ascii="Trebuchet MS" w:hAnsi="Trebuchet MS" w:cs="Trebuchet MS"/>
        </w:rPr>
        <w:t>In a second example</w:t>
      </w:r>
      <w:r w:rsidR="003577DC">
        <w:rPr>
          <w:rFonts w:ascii="Trebuchet MS" w:hAnsi="Trebuchet MS" w:cs="Trebuchet MS"/>
        </w:rPr>
        <w:t>, the</w:t>
      </w:r>
      <w:r>
        <w:rPr>
          <w:rFonts w:ascii="Trebuchet MS" w:hAnsi="Trebuchet MS" w:cs="Trebuchet MS"/>
        </w:rPr>
        <w:t xml:space="preserve"> expert told a story about meeting two</w:t>
      </w:r>
      <w:r w:rsidR="003577DC">
        <w:rPr>
          <w:rFonts w:ascii="Trebuchet MS" w:hAnsi="Trebuchet MS" w:cs="Trebuchet MS"/>
        </w:rPr>
        <w:t xml:space="preserve"> boy</w:t>
      </w:r>
      <w:r>
        <w:rPr>
          <w:rFonts w:ascii="Trebuchet MS" w:hAnsi="Trebuchet MS" w:cs="Trebuchet MS"/>
        </w:rPr>
        <w:t>s, one of whom</w:t>
      </w:r>
      <w:r w:rsidR="003577DC">
        <w:rPr>
          <w:rFonts w:ascii="Trebuchet MS" w:hAnsi="Trebuchet MS" w:cs="Trebuchet MS"/>
        </w:rPr>
        <w:t xml:space="preserve"> </w:t>
      </w:r>
      <w:r>
        <w:rPr>
          <w:rFonts w:ascii="Trebuchet MS" w:hAnsi="Trebuchet MS" w:cs="Trebuchet MS"/>
        </w:rPr>
        <w:t>turned out to be</w:t>
      </w:r>
      <w:r w:rsidR="003577DC">
        <w:rPr>
          <w:rFonts w:ascii="Trebuchet MS" w:hAnsi="Trebuchet MS" w:cs="Trebuchet MS"/>
        </w:rPr>
        <w:t xml:space="preserve"> the slave of </w:t>
      </w:r>
      <w:r>
        <w:rPr>
          <w:rFonts w:ascii="Trebuchet MS" w:hAnsi="Trebuchet MS" w:cs="Trebuchet MS"/>
        </w:rPr>
        <w:t xml:space="preserve">the other. </w:t>
      </w:r>
      <w:r w:rsidR="003577DC">
        <w:rPr>
          <w:rFonts w:ascii="Trebuchet MS" w:hAnsi="Trebuchet MS" w:cs="Trebuchet MS"/>
        </w:rPr>
        <w:t xml:space="preserve"> </w:t>
      </w:r>
      <w:r>
        <w:rPr>
          <w:rFonts w:ascii="Trebuchet MS" w:hAnsi="Trebuchet MS" w:cs="Trebuchet MS"/>
        </w:rPr>
        <w:t>This story</w:t>
      </w:r>
      <w:r w:rsidR="003577DC">
        <w:rPr>
          <w:rFonts w:ascii="Trebuchet MS" w:hAnsi="Trebuchet MS" w:cs="Trebuchet MS"/>
        </w:rPr>
        <w:t xml:space="preserve"> was used to justify the inclusion of ‘have slaves’ as a current characteristic of the element ‘</w:t>
      </w:r>
      <w:proofErr w:type="spellStart"/>
      <w:r w:rsidR="003577DC">
        <w:rPr>
          <w:rFonts w:ascii="Trebuchet MS" w:hAnsi="Trebuchet MS" w:cs="Trebuchet MS"/>
        </w:rPr>
        <w:t>Tuareg</w:t>
      </w:r>
      <w:proofErr w:type="spellEnd"/>
      <w:r w:rsidR="003577DC">
        <w:rPr>
          <w:rFonts w:ascii="Trebuchet MS" w:hAnsi="Trebuchet MS" w:cs="Trebuchet MS"/>
        </w:rPr>
        <w:t>’</w:t>
      </w:r>
      <w:r>
        <w:rPr>
          <w:rFonts w:ascii="Trebuchet MS" w:hAnsi="Trebuchet MS" w:cs="Trebuchet MS"/>
        </w:rPr>
        <w:t xml:space="preserve"> in the </w:t>
      </w:r>
      <w:r w:rsidR="008C5B25">
        <w:rPr>
          <w:rFonts w:ascii="Trebuchet MS" w:hAnsi="Trebuchet MS" w:cs="Trebuchet MS"/>
        </w:rPr>
        <w:t>mental model.</w:t>
      </w:r>
      <w:r>
        <w:rPr>
          <w:rFonts w:ascii="Trebuchet MS" w:hAnsi="Trebuchet MS" w:cs="Trebuchet MS"/>
        </w:rPr>
        <w:t xml:space="preserve"> </w:t>
      </w:r>
      <w:r w:rsidR="008C5B25">
        <w:rPr>
          <w:rFonts w:ascii="Trebuchet MS" w:hAnsi="Trebuchet MS" w:cs="Trebuchet MS"/>
        </w:rPr>
        <w:t>It also was used</w:t>
      </w:r>
      <w:r>
        <w:rPr>
          <w:rFonts w:ascii="Trebuchet MS" w:hAnsi="Trebuchet MS" w:cs="Trebuchet MS"/>
        </w:rPr>
        <w:t xml:space="preserve"> to invoke </w:t>
      </w:r>
      <w:r w:rsidR="003577DC">
        <w:rPr>
          <w:rFonts w:ascii="Trebuchet MS" w:hAnsi="Trebuchet MS" w:cs="Trebuchet MS"/>
        </w:rPr>
        <w:t xml:space="preserve">that </w:t>
      </w:r>
      <w:proofErr w:type="spellStart"/>
      <w:r w:rsidR="003577DC">
        <w:rPr>
          <w:rFonts w:ascii="Trebuchet MS" w:hAnsi="Trebuchet MS" w:cs="Trebuchet MS"/>
        </w:rPr>
        <w:t>Tuaregs</w:t>
      </w:r>
      <w:proofErr w:type="spellEnd"/>
      <w:r w:rsidR="003577DC">
        <w:rPr>
          <w:rFonts w:ascii="Trebuchet MS" w:hAnsi="Trebuchet MS" w:cs="Trebuchet MS"/>
        </w:rPr>
        <w:t xml:space="preserve"> have value systems that differ from people in Southern Niger (and most of the rest of the world).  </w:t>
      </w:r>
      <w:r w:rsidR="008C5B25">
        <w:rPr>
          <w:rFonts w:ascii="Trebuchet MS" w:hAnsi="Trebuchet MS" w:cs="Trebuchet MS"/>
        </w:rPr>
        <w:t>Again, much is going on during story telling.  Is the analyst using</w:t>
      </w:r>
      <w:r>
        <w:rPr>
          <w:rFonts w:ascii="Trebuchet MS" w:hAnsi="Trebuchet MS" w:cs="Trebuchet MS"/>
        </w:rPr>
        <w:t xml:space="preserve"> stories to keep himself interested?  Is he preparing a narrative for presenting </w:t>
      </w:r>
      <w:r w:rsidR="003320A2">
        <w:rPr>
          <w:rFonts w:ascii="Trebuchet MS" w:hAnsi="Trebuchet MS" w:cs="Trebuchet MS"/>
        </w:rPr>
        <w:t xml:space="preserve">his final set of judgments in a coherent </w:t>
      </w:r>
      <w:r w:rsidR="008C5B25">
        <w:rPr>
          <w:rFonts w:ascii="Trebuchet MS" w:hAnsi="Trebuchet MS" w:cs="Trebuchet MS"/>
        </w:rPr>
        <w:t>framework?</w:t>
      </w:r>
      <w:r w:rsidR="008C5B25" w:rsidRPr="008C5B25">
        <w:rPr>
          <w:rFonts w:ascii="Trebuchet MS" w:hAnsi="Trebuchet MS" w:cs="Trebuchet MS"/>
        </w:rPr>
        <w:t xml:space="preserve"> </w:t>
      </w:r>
      <w:r w:rsidR="008C5B25">
        <w:rPr>
          <w:rFonts w:ascii="Trebuchet MS" w:hAnsi="Trebuchet MS" w:cs="Trebuchet MS"/>
        </w:rPr>
        <w:t xml:space="preserve"> Given the richness and complexities of </w:t>
      </w:r>
      <w:proofErr w:type="spellStart"/>
      <w:r w:rsidR="008C5B25">
        <w:rPr>
          <w:rFonts w:ascii="Trebuchet MS" w:hAnsi="Trebuchet MS" w:cs="Trebuchet MS"/>
        </w:rPr>
        <w:t>story telling</w:t>
      </w:r>
      <w:proofErr w:type="spellEnd"/>
      <w:r w:rsidR="008C5B25">
        <w:rPr>
          <w:rFonts w:ascii="Trebuchet MS" w:hAnsi="Trebuchet MS" w:cs="Trebuchet MS"/>
        </w:rPr>
        <w:t xml:space="preserve">, further examination of the story process in other analytic situations will be required to elucidate the analytical significance of the story telling process. </w:t>
      </w:r>
    </w:p>
    <w:p w:rsidR="008C5B25" w:rsidRDefault="0005263B" w:rsidP="00EF520D">
      <w:pPr>
        <w:spacing w:before="100" w:beforeAutospacing="1" w:line="300" w:lineRule="auto"/>
        <w:rPr>
          <w:rFonts w:ascii="Trebuchet MS" w:hAnsi="Trebuchet MS" w:cs="Trebuchet MS"/>
        </w:rPr>
      </w:pPr>
      <w:r>
        <w:rPr>
          <w:rFonts w:ascii="Trebuchet MS" w:hAnsi="Trebuchet MS" w:cs="Trebuchet MS"/>
        </w:rPr>
        <w:t>It should be noted that</w:t>
      </w:r>
      <w:r w:rsidR="008C5B25">
        <w:rPr>
          <w:rFonts w:ascii="Trebuchet MS" w:hAnsi="Trebuchet MS" w:cs="Trebuchet MS"/>
        </w:rPr>
        <w:t xml:space="preserve"> in a verbal protocol,</w:t>
      </w:r>
      <w:r>
        <w:rPr>
          <w:rFonts w:ascii="Trebuchet MS" w:hAnsi="Trebuchet MS" w:cs="Trebuchet MS"/>
        </w:rPr>
        <w:t xml:space="preserve"> it </w:t>
      </w:r>
      <w:r w:rsidR="008C5B25">
        <w:rPr>
          <w:rFonts w:ascii="Trebuchet MS" w:hAnsi="Trebuchet MS" w:cs="Trebuchet MS"/>
        </w:rPr>
        <w:t>can be</w:t>
      </w:r>
      <w:r>
        <w:rPr>
          <w:rFonts w:ascii="Trebuchet MS" w:hAnsi="Trebuchet MS" w:cs="Trebuchet MS"/>
        </w:rPr>
        <w:t xml:space="preserve"> difficult to distinguish between story telling as representing cognitive </w:t>
      </w:r>
      <w:r w:rsidR="008C5B25">
        <w:rPr>
          <w:rFonts w:ascii="Trebuchet MS" w:hAnsi="Trebuchet MS" w:cs="Trebuchet MS"/>
        </w:rPr>
        <w:t>analytic processing</w:t>
      </w:r>
      <w:r>
        <w:rPr>
          <w:rFonts w:ascii="Trebuchet MS" w:hAnsi="Trebuchet MS" w:cs="Trebuchet MS"/>
        </w:rPr>
        <w:t xml:space="preserve"> and </w:t>
      </w:r>
      <w:proofErr w:type="spellStart"/>
      <w:r>
        <w:rPr>
          <w:rFonts w:ascii="Trebuchet MS" w:hAnsi="Trebuchet MS" w:cs="Trebuchet MS"/>
        </w:rPr>
        <w:t>story telling</w:t>
      </w:r>
      <w:proofErr w:type="spellEnd"/>
      <w:r>
        <w:rPr>
          <w:rFonts w:ascii="Trebuchet MS" w:hAnsi="Trebuchet MS" w:cs="Trebuchet MS"/>
        </w:rPr>
        <w:t xml:space="preserve"> as “teaching” motivated by the presence of observers in the room. </w:t>
      </w:r>
      <w:r w:rsidR="00FD6520">
        <w:rPr>
          <w:rFonts w:ascii="Trebuchet MS" w:hAnsi="Trebuchet MS" w:cs="Trebuchet MS"/>
        </w:rPr>
        <w:t xml:space="preserve"> For example, when </w:t>
      </w:r>
      <w:r>
        <w:rPr>
          <w:rFonts w:ascii="Trebuchet MS" w:hAnsi="Trebuchet MS" w:cs="Trebuchet MS"/>
        </w:rPr>
        <w:t xml:space="preserve">the expert </w:t>
      </w:r>
      <w:r w:rsidR="00FD6520">
        <w:rPr>
          <w:rFonts w:ascii="Trebuchet MS" w:hAnsi="Trebuchet MS" w:cs="Trebuchet MS"/>
        </w:rPr>
        <w:t xml:space="preserve">would think about </w:t>
      </w:r>
      <w:proofErr w:type="spellStart"/>
      <w:r w:rsidR="00FD6520">
        <w:rPr>
          <w:rFonts w:ascii="Trebuchet MS" w:hAnsi="Trebuchet MS" w:cs="Trebuchet MS"/>
        </w:rPr>
        <w:t>Tuareg</w:t>
      </w:r>
      <w:proofErr w:type="spellEnd"/>
      <w:r w:rsidR="00FD6520">
        <w:rPr>
          <w:rFonts w:ascii="Trebuchet MS" w:hAnsi="Trebuchet MS" w:cs="Trebuchet MS"/>
        </w:rPr>
        <w:t xml:space="preserve"> tribesmen, he </w:t>
      </w:r>
      <w:r w:rsidR="00387D81">
        <w:rPr>
          <w:rFonts w:ascii="Trebuchet MS" w:hAnsi="Trebuchet MS" w:cs="Trebuchet MS"/>
        </w:rPr>
        <w:t>might</w:t>
      </w:r>
      <w:r w:rsidR="00FD6520">
        <w:rPr>
          <w:rFonts w:ascii="Trebuchet MS" w:hAnsi="Trebuchet MS" w:cs="Trebuchet MS"/>
        </w:rPr>
        <w:t xml:space="preserve"> point out a picture of them hanging on his wall, or even get up and fetch a picture to show it to the observers. While it seems likely that he would have referred to these pictures even if he were </w:t>
      </w:r>
      <w:r w:rsidR="00FD6520">
        <w:rPr>
          <w:rFonts w:ascii="Trebuchet MS" w:hAnsi="Trebuchet MS" w:cs="Trebuchet MS"/>
        </w:rPr>
        <w:lastRenderedPageBreak/>
        <w:t xml:space="preserve">alone, the act of fetching, showing them to the observers and describing what they looked like, </w:t>
      </w:r>
      <w:r w:rsidR="008C5B25">
        <w:rPr>
          <w:rFonts w:ascii="Trebuchet MS" w:hAnsi="Trebuchet MS" w:cs="Trebuchet MS"/>
        </w:rPr>
        <w:t>was</w:t>
      </w:r>
      <w:r w:rsidR="00FD6520">
        <w:rPr>
          <w:rFonts w:ascii="Trebuchet MS" w:hAnsi="Trebuchet MS" w:cs="Trebuchet MS"/>
        </w:rPr>
        <w:t xml:space="preserve"> an additional effort designed explicitly to help the observers understand an element of his mental model – in this case the </w:t>
      </w:r>
      <w:proofErr w:type="spellStart"/>
      <w:r w:rsidR="00FD6520">
        <w:rPr>
          <w:rFonts w:ascii="Trebuchet MS" w:hAnsi="Trebuchet MS" w:cs="Trebuchet MS"/>
        </w:rPr>
        <w:t>Tuaregs</w:t>
      </w:r>
      <w:proofErr w:type="spellEnd"/>
      <w:r w:rsidR="00FD6520">
        <w:rPr>
          <w:rFonts w:ascii="Trebuchet MS" w:hAnsi="Trebuchet MS" w:cs="Trebuchet MS"/>
        </w:rPr>
        <w:t xml:space="preserve">. </w:t>
      </w:r>
      <w:r w:rsidR="008C5B25">
        <w:rPr>
          <w:rFonts w:ascii="Trebuchet MS" w:hAnsi="Trebuchet MS" w:cs="Trebuchet MS"/>
        </w:rPr>
        <w:t>We think that, in the main, the expert was following the protocol rather than introducing information specific for the observers.</w:t>
      </w:r>
    </w:p>
    <w:p w:rsidR="00FD6520" w:rsidRDefault="000F3956" w:rsidP="00EF520D">
      <w:pPr>
        <w:spacing w:before="100" w:beforeAutospacing="1" w:line="300" w:lineRule="auto"/>
        <w:rPr>
          <w:rFonts w:ascii="Trebuchet MS" w:hAnsi="Trebuchet MS" w:cs="Trebuchet MS"/>
        </w:rPr>
      </w:pPr>
      <w:r>
        <w:rPr>
          <w:rFonts w:ascii="Trebuchet MS" w:hAnsi="Trebuchet MS" w:cs="Trebuchet MS"/>
        </w:rPr>
        <w:t xml:space="preserve">Also of interest was the use of romantic style and images in the expert’s </w:t>
      </w:r>
      <w:proofErr w:type="spellStart"/>
      <w:r>
        <w:rPr>
          <w:rFonts w:ascii="Trebuchet MS" w:hAnsi="Trebuchet MS" w:cs="Trebuchet MS"/>
        </w:rPr>
        <w:t>story telling</w:t>
      </w:r>
      <w:proofErr w:type="spellEnd"/>
      <w:r w:rsidR="00FD6520">
        <w:rPr>
          <w:rFonts w:ascii="Trebuchet MS" w:hAnsi="Trebuchet MS" w:cs="Trebuchet MS"/>
        </w:rPr>
        <w:t xml:space="preserve">, </w:t>
      </w:r>
      <w:r>
        <w:rPr>
          <w:rFonts w:ascii="Trebuchet MS" w:hAnsi="Trebuchet MS" w:cs="Trebuchet MS"/>
        </w:rPr>
        <w:t>rather than highly realistic</w:t>
      </w:r>
      <w:r w:rsidR="00FD6520">
        <w:rPr>
          <w:rFonts w:ascii="Trebuchet MS" w:hAnsi="Trebuchet MS" w:cs="Trebuchet MS"/>
        </w:rPr>
        <w:t xml:space="preserve"> documentary descriptions of actu</w:t>
      </w:r>
      <w:r>
        <w:rPr>
          <w:rFonts w:ascii="Trebuchet MS" w:hAnsi="Trebuchet MS" w:cs="Trebuchet MS"/>
        </w:rPr>
        <w:t xml:space="preserve">al </w:t>
      </w:r>
      <w:proofErr w:type="spellStart"/>
      <w:r>
        <w:rPr>
          <w:rFonts w:ascii="Trebuchet MS" w:hAnsi="Trebuchet MS" w:cs="Trebuchet MS"/>
        </w:rPr>
        <w:t>Tuareg</w:t>
      </w:r>
      <w:proofErr w:type="spellEnd"/>
      <w:r>
        <w:rPr>
          <w:rFonts w:ascii="Trebuchet MS" w:hAnsi="Trebuchet MS" w:cs="Trebuchet MS"/>
        </w:rPr>
        <w:t xml:space="preserve"> life. This corresponded</w:t>
      </w:r>
      <w:r w:rsidR="00FD6520">
        <w:rPr>
          <w:rFonts w:ascii="Trebuchet MS" w:hAnsi="Trebuchet MS" w:cs="Trebuchet MS"/>
        </w:rPr>
        <w:t xml:space="preserve"> to the abstract nature of the model elements, which </w:t>
      </w:r>
      <w:r>
        <w:rPr>
          <w:rFonts w:ascii="Trebuchet MS" w:hAnsi="Trebuchet MS" w:cs="Trebuchet MS"/>
        </w:rPr>
        <w:t>were</w:t>
      </w:r>
      <w:r w:rsidR="00FD6520">
        <w:rPr>
          <w:rFonts w:ascii="Trebuchet MS" w:hAnsi="Trebuchet MS" w:cs="Trebuchet MS"/>
        </w:rPr>
        <w:t xml:space="preserve"> not concrete detailed descriptions of actual artifacts</w:t>
      </w:r>
      <w:r>
        <w:rPr>
          <w:rFonts w:ascii="Trebuchet MS" w:hAnsi="Trebuchet MS" w:cs="Trebuchet MS"/>
        </w:rPr>
        <w:t>, but</w:t>
      </w:r>
      <w:r w:rsidR="00FD6520">
        <w:rPr>
          <w:rFonts w:ascii="Trebuchet MS" w:hAnsi="Trebuchet MS" w:cs="Trebuchet MS"/>
        </w:rPr>
        <w:t xml:space="preserve"> rather </w:t>
      </w:r>
      <w:r>
        <w:rPr>
          <w:rFonts w:ascii="Trebuchet MS" w:hAnsi="Trebuchet MS" w:cs="Trebuchet MS"/>
        </w:rPr>
        <w:t>were</w:t>
      </w:r>
      <w:r w:rsidR="00FD6520">
        <w:rPr>
          <w:rFonts w:ascii="Trebuchet MS" w:hAnsi="Trebuchet MS" w:cs="Trebuchet MS"/>
        </w:rPr>
        <w:t xml:space="preserve"> abstract stereotypes used to hold </w:t>
      </w:r>
      <w:r>
        <w:rPr>
          <w:rFonts w:ascii="Trebuchet MS" w:hAnsi="Trebuchet MS" w:cs="Trebuchet MS"/>
        </w:rPr>
        <w:t>high-</w:t>
      </w:r>
      <w:r w:rsidR="00FD6520">
        <w:rPr>
          <w:rFonts w:ascii="Trebuchet MS" w:hAnsi="Trebuchet MS" w:cs="Trebuchet MS"/>
        </w:rPr>
        <w:t>level relationships that formed a substrate for the overall analytic conclusions.</w:t>
      </w:r>
      <w:r>
        <w:rPr>
          <w:rFonts w:ascii="Trebuchet MS" w:hAnsi="Trebuchet MS" w:cs="Trebuchet MS"/>
        </w:rPr>
        <w:t xml:space="preserve"> This suggests that story telling might form a bridge between the more precise and factual output of the open source system and the more abstract categories and themes of the analytic judgment.</w:t>
      </w:r>
    </w:p>
    <w:p w:rsidR="00FD6520" w:rsidRPr="00885970" w:rsidRDefault="00FD6520" w:rsidP="00EF520D">
      <w:pPr>
        <w:spacing w:before="100" w:beforeAutospacing="1" w:after="100" w:afterAutospacing="1" w:line="276" w:lineRule="auto"/>
        <w:rPr>
          <w:rFonts w:ascii="Trebuchet MS" w:hAnsi="Trebuchet MS" w:cs="Trebuchet MS"/>
          <w:b/>
          <w:sz w:val="28"/>
          <w:szCs w:val="28"/>
        </w:rPr>
      </w:pPr>
      <w:r w:rsidRPr="00885970">
        <w:rPr>
          <w:rFonts w:ascii="Trebuchet MS" w:hAnsi="Trebuchet MS" w:cs="Trebuchet MS"/>
          <w:b/>
          <w:sz w:val="28"/>
          <w:szCs w:val="28"/>
        </w:rPr>
        <w:t>IASB Segments</w:t>
      </w:r>
    </w:p>
    <w:p w:rsidR="004B1ED7" w:rsidRDefault="00FD6520" w:rsidP="00EF520D">
      <w:pPr>
        <w:spacing w:before="100" w:beforeAutospacing="1" w:after="100" w:afterAutospacing="1" w:line="276" w:lineRule="auto"/>
        <w:rPr>
          <w:rFonts w:ascii="Trebuchet MS" w:hAnsi="Trebuchet MS" w:cs="Trebuchet MS"/>
        </w:rPr>
      </w:pPr>
      <w:r>
        <w:rPr>
          <w:rFonts w:ascii="Trebuchet MS" w:hAnsi="Trebuchet MS" w:cs="Trebuchet MS"/>
        </w:rPr>
        <w:t>The segments coded IASB reflected efforts to organize and seek information, to plan activities</w:t>
      </w:r>
      <w:r w:rsidR="000F3956">
        <w:rPr>
          <w:rFonts w:ascii="Trebuchet MS" w:hAnsi="Trebuchet MS" w:cs="Trebuchet MS"/>
        </w:rPr>
        <w:t>,</w:t>
      </w:r>
      <w:r>
        <w:rPr>
          <w:rFonts w:ascii="Trebuchet MS" w:hAnsi="Trebuchet MS" w:cs="Trebuchet MS"/>
        </w:rPr>
        <w:t xml:space="preserve"> and to give a structure to the analytic process. These segments were not directly related to the specific components of the mental model under consideration, but were of a general nature and would apply to any number of different analyt</w:t>
      </w:r>
      <w:r w:rsidR="000F3956">
        <w:rPr>
          <w:rFonts w:ascii="Trebuchet MS" w:hAnsi="Trebuchet MS" w:cs="Trebuchet MS"/>
        </w:rPr>
        <w:t>ic tasks.</w:t>
      </w:r>
      <w:r w:rsidR="004B1ED7">
        <w:rPr>
          <w:rFonts w:ascii="Trebuchet MS" w:hAnsi="Trebuchet MS" w:cs="Trebuchet MS"/>
        </w:rPr>
        <w:t xml:space="preserve">  </w:t>
      </w:r>
      <w:r w:rsidR="000F3956">
        <w:rPr>
          <w:rFonts w:ascii="Trebuchet MS" w:hAnsi="Trebuchet MS" w:cs="Trebuchet MS"/>
        </w:rPr>
        <w:t xml:space="preserve">For example, the expert chose to go online and check a French news source, </w:t>
      </w:r>
      <w:r>
        <w:rPr>
          <w:rFonts w:ascii="Trebuchet MS" w:hAnsi="Trebuchet MS" w:cs="Trebuchet MS"/>
        </w:rPr>
        <w:t xml:space="preserve">noting that the French press would pretty </w:t>
      </w:r>
      <w:r w:rsidR="000F3956">
        <w:rPr>
          <w:rFonts w:ascii="Trebuchet MS" w:hAnsi="Trebuchet MS" w:cs="Trebuchet MS"/>
        </w:rPr>
        <w:t>much cover the important issues, and pulled a book down from his shelf,</w:t>
      </w:r>
      <w:r>
        <w:rPr>
          <w:rFonts w:ascii="Trebuchet MS" w:hAnsi="Trebuchet MS" w:cs="Trebuchet MS"/>
        </w:rPr>
        <w:t xml:space="preserve"> observing that </w:t>
      </w:r>
      <w:r w:rsidR="000F3956">
        <w:rPr>
          <w:rFonts w:ascii="Trebuchet MS" w:hAnsi="Trebuchet MS" w:cs="Trebuchet MS"/>
        </w:rPr>
        <w:t>it</w:t>
      </w:r>
      <w:r>
        <w:rPr>
          <w:rFonts w:ascii="Trebuchet MS" w:hAnsi="Trebuchet MS" w:cs="Trebuchet MS"/>
        </w:rPr>
        <w:t xml:space="preserve"> was edited by a well know anthropologist. </w:t>
      </w:r>
    </w:p>
    <w:p w:rsidR="00FD6520" w:rsidRDefault="004B1ED7" w:rsidP="00EF520D">
      <w:pPr>
        <w:spacing w:before="100" w:beforeAutospacing="1" w:after="100" w:afterAutospacing="1" w:line="276" w:lineRule="auto"/>
        <w:rPr>
          <w:rFonts w:ascii="Trebuchet MS" w:hAnsi="Trebuchet MS" w:cs="Trebuchet MS"/>
        </w:rPr>
      </w:pPr>
      <w:r>
        <w:rPr>
          <w:rFonts w:ascii="Trebuchet MS" w:hAnsi="Trebuchet MS" w:cs="Trebuchet MS"/>
        </w:rPr>
        <w:t>IASB</w:t>
      </w:r>
      <w:r w:rsidR="00FD6520">
        <w:rPr>
          <w:rFonts w:ascii="Trebuchet MS" w:hAnsi="Trebuchet MS" w:cs="Trebuchet MS"/>
        </w:rPr>
        <w:t xml:space="preserve"> segments </w:t>
      </w:r>
      <w:r>
        <w:rPr>
          <w:rFonts w:ascii="Trebuchet MS" w:hAnsi="Trebuchet MS" w:cs="Trebuchet MS"/>
        </w:rPr>
        <w:t>indicated the strategies guiding how the expert proceeded</w:t>
      </w:r>
      <w:r w:rsidR="00FD6520">
        <w:rPr>
          <w:rFonts w:ascii="Trebuchet MS" w:hAnsi="Trebuchet MS" w:cs="Trebuchet MS"/>
        </w:rPr>
        <w:t xml:space="preserve"> with the analysis, such as noting that what he had done so far was background, or noting that it would be better to go to Niger and talk directly with the government. The</w:t>
      </w:r>
      <w:r>
        <w:rPr>
          <w:rFonts w:ascii="Trebuchet MS" w:hAnsi="Trebuchet MS" w:cs="Trebuchet MS"/>
        </w:rPr>
        <w:t>se</w:t>
      </w:r>
      <w:r w:rsidR="00FD6520">
        <w:rPr>
          <w:rFonts w:ascii="Trebuchet MS" w:hAnsi="Trebuchet MS" w:cs="Trebuchet MS"/>
        </w:rPr>
        <w:t xml:space="preserve"> segments reflected the high level of general analytic skills the expert brought to this specific problem. It seems likely that the explicit mentioning of what information he was collecting and why, was a response to the protocol instructions to express what he was doing in words so they would appear in the transcript. None the less, these segments did reveal that considerable t</w:t>
      </w:r>
      <w:r>
        <w:rPr>
          <w:rFonts w:ascii="Trebuchet MS" w:hAnsi="Trebuchet MS" w:cs="Trebuchet MS"/>
        </w:rPr>
        <w:t>hought was devoted to the issue</w:t>
      </w:r>
      <w:r w:rsidR="00FD6520">
        <w:rPr>
          <w:rFonts w:ascii="Trebuchet MS" w:hAnsi="Trebuchet MS" w:cs="Trebuchet MS"/>
        </w:rPr>
        <w:t xml:space="preserve"> of information gathering and organization throughout the session.</w:t>
      </w:r>
    </w:p>
    <w:p w:rsidR="00FD6520" w:rsidRDefault="004B1ED7" w:rsidP="00EF520D">
      <w:pPr>
        <w:spacing w:before="100" w:beforeAutospacing="1" w:after="100" w:afterAutospacing="1" w:line="276" w:lineRule="auto"/>
        <w:rPr>
          <w:rFonts w:ascii="Trebuchet MS" w:hAnsi="Trebuchet MS" w:cs="Trebuchet MS"/>
        </w:rPr>
      </w:pPr>
      <w:r>
        <w:rPr>
          <w:rFonts w:ascii="Trebuchet MS" w:hAnsi="Trebuchet MS" w:cs="Trebuchet MS"/>
        </w:rPr>
        <w:t>A subset of IASB segments focused on</w:t>
      </w:r>
      <w:r w:rsidR="00FD6520">
        <w:rPr>
          <w:rFonts w:ascii="Trebuchet MS" w:hAnsi="Trebuchet MS" w:cs="Trebuchet MS"/>
        </w:rPr>
        <w:t xml:space="preserve"> gathering </w:t>
      </w:r>
      <w:r>
        <w:rPr>
          <w:rFonts w:ascii="Trebuchet MS" w:hAnsi="Trebuchet MS" w:cs="Trebuchet MS"/>
        </w:rPr>
        <w:t>and</w:t>
      </w:r>
      <w:r w:rsidR="00FD6520">
        <w:rPr>
          <w:rFonts w:ascii="Trebuchet MS" w:hAnsi="Trebuchet MS" w:cs="Trebuchet MS"/>
        </w:rPr>
        <w:t xml:space="preserve"> reviewing geographic information, including neighboring countries and geographical features such as rivers, deserts, mountains, and trails. While not generating particular model elements, this </w:t>
      </w:r>
      <w:r w:rsidR="00FD6520">
        <w:rPr>
          <w:rFonts w:ascii="Trebuchet MS" w:hAnsi="Trebuchet MS" w:cs="Trebuchet MS"/>
        </w:rPr>
        <w:lastRenderedPageBreak/>
        <w:t xml:space="preserve">information was used to bind both the stories and the model elements to a geographical frame of reference. </w:t>
      </w:r>
    </w:p>
    <w:p w:rsidR="00FD6520" w:rsidRDefault="00FD6520" w:rsidP="00EF520D">
      <w:pPr>
        <w:spacing w:before="100" w:beforeAutospacing="1" w:after="100" w:afterAutospacing="1" w:line="276" w:lineRule="auto"/>
        <w:rPr>
          <w:rFonts w:ascii="Trebuchet MS" w:hAnsi="Trebuchet MS" w:cs="Trebuchet MS"/>
        </w:rPr>
      </w:pPr>
      <w:r>
        <w:rPr>
          <w:rFonts w:ascii="Trebuchet MS" w:hAnsi="Trebuchet MS" w:cs="Trebuchet MS"/>
        </w:rPr>
        <w:t xml:space="preserve">The </w:t>
      </w:r>
      <w:r w:rsidR="004B1ED7">
        <w:rPr>
          <w:rFonts w:ascii="Trebuchet MS" w:hAnsi="Trebuchet MS" w:cs="Trebuchet MS"/>
        </w:rPr>
        <w:t xml:space="preserve">open source information included elements designed to address IASB segments, such as a </w:t>
      </w:r>
      <w:r>
        <w:rPr>
          <w:rFonts w:ascii="Trebuchet MS" w:hAnsi="Trebuchet MS" w:cs="Trebuchet MS"/>
        </w:rPr>
        <w:t>categorized aggregated list of collected open source articles</w:t>
      </w:r>
      <w:r w:rsidR="004B1ED7">
        <w:rPr>
          <w:rFonts w:ascii="Trebuchet MS" w:hAnsi="Trebuchet MS" w:cs="Trebuchet MS"/>
        </w:rPr>
        <w:t xml:space="preserve">.  While the categorization was supposed to include analytical aids (e.g. categories indicated </w:t>
      </w:r>
      <w:r w:rsidR="00346882">
        <w:rPr>
          <w:rFonts w:ascii="Trebuchet MS" w:hAnsi="Trebuchet MS" w:cs="Trebuchet MS"/>
        </w:rPr>
        <w:t>articles</w:t>
      </w:r>
      <w:r w:rsidR="004B1ED7">
        <w:rPr>
          <w:rFonts w:ascii="Trebuchet MS" w:hAnsi="Trebuchet MS" w:cs="Trebuchet MS"/>
        </w:rPr>
        <w:t xml:space="preserve"> as representing “Weak Rule of Law” or “Political Turmoil”) it</w:t>
      </w:r>
      <w:r>
        <w:rPr>
          <w:rFonts w:ascii="Trebuchet MS" w:hAnsi="Trebuchet MS" w:cs="Trebuchet MS"/>
        </w:rPr>
        <w:t xml:space="preserve"> was use</w:t>
      </w:r>
      <w:r w:rsidR="004B1ED7">
        <w:rPr>
          <w:rFonts w:ascii="Trebuchet MS" w:hAnsi="Trebuchet MS" w:cs="Trebuchet MS"/>
        </w:rPr>
        <w:t xml:space="preserve">d </w:t>
      </w:r>
      <w:r>
        <w:rPr>
          <w:rFonts w:ascii="Trebuchet MS" w:hAnsi="Trebuchet MS" w:cs="Trebuchet MS"/>
        </w:rPr>
        <w:t xml:space="preserve">primarily </w:t>
      </w:r>
      <w:r w:rsidR="004B1ED7">
        <w:rPr>
          <w:rFonts w:ascii="Trebuchet MS" w:hAnsi="Trebuchet MS" w:cs="Trebuchet MS"/>
        </w:rPr>
        <w:t>by the expert as</w:t>
      </w:r>
      <w:r>
        <w:rPr>
          <w:rFonts w:ascii="Trebuchet MS" w:hAnsi="Trebuchet MS" w:cs="Trebuchet MS"/>
        </w:rPr>
        <w:t xml:space="preserve"> a way to quickly and efficiently scan the topics covered in a wide variety of sources. The categorization of each article in the list was apparently ignored by the participant who did not use it in the construction of the model or, for that matter, in the support of his analytic judgment. </w:t>
      </w:r>
      <w:r w:rsidR="004B1ED7">
        <w:rPr>
          <w:rFonts w:ascii="Trebuchet MS" w:hAnsi="Trebuchet MS" w:cs="Trebuchet MS"/>
        </w:rPr>
        <w:t xml:space="preserve">The expert was </w:t>
      </w:r>
      <w:r w:rsidR="00346882">
        <w:rPr>
          <w:rFonts w:ascii="Trebuchet MS" w:hAnsi="Trebuchet MS" w:cs="Trebuchet MS"/>
        </w:rPr>
        <w:t>more</w:t>
      </w:r>
      <w:r w:rsidR="004B1ED7">
        <w:rPr>
          <w:rFonts w:ascii="Trebuchet MS" w:hAnsi="Trebuchet MS" w:cs="Trebuchet MS"/>
        </w:rPr>
        <w:t xml:space="preserve"> interested in </w:t>
      </w:r>
      <w:r w:rsidR="00A659B9">
        <w:rPr>
          <w:rFonts w:ascii="Trebuchet MS" w:hAnsi="Trebuchet MS" w:cs="Trebuchet MS"/>
        </w:rPr>
        <w:t>sources that were unfamiliar to</w:t>
      </w:r>
      <w:r w:rsidR="004B1ED7">
        <w:rPr>
          <w:rFonts w:ascii="Trebuchet MS" w:hAnsi="Trebuchet MS" w:cs="Trebuchet MS"/>
        </w:rPr>
        <w:t xml:space="preserve"> him, noting that checking each of these sources in turn would have been an arduous task.</w:t>
      </w:r>
    </w:p>
    <w:p w:rsidR="00FD6520" w:rsidRDefault="00FD6520" w:rsidP="00EF520D">
      <w:pPr>
        <w:spacing w:before="100" w:beforeAutospacing="1" w:after="100" w:afterAutospacing="1" w:line="300" w:lineRule="auto"/>
        <w:rPr>
          <w:rFonts w:ascii="Trebuchet MS" w:hAnsi="Trebuchet MS" w:cs="Trebuchet MS"/>
        </w:rPr>
      </w:pPr>
      <w:r>
        <w:rPr>
          <w:rFonts w:ascii="Trebuchet MS" w:hAnsi="Trebuchet MS" w:cs="Trebuchet MS"/>
        </w:rPr>
        <w:t>Tools used by the subject included a lap top computer that displayed the spread sheet provided, a web browser used to search current newspapers, a pencil and notepad used as a recall aid, and a library of relevant books that he had read. None of these tools were used extensively, nor did they appear to have a dominant impact on the cognitive activities associated with the expert analysis.</w:t>
      </w:r>
    </w:p>
    <w:p w:rsidR="00FD6520" w:rsidRPr="00121461" w:rsidRDefault="00FD6520" w:rsidP="00EF520D">
      <w:pPr>
        <w:spacing w:before="100" w:beforeAutospacing="1" w:after="100" w:afterAutospacing="1" w:line="276" w:lineRule="auto"/>
        <w:rPr>
          <w:rFonts w:ascii="Trebuchet MS" w:hAnsi="Trebuchet MS" w:cs="Trebuchet MS"/>
          <w:b/>
          <w:noProof/>
          <w:sz w:val="28"/>
        </w:rPr>
      </w:pPr>
      <w:r w:rsidRPr="00121461">
        <w:rPr>
          <w:rFonts w:ascii="Trebuchet MS" w:hAnsi="Trebuchet MS" w:cs="Trebuchet MS"/>
          <w:b/>
          <w:noProof/>
          <w:sz w:val="28"/>
        </w:rPr>
        <w:t>Trends in code frequency</w:t>
      </w:r>
    </w:p>
    <w:p w:rsidR="00FD6520" w:rsidRDefault="00A659B9" w:rsidP="00EF520D">
      <w:pPr>
        <w:spacing w:before="100" w:beforeAutospacing="1" w:after="100" w:afterAutospacing="1" w:line="300" w:lineRule="auto"/>
        <w:rPr>
          <w:rFonts w:ascii="Trebuchet MS" w:hAnsi="Trebuchet MS" w:cs="Trebuchet MS"/>
        </w:rPr>
      </w:pPr>
      <w:r>
        <w:rPr>
          <w:rFonts w:ascii="Trebuchet MS" w:hAnsi="Trebuchet MS" w:cs="Trebuchet MS"/>
        </w:rPr>
        <w:t xml:space="preserve">Trends in frequency of the coded segments described above can be seen as indicating different components of cognitive effort expended by the expert over the course of addressing the three top-level analytical tasks.  </w:t>
      </w:r>
      <w:r w:rsidR="00FD6520">
        <w:rPr>
          <w:rFonts w:ascii="Trebuchet MS" w:hAnsi="Trebuchet MS" w:cs="Trebuchet MS"/>
        </w:rPr>
        <w:t xml:space="preserve">Figure 4 </w:t>
      </w:r>
      <w:r>
        <w:rPr>
          <w:rFonts w:ascii="Trebuchet MS" w:hAnsi="Trebuchet MS" w:cs="Trebuchet MS"/>
        </w:rPr>
        <w:t xml:space="preserve">below </w:t>
      </w:r>
      <w:r w:rsidR="00FD6520">
        <w:rPr>
          <w:rFonts w:ascii="Trebuchet MS" w:hAnsi="Trebuchet MS" w:cs="Trebuchet MS"/>
        </w:rPr>
        <w:t xml:space="preserve">shows the proportion of each code applied in 8 successive </w:t>
      </w:r>
      <w:r>
        <w:rPr>
          <w:rFonts w:ascii="Trebuchet MS" w:hAnsi="Trebuchet MS" w:cs="Trebuchet MS"/>
        </w:rPr>
        <w:t xml:space="preserve">time </w:t>
      </w:r>
      <w:r w:rsidR="00FD6520">
        <w:rPr>
          <w:rFonts w:ascii="Trebuchet MS" w:hAnsi="Trebuchet MS" w:cs="Trebuchet MS"/>
        </w:rPr>
        <w:t>slices of the analytic session. For this figure, the codes applied by either of the raters were counted,</w:t>
      </w:r>
      <w:r>
        <w:rPr>
          <w:rFonts w:ascii="Trebuchet MS" w:hAnsi="Trebuchet MS" w:cs="Trebuchet MS"/>
        </w:rPr>
        <w:t xml:space="preserve"> producing 2454 codes in total.</w:t>
      </w:r>
    </w:p>
    <w:p w:rsidR="00FD6520" w:rsidRDefault="008E2A8A" w:rsidP="00346882">
      <w:pPr>
        <w:spacing w:before="100" w:beforeAutospacing="1" w:after="100" w:afterAutospacing="1" w:line="276" w:lineRule="auto"/>
        <w:jc w:val="center"/>
        <w:rPr>
          <w:rFonts w:ascii="Trebuchet MS" w:hAnsi="Trebuchet MS" w:cs="Trebuchet MS"/>
        </w:rPr>
      </w:pPr>
      <w:r>
        <w:rPr>
          <w:rFonts w:ascii="Trebuchet MS" w:hAnsi="Trebuchet MS" w:cs="Trebuchet MS"/>
          <w:noProof/>
        </w:rPr>
        <w:lastRenderedPageBreak/>
        <w:drawing>
          <wp:inline distT="0" distB="0" distL="0" distR="0">
            <wp:extent cx="4511675" cy="3044825"/>
            <wp:effectExtent l="19050" t="0" r="317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4511675" cy="3044825"/>
                    </a:xfrm>
                    <a:prstGeom prst="rect">
                      <a:avLst/>
                    </a:prstGeom>
                    <a:noFill/>
                    <a:ln w="9525">
                      <a:noFill/>
                      <a:miter lim="800000"/>
                      <a:headEnd/>
                      <a:tailEnd/>
                    </a:ln>
                  </pic:spPr>
                </pic:pic>
              </a:graphicData>
            </a:graphic>
          </wp:inline>
        </w:drawing>
      </w:r>
    </w:p>
    <w:p w:rsidR="00FD6520" w:rsidRPr="00346882" w:rsidRDefault="00FD6520" w:rsidP="00346882">
      <w:pPr>
        <w:spacing w:before="100" w:beforeAutospacing="1" w:after="100" w:afterAutospacing="1" w:line="276" w:lineRule="auto"/>
        <w:jc w:val="center"/>
        <w:rPr>
          <w:rFonts w:ascii="Trebuchet MS" w:hAnsi="Trebuchet MS" w:cs="Trebuchet MS"/>
          <w:sz w:val="20"/>
          <w:szCs w:val="20"/>
        </w:rPr>
      </w:pPr>
      <w:r w:rsidRPr="00346882">
        <w:rPr>
          <w:rFonts w:ascii="Trebuchet MS" w:hAnsi="Trebuchet MS" w:cs="Trebuchet MS"/>
          <w:sz w:val="20"/>
          <w:szCs w:val="20"/>
        </w:rPr>
        <w:t>Figure 4: Code variation in the session</w:t>
      </w:r>
    </w:p>
    <w:p w:rsidR="00FD6520" w:rsidRDefault="00FD6520" w:rsidP="00EF520D">
      <w:pPr>
        <w:spacing w:before="100" w:beforeAutospacing="1" w:after="100" w:afterAutospacing="1" w:line="300" w:lineRule="auto"/>
        <w:rPr>
          <w:rFonts w:ascii="Trebuchet MS" w:hAnsi="Trebuchet MS" w:cs="Trebuchet MS"/>
        </w:rPr>
      </w:pPr>
      <w:r>
        <w:rPr>
          <w:rFonts w:ascii="Trebuchet MS" w:hAnsi="Trebuchet MS" w:cs="Trebuchet MS"/>
        </w:rPr>
        <w:t>Perhaps the most striking characteristic of the changing percentage of codes is that the number of Analytic Judgment segments increases as the session progresses.  In the early stages the analyst populated his mental model of the situation, hence PEEM and MMSEI, and as the end of the session neared he shifted to extracting finished results from the model. Story Telling is concentrated in the early stages, where the subject is setting the scene and embedding himself in the analytic problem. The stories appear to serve both as a way to establish his credibility as an expert and to help him recall the events that he will use to populate the mental model of the existing situation.</w:t>
      </w:r>
    </w:p>
    <w:p w:rsidR="00FD6520" w:rsidRDefault="00FD6520" w:rsidP="00EF520D">
      <w:pPr>
        <w:spacing w:before="100" w:beforeAutospacing="1" w:line="300" w:lineRule="auto"/>
        <w:rPr>
          <w:rFonts w:ascii="Trebuchet MS" w:hAnsi="Trebuchet MS" w:cs="Trebuchet MS"/>
        </w:rPr>
      </w:pPr>
      <w:r>
        <w:rPr>
          <w:rFonts w:ascii="Trebuchet MS" w:hAnsi="Trebuchet MS" w:cs="Trebuchet MS"/>
        </w:rPr>
        <w:t xml:space="preserve">Interestingly, </w:t>
      </w:r>
      <w:r w:rsidR="00486FD3">
        <w:rPr>
          <w:rFonts w:ascii="Trebuchet MS" w:hAnsi="Trebuchet MS" w:cs="Trebuchet MS"/>
        </w:rPr>
        <w:t xml:space="preserve">nearly one-third of the expert’s analysis was “cognitive infrastructure,” finding and deciding the information of interest and determining strategies for doing this.  </w:t>
      </w:r>
      <w:r>
        <w:rPr>
          <w:rFonts w:ascii="Trebuchet MS" w:hAnsi="Trebuchet MS" w:cs="Trebuchet MS"/>
        </w:rPr>
        <w:t xml:space="preserve">31% of the segments </w:t>
      </w:r>
      <w:r w:rsidR="00486FD3">
        <w:rPr>
          <w:rFonts w:ascii="Trebuchet MS" w:hAnsi="Trebuchet MS" w:cs="Trebuchet MS"/>
        </w:rPr>
        <w:t xml:space="preserve">were </w:t>
      </w:r>
      <w:r>
        <w:rPr>
          <w:rFonts w:ascii="Trebuchet MS" w:hAnsi="Trebuchet MS" w:cs="Trebuchet MS"/>
        </w:rPr>
        <w:t>coded</w:t>
      </w:r>
      <w:r w:rsidR="00486FD3">
        <w:rPr>
          <w:rFonts w:ascii="Trebuchet MS" w:hAnsi="Trebuchet MS" w:cs="Trebuchet MS"/>
        </w:rPr>
        <w:t xml:space="preserve"> as</w:t>
      </w:r>
      <w:r>
        <w:rPr>
          <w:rFonts w:ascii="Trebuchet MS" w:hAnsi="Trebuchet MS" w:cs="Trebuchet MS"/>
        </w:rPr>
        <w:t xml:space="preserve"> IASB, reflecting the </w:t>
      </w:r>
      <w:r w:rsidR="00486FD3">
        <w:rPr>
          <w:rFonts w:ascii="Trebuchet MS" w:hAnsi="Trebuchet MS" w:cs="Trebuchet MS"/>
        </w:rPr>
        <w:t>significant</w:t>
      </w:r>
      <w:r>
        <w:rPr>
          <w:rFonts w:ascii="Trebuchet MS" w:hAnsi="Trebuchet MS" w:cs="Trebuchet MS"/>
        </w:rPr>
        <w:t xml:space="preserve"> cognitive effort related to information seeking and analytic strategies. This percentage was relatively constant over the course of the session, with the exception of a spike at the very beginning where the expert laid out a plan of attack.  Smaller spikes appeared where the subject paused in his analysis to note the characteristics of the information being used.  The organization of the information appears to be a continuing task, necessary for the success of the more significant model building and analysis. Thus, even an expert who is already aware of most of the information being provided, actually spends a substantial </w:t>
      </w:r>
      <w:r w:rsidR="00FB2EAB">
        <w:rPr>
          <w:rFonts w:ascii="Trebuchet MS" w:hAnsi="Trebuchet MS" w:cs="Trebuchet MS"/>
        </w:rPr>
        <w:t xml:space="preserve">amount of </w:t>
      </w:r>
      <w:r>
        <w:rPr>
          <w:rFonts w:ascii="Trebuchet MS" w:hAnsi="Trebuchet MS" w:cs="Trebuchet MS"/>
        </w:rPr>
        <w:t xml:space="preserve">time dealing with the </w:t>
      </w:r>
      <w:r w:rsidR="00FB2EAB">
        <w:rPr>
          <w:rFonts w:ascii="Trebuchet MS" w:hAnsi="Trebuchet MS" w:cs="Trebuchet MS"/>
        </w:rPr>
        <w:t>foundational</w:t>
      </w:r>
      <w:r>
        <w:rPr>
          <w:rFonts w:ascii="Trebuchet MS" w:hAnsi="Trebuchet MS" w:cs="Trebuchet MS"/>
        </w:rPr>
        <w:t xml:space="preserve"> tasks of finding, sourcing, and organizing basic information. </w:t>
      </w:r>
      <w:r w:rsidR="000F7442">
        <w:rPr>
          <w:rFonts w:ascii="Trebuchet MS" w:hAnsi="Trebuchet MS" w:cs="Trebuchet MS"/>
        </w:rPr>
        <w:t>T</w:t>
      </w:r>
      <w:r w:rsidR="00FB2EAB">
        <w:rPr>
          <w:rFonts w:ascii="Trebuchet MS" w:hAnsi="Trebuchet MS" w:cs="Trebuchet MS"/>
        </w:rPr>
        <w:t xml:space="preserve">his might be seen as an excessive </w:t>
      </w:r>
      <w:r w:rsidR="00FB2EAB">
        <w:rPr>
          <w:rFonts w:ascii="Trebuchet MS" w:hAnsi="Trebuchet MS" w:cs="Trebuchet MS"/>
        </w:rPr>
        <w:lastRenderedPageBreak/>
        <w:t>amount of mundane cognitive activity and a candidate for replacement by semi-automated methods of gathering and organizing large amounts of potentially useful information</w:t>
      </w:r>
      <w:r w:rsidR="000F7442">
        <w:rPr>
          <w:rFonts w:ascii="Trebuchet MS" w:hAnsi="Trebuchet MS" w:cs="Trebuchet MS"/>
        </w:rPr>
        <w:t>.  However, would automatic strategies of organization result in a more standardized but less insightful model?  I</w:t>
      </w:r>
      <w:r w:rsidR="00FB2EAB">
        <w:rPr>
          <w:rFonts w:ascii="Trebuchet MS" w:hAnsi="Trebuchet MS" w:cs="Trebuchet MS"/>
        </w:rPr>
        <w:t>t is not clear</w:t>
      </w:r>
      <w:r w:rsidR="000F7442">
        <w:rPr>
          <w:rFonts w:ascii="Trebuchet MS" w:hAnsi="Trebuchet MS" w:cs="Trebuchet MS"/>
        </w:rPr>
        <w:t xml:space="preserve"> how central </w:t>
      </w:r>
      <w:r w:rsidR="00FB2EAB">
        <w:rPr>
          <w:rFonts w:ascii="Trebuchet MS" w:hAnsi="Trebuchet MS" w:cs="Trebuchet MS"/>
        </w:rPr>
        <w:t>the human conduct of IASB activities is to the analyst’s ultimate product</w:t>
      </w:r>
      <w:r w:rsidR="000F7442">
        <w:rPr>
          <w:rFonts w:ascii="Trebuchet MS" w:hAnsi="Trebuchet MS" w:cs="Trebuchet MS"/>
        </w:rPr>
        <w:t>.</w:t>
      </w:r>
    </w:p>
    <w:p w:rsidR="00FD6520" w:rsidRDefault="004F6D06" w:rsidP="00EF520D">
      <w:pPr>
        <w:spacing w:before="100" w:beforeAutospacing="1" w:after="100" w:afterAutospacing="1" w:line="300" w:lineRule="auto"/>
        <w:rPr>
          <w:rFonts w:ascii="Trebuchet MS" w:hAnsi="Trebuchet MS" w:cs="Trebuchet MS"/>
        </w:rPr>
      </w:pPr>
      <w:r>
        <w:rPr>
          <w:rFonts w:ascii="Trebuchet MS" w:hAnsi="Trebuchet MS" w:cs="Trebuchet MS"/>
        </w:rPr>
        <w:t>Forty-two percent of the coded segments (MMSEI and PEEM)</w:t>
      </w:r>
      <w:r w:rsidR="00FD6520">
        <w:rPr>
          <w:rFonts w:ascii="Trebuchet MS" w:hAnsi="Trebuchet MS" w:cs="Trebuchet MS"/>
        </w:rPr>
        <w:t xml:space="preserve"> were related directly to the construction of the mental model, either from memory or from information being consumed during the session. The majority of this activity (66%) was devoted to recalling model elements and relationships from memory; the rest came directly from examining material presented during the session. The protocol did not permit the raters to determine whether the new information consumed might have already been in the expert’s memory, or whether it was information he did not previously know. </w:t>
      </w:r>
      <w:r w:rsidR="009C1ACB">
        <w:rPr>
          <w:rFonts w:ascii="Trebuchet MS" w:hAnsi="Trebuchet MS" w:cs="Trebuchet MS"/>
        </w:rPr>
        <w:t>In other words, at best only one-third of the model content was derived from the open source material, and probably far less.  On the other hand</w:t>
      </w:r>
      <w:r w:rsidR="00FD6520">
        <w:rPr>
          <w:rFonts w:ascii="Trebuchet MS" w:hAnsi="Trebuchet MS" w:cs="Trebuchet MS"/>
        </w:rPr>
        <w:t xml:space="preserve">, it seems reasonable to conclude that even if the open source material merely stimulated the recall of previously stored knowledge, it still </w:t>
      </w:r>
      <w:r w:rsidR="009C1ACB">
        <w:rPr>
          <w:rFonts w:ascii="Trebuchet MS" w:hAnsi="Trebuchet MS" w:cs="Trebuchet MS"/>
        </w:rPr>
        <w:t xml:space="preserve">was </w:t>
      </w:r>
      <w:r w:rsidR="00FD6520">
        <w:rPr>
          <w:rFonts w:ascii="Trebuchet MS" w:hAnsi="Trebuchet MS" w:cs="Trebuchet MS"/>
        </w:rPr>
        <w:t xml:space="preserve">a valuable aid to the cognitive processes used to construct the mental model. </w:t>
      </w:r>
    </w:p>
    <w:p w:rsidR="00FD6520" w:rsidRPr="00EB0936" w:rsidRDefault="00FD6520" w:rsidP="00EF520D">
      <w:pPr>
        <w:pStyle w:val="Heading3"/>
        <w:spacing w:before="100" w:beforeAutospacing="1" w:line="276" w:lineRule="auto"/>
        <w:rPr>
          <w:rFonts w:ascii="Trebuchet MS" w:hAnsi="Trebuchet MS" w:cs="Trebuchet MS"/>
          <w:sz w:val="28"/>
        </w:rPr>
      </w:pPr>
      <w:r w:rsidRPr="00EB0936">
        <w:rPr>
          <w:rFonts w:ascii="Trebuchet MS" w:hAnsi="Trebuchet MS" w:cs="Trebuchet MS"/>
          <w:sz w:val="28"/>
        </w:rPr>
        <w:t>Instability Indicator Variables</w:t>
      </w:r>
    </w:p>
    <w:p w:rsidR="00FD6520" w:rsidRDefault="00FD6520" w:rsidP="00EF520D">
      <w:pPr>
        <w:spacing w:line="300" w:lineRule="auto"/>
        <w:rPr>
          <w:rFonts w:ascii="Trebuchet MS" w:hAnsi="Trebuchet MS" w:cs="Trebuchet MS"/>
        </w:rPr>
      </w:pPr>
    </w:p>
    <w:p w:rsidR="00A11680" w:rsidRDefault="00FD6520" w:rsidP="00EF520D">
      <w:pPr>
        <w:spacing w:line="300" w:lineRule="auto"/>
        <w:rPr>
          <w:rFonts w:ascii="Trebuchet MS" w:hAnsi="Trebuchet MS" w:cs="Trebuchet MS"/>
        </w:rPr>
      </w:pPr>
      <w:r>
        <w:rPr>
          <w:rFonts w:ascii="Trebuchet MS" w:hAnsi="Trebuchet MS" w:cs="Trebuchet MS"/>
        </w:rPr>
        <w:t>The output of the open</w:t>
      </w:r>
      <w:r w:rsidR="007859FC">
        <w:rPr>
          <w:rFonts w:ascii="Trebuchet MS" w:hAnsi="Trebuchet MS" w:cs="Trebuchet MS"/>
        </w:rPr>
        <w:t xml:space="preserve"> source system </w:t>
      </w:r>
      <w:r w:rsidR="000F025F">
        <w:rPr>
          <w:rFonts w:ascii="Trebuchet MS" w:hAnsi="Trebuchet MS" w:cs="Trebuchet MS"/>
        </w:rPr>
        <w:t>included</w:t>
      </w:r>
      <w:r w:rsidR="007859FC">
        <w:rPr>
          <w:rFonts w:ascii="Trebuchet MS" w:hAnsi="Trebuchet MS" w:cs="Trebuchet MS"/>
        </w:rPr>
        <w:t xml:space="preserve"> a human-</w:t>
      </w:r>
      <w:r>
        <w:rPr>
          <w:rFonts w:ascii="Trebuchet MS" w:hAnsi="Trebuchet MS" w:cs="Trebuchet MS"/>
        </w:rPr>
        <w:t>generated categorization of each document</w:t>
      </w:r>
      <w:r w:rsidR="007859FC">
        <w:rPr>
          <w:rFonts w:ascii="Trebuchet MS" w:hAnsi="Trebuchet MS" w:cs="Trebuchet MS"/>
        </w:rPr>
        <w:t>, using</w:t>
      </w:r>
      <w:r>
        <w:rPr>
          <w:rFonts w:ascii="Trebuchet MS" w:hAnsi="Trebuchet MS" w:cs="Trebuchet MS"/>
        </w:rPr>
        <w:t xml:space="preserve"> categories </w:t>
      </w:r>
      <w:r w:rsidR="007859FC">
        <w:rPr>
          <w:rFonts w:ascii="Trebuchet MS" w:hAnsi="Trebuchet MS" w:cs="Trebuchet MS"/>
        </w:rPr>
        <w:t>such as</w:t>
      </w:r>
      <w:r>
        <w:rPr>
          <w:rFonts w:ascii="Trebuchet MS" w:hAnsi="Trebuchet MS" w:cs="Trebuchet MS"/>
        </w:rPr>
        <w:t xml:space="preserve"> </w:t>
      </w:r>
      <w:r w:rsidR="007859FC">
        <w:rPr>
          <w:rFonts w:ascii="Trebuchet MS" w:hAnsi="Trebuchet MS" w:cs="Trebuchet MS"/>
        </w:rPr>
        <w:t>“</w:t>
      </w:r>
      <w:r w:rsidRPr="00283B0E">
        <w:rPr>
          <w:rFonts w:ascii="Trebuchet MS" w:hAnsi="Trebuchet MS" w:cs="Trebuchet MS"/>
        </w:rPr>
        <w:t>Political Turmoil</w:t>
      </w:r>
      <w:r w:rsidR="007859FC">
        <w:rPr>
          <w:rFonts w:ascii="Trebuchet MS" w:hAnsi="Trebuchet MS" w:cs="Trebuchet MS"/>
        </w:rPr>
        <w:t>”</w:t>
      </w:r>
      <w:r>
        <w:rPr>
          <w:rFonts w:ascii="Trebuchet MS" w:hAnsi="Trebuchet MS" w:cs="Trebuchet MS"/>
        </w:rPr>
        <w:t xml:space="preserve"> and </w:t>
      </w:r>
      <w:r w:rsidR="007859FC">
        <w:rPr>
          <w:rFonts w:ascii="Trebuchet MS" w:hAnsi="Trebuchet MS" w:cs="Trebuchet MS"/>
        </w:rPr>
        <w:t>“</w:t>
      </w:r>
      <w:r w:rsidRPr="00283B0E">
        <w:rPr>
          <w:rFonts w:ascii="Trebuchet MS" w:hAnsi="Trebuchet MS" w:cs="Trebuchet MS"/>
        </w:rPr>
        <w:t>Localized Radicalization</w:t>
      </w:r>
      <w:r>
        <w:rPr>
          <w:rFonts w:ascii="Trebuchet MS" w:hAnsi="Trebuchet MS" w:cs="Trebuchet MS"/>
        </w:rPr>
        <w:t>.</w:t>
      </w:r>
      <w:r w:rsidR="007859FC">
        <w:rPr>
          <w:rFonts w:ascii="Trebuchet MS" w:hAnsi="Trebuchet MS" w:cs="Trebuchet MS"/>
        </w:rPr>
        <w:t xml:space="preserve">” </w:t>
      </w:r>
      <w:r>
        <w:rPr>
          <w:rFonts w:ascii="Trebuchet MS" w:hAnsi="Trebuchet MS" w:cs="Trebuchet MS"/>
        </w:rPr>
        <w:t xml:space="preserve"> </w:t>
      </w:r>
      <w:r w:rsidR="000F025F">
        <w:rPr>
          <w:rFonts w:ascii="Trebuchet MS" w:hAnsi="Trebuchet MS" w:cs="Trebuchet MS"/>
        </w:rPr>
        <w:t xml:space="preserve">These categorizations were done quickly by lower level analysts and the categories themselves </w:t>
      </w:r>
      <w:r>
        <w:rPr>
          <w:rFonts w:ascii="Trebuchet MS" w:hAnsi="Trebuchet MS" w:cs="Trebuchet MS"/>
        </w:rPr>
        <w:t>are similar to the instability indicators shown</w:t>
      </w:r>
      <w:r w:rsidR="007859FC">
        <w:rPr>
          <w:rFonts w:ascii="Trebuchet MS" w:hAnsi="Trebuchet MS" w:cs="Trebuchet MS"/>
        </w:rPr>
        <w:t xml:space="preserve"> previously</w:t>
      </w:r>
      <w:r>
        <w:rPr>
          <w:rFonts w:ascii="Trebuchet MS" w:hAnsi="Trebuchet MS" w:cs="Trebuchet MS"/>
        </w:rPr>
        <w:t xml:space="preserve"> in Table 1.  </w:t>
      </w:r>
      <w:r w:rsidR="000F025F">
        <w:rPr>
          <w:rFonts w:ascii="Trebuchet MS" w:hAnsi="Trebuchet MS" w:cs="Trebuchet MS"/>
        </w:rPr>
        <w:t xml:space="preserve">Apparently the categorization of documents </w:t>
      </w:r>
      <w:r w:rsidR="00A11680">
        <w:rPr>
          <w:rFonts w:ascii="Trebuchet MS" w:hAnsi="Trebuchet MS" w:cs="Trebuchet MS"/>
        </w:rPr>
        <w:t>were intended to be</w:t>
      </w:r>
      <w:r w:rsidR="007859FC">
        <w:rPr>
          <w:rFonts w:ascii="Trebuchet MS" w:hAnsi="Trebuchet MS" w:cs="Trebuchet MS"/>
        </w:rPr>
        <w:t xml:space="preserve"> used </w:t>
      </w:r>
      <w:r>
        <w:rPr>
          <w:rFonts w:ascii="Trebuchet MS" w:hAnsi="Trebuchet MS" w:cs="Trebuchet MS"/>
        </w:rPr>
        <w:t>to</w:t>
      </w:r>
      <w:r w:rsidR="000F025F">
        <w:rPr>
          <w:rFonts w:ascii="Trebuchet MS" w:hAnsi="Trebuchet MS" w:cs="Trebuchet MS"/>
        </w:rPr>
        <w:t xml:space="preserve"> support</w:t>
      </w:r>
      <w:r w:rsidR="007859FC">
        <w:rPr>
          <w:rFonts w:ascii="Trebuchet MS" w:hAnsi="Trebuchet MS" w:cs="Trebuchet MS"/>
        </w:rPr>
        <w:t xml:space="preserve"> a quick</w:t>
      </w:r>
      <w:r>
        <w:rPr>
          <w:rFonts w:ascii="Trebuchet MS" w:hAnsi="Trebuchet MS" w:cs="Trebuchet MS"/>
        </w:rPr>
        <w:t xml:space="preserve"> assessment of potential instability by more or less counting the number of open source reports in each instability category. </w:t>
      </w:r>
      <w:r w:rsidR="000F025F">
        <w:rPr>
          <w:rFonts w:ascii="Trebuchet MS" w:hAnsi="Trebuchet MS" w:cs="Trebuchet MS"/>
        </w:rPr>
        <w:t xml:space="preserve">The expert essentially ignored this categorization of documents.  </w:t>
      </w:r>
    </w:p>
    <w:p w:rsidR="00A11680" w:rsidRDefault="00A11680" w:rsidP="00EF520D">
      <w:pPr>
        <w:spacing w:line="300" w:lineRule="auto"/>
        <w:rPr>
          <w:rFonts w:ascii="Trebuchet MS" w:hAnsi="Trebuchet MS" w:cs="Trebuchet MS"/>
        </w:rPr>
      </w:pPr>
    </w:p>
    <w:p w:rsidR="0019378E" w:rsidRDefault="000F025F" w:rsidP="00EF520D">
      <w:pPr>
        <w:spacing w:line="300" w:lineRule="auto"/>
        <w:rPr>
          <w:rFonts w:ascii="Trebuchet MS" w:hAnsi="Trebuchet MS" w:cs="Trebuchet MS"/>
        </w:rPr>
      </w:pPr>
      <w:r>
        <w:rPr>
          <w:rFonts w:ascii="Trebuchet MS" w:hAnsi="Trebuchet MS" w:cs="Trebuchet MS"/>
        </w:rPr>
        <w:t>To help</w:t>
      </w:r>
      <w:r w:rsidR="00FD6520">
        <w:rPr>
          <w:rFonts w:ascii="Trebuchet MS" w:hAnsi="Trebuchet MS" w:cs="Trebuchet MS"/>
        </w:rPr>
        <w:t xml:space="preserve"> understand why</w:t>
      </w:r>
      <w:r w:rsidR="00A11680">
        <w:rPr>
          <w:rFonts w:ascii="Trebuchet MS" w:hAnsi="Trebuchet MS" w:cs="Trebuchet MS"/>
        </w:rPr>
        <w:t xml:space="preserve"> the open source categorization scheme was not used</w:t>
      </w:r>
      <w:r w:rsidR="00FD6520">
        <w:rPr>
          <w:rFonts w:ascii="Trebuchet MS" w:hAnsi="Trebuchet MS" w:cs="Trebuchet MS"/>
        </w:rPr>
        <w:t xml:space="preserve">, we </w:t>
      </w:r>
      <w:r>
        <w:rPr>
          <w:rFonts w:ascii="Trebuchet MS" w:hAnsi="Trebuchet MS" w:cs="Trebuchet MS"/>
        </w:rPr>
        <w:t>examined the transcript to see</w:t>
      </w:r>
      <w:r w:rsidR="00FD6520">
        <w:rPr>
          <w:rFonts w:ascii="Trebuchet MS" w:hAnsi="Trebuchet MS" w:cs="Trebuchet MS"/>
        </w:rPr>
        <w:t xml:space="preserve"> whether the expert considered the 12 indicator variables that have been reliably correlated with instability</w:t>
      </w:r>
      <w:r>
        <w:rPr>
          <w:rFonts w:ascii="Trebuchet MS" w:hAnsi="Trebuchet MS" w:cs="Trebuchet MS"/>
        </w:rPr>
        <w:t xml:space="preserve"> (Table 1)</w:t>
      </w:r>
      <w:r w:rsidR="00FD6520">
        <w:rPr>
          <w:rFonts w:ascii="Trebuchet MS" w:hAnsi="Trebuchet MS" w:cs="Trebuchet MS"/>
        </w:rPr>
        <w:t xml:space="preserve">. </w:t>
      </w:r>
      <w:r>
        <w:rPr>
          <w:rFonts w:ascii="Trebuchet MS" w:hAnsi="Trebuchet MS" w:cs="Trebuchet MS"/>
        </w:rPr>
        <w:t>We found that the</w:t>
      </w:r>
      <w:r w:rsidR="00FD6520">
        <w:rPr>
          <w:rFonts w:ascii="Trebuchet MS" w:hAnsi="Trebuchet MS" w:cs="Trebuchet MS"/>
        </w:rPr>
        <w:t xml:space="preserve"> expert </w:t>
      </w:r>
      <w:r>
        <w:rPr>
          <w:rFonts w:ascii="Trebuchet MS" w:hAnsi="Trebuchet MS" w:cs="Trebuchet MS"/>
        </w:rPr>
        <w:t>mentioned</w:t>
      </w:r>
      <w:r w:rsidR="00FD6520">
        <w:rPr>
          <w:rFonts w:ascii="Trebuchet MS" w:hAnsi="Trebuchet MS" w:cs="Trebuchet MS"/>
        </w:rPr>
        <w:t xml:space="preserve"> all 12 indicators in at least 5 different places during the session. Fractionalization and External Intervention were the most frequently </w:t>
      </w:r>
      <w:r w:rsidR="0019378E">
        <w:rPr>
          <w:rFonts w:ascii="Trebuchet MS" w:hAnsi="Trebuchet MS" w:cs="Trebuchet MS"/>
        </w:rPr>
        <w:t>mentioned (</w:t>
      </w:r>
      <w:r w:rsidR="00FD6520">
        <w:rPr>
          <w:rFonts w:ascii="Trebuchet MS" w:hAnsi="Trebuchet MS" w:cs="Trebuchet MS"/>
        </w:rPr>
        <w:t>10 times each</w:t>
      </w:r>
      <w:r w:rsidR="0019378E">
        <w:rPr>
          <w:rFonts w:ascii="Trebuchet MS" w:hAnsi="Trebuchet MS" w:cs="Trebuchet MS"/>
        </w:rPr>
        <w:t>)</w:t>
      </w:r>
      <w:r w:rsidR="00FD6520">
        <w:rPr>
          <w:rFonts w:ascii="Trebuchet MS" w:hAnsi="Trebuchet MS" w:cs="Trebuchet MS"/>
        </w:rPr>
        <w:t xml:space="preserve">, while Population, State Services, and State Legitimization </w:t>
      </w:r>
      <w:proofErr w:type="gramStart"/>
      <w:r w:rsidR="00FD6520">
        <w:rPr>
          <w:rFonts w:ascii="Trebuchet MS" w:hAnsi="Trebuchet MS" w:cs="Trebuchet MS"/>
        </w:rPr>
        <w:t>were</w:t>
      </w:r>
      <w:proofErr w:type="gramEnd"/>
      <w:r w:rsidR="00FD6520">
        <w:rPr>
          <w:rFonts w:ascii="Trebuchet MS" w:hAnsi="Trebuchet MS" w:cs="Trebuchet MS"/>
        </w:rPr>
        <w:t xml:space="preserve"> considered at 5 points each. However, </w:t>
      </w:r>
      <w:r w:rsidR="0019378E">
        <w:rPr>
          <w:rFonts w:ascii="Trebuchet MS" w:hAnsi="Trebuchet MS" w:cs="Trebuchet MS"/>
        </w:rPr>
        <w:t>the expert</w:t>
      </w:r>
      <w:r w:rsidR="00FD6520">
        <w:rPr>
          <w:rFonts w:ascii="Trebuchet MS" w:hAnsi="Trebuchet MS" w:cs="Trebuchet MS"/>
        </w:rPr>
        <w:t xml:space="preserve"> did not</w:t>
      </w:r>
      <w:r w:rsidR="0019378E">
        <w:rPr>
          <w:rFonts w:ascii="Trebuchet MS" w:hAnsi="Trebuchet MS" w:cs="Trebuchet MS"/>
        </w:rPr>
        <w:t xml:space="preserve"> appear to use </w:t>
      </w:r>
      <w:r w:rsidR="00A11680">
        <w:rPr>
          <w:rFonts w:ascii="Trebuchet MS" w:hAnsi="Trebuchet MS" w:cs="Trebuchet MS"/>
        </w:rPr>
        <w:t xml:space="preserve">any of </w:t>
      </w:r>
      <w:r w:rsidR="0019378E">
        <w:rPr>
          <w:rFonts w:ascii="Trebuchet MS" w:hAnsi="Trebuchet MS" w:cs="Trebuchet MS"/>
        </w:rPr>
        <w:lastRenderedPageBreak/>
        <w:t>these indicators as predictive variables, nor did he</w:t>
      </w:r>
      <w:r w:rsidR="00FD6520">
        <w:rPr>
          <w:rFonts w:ascii="Trebuchet MS" w:hAnsi="Trebuchet MS" w:cs="Trebuchet MS"/>
        </w:rPr>
        <w:t xml:space="preserve"> include </w:t>
      </w:r>
      <w:r w:rsidR="0019378E">
        <w:rPr>
          <w:rFonts w:ascii="Trebuchet MS" w:hAnsi="Trebuchet MS" w:cs="Trebuchet MS"/>
        </w:rPr>
        <w:t>them</w:t>
      </w:r>
      <w:r w:rsidR="00FD6520">
        <w:rPr>
          <w:rFonts w:ascii="Trebuchet MS" w:hAnsi="Trebuchet MS" w:cs="Trebuchet MS"/>
        </w:rPr>
        <w:t xml:space="preserve"> specifically in either the model or the analysis. Rather he introduced them in a tangential</w:t>
      </w:r>
      <w:r w:rsidR="0019378E">
        <w:rPr>
          <w:rFonts w:ascii="Trebuchet MS" w:hAnsi="Trebuchet MS" w:cs="Trebuchet MS"/>
        </w:rPr>
        <w:t>, descriptive</w:t>
      </w:r>
      <w:r w:rsidR="00FD6520">
        <w:rPr>
          <w:rFonts w:ascii="Trebuchet MS" w:hAnsi="Trebuchet MS" w:cs="Trebuchet MS"/>
        </w:rPr>
        <w:t xml:space="preserve"> way, such as observing </w:t>
      </w:r>
      <w:r w:rsidR="0019378E">
        <w:rPr>
          <w:rFonts w:ascii="Trebuchet MS" w:hAnsi="Trebuchet MS" w:cs="Trebuchet MS"/>
        </w:rPr>
        <w:t>that</w:t>
      </w:r>
      <w:r w:rsidR="00FD6520">
        <w:rPr>
          <w:rFonts w:ascii="Trebuchet MS" w:hAnsi="Trebuchet MS" w:cs="Trebuchet MS"/>
        </w:rPr>
        <w:t xml:space="preserve"> </w:t>
      </w:r>
      <w:proofErr w:type="spellStart"/>
      <w:r w:rsidR="00FD6520">
        <w:rPr>
          <w:rFonts w:ascii="Trebuchet MS" w:hAnsi="Trebuchet MS" w:cs="Trebuchet MS"/>
        </w:rPr>
        <w:t>Tuareg</w:t>
      </w:r>
      <w:proofErr w:type="spellEnd"/>
      <w:r w:rsidR="00FD6520">
        <w:rPr>
          <w:rFonts w:ascii="Trebuchet MS" w:hAnsi="Trebuchet MS" w:cs="Trebuchet MS"/>
        </w:rPr>
        <w:t xml:space="preserve"> raiders could hide in </w:t>
      </w:r>
      <w:proofErr w:type="gramStart"/>
      <w:r w:rsidR="00FD6520">
        <w:rPr>
          <w:rFonts w:ascii="Trebuchet MS" w:hAnsi="Trebuchet MS" w:cs="Trebuchet MS"/>
        </w:rPr>
        <w:t>desert mountains</w:t>
      </w:r>
      <w:proofErr w:type="gramEnd"/>
      <w:r w:rsidR="00FD6520">
        <w:rPr>
          <w:rFonts w:ascii="Trebuchet MS" w:hAnsi="Trebuchet MS" w:cs="Trebuchet MS"/>
        </w:rPr>
        <w:t xml:space="preserve">, or noting that Niger is a poor country. He did not highlight or emphasize </w:t>
      </w:r>
      <w:r w:rsidR="0019378E">
        <w:rPr>
          <w:rFonts w:ascii="Trebuchet MS" w:hAnsi="Trebuchet MS" w:cs="Trebuchet MS"/>
        </w:rPr>
        <w:t>these observations as indicators (e.g. he did not say, Niger is poo</w:t>
      </w:r>
      <w:r w:rsidR="00A11680">
        <w:rPr>
          <w:rFonts w:ascii="Trebuchet MS" w:hAnsi="Trebuchet MS" w:cs="Trebuchet MS"/>
        </w:rPr>
        <w:t>r therefore it is likely to be u</w:t>
      </w:r>
      <w:r w:rsidR="0019378E">
        <w:rPr>
          <w:rFonts w:ascii="Trebuchet MS" w:hAnsi="Trebuchet MS" w:cs="Trebuchet MS"/>
        </w:rPr>
        <w:t>nstable).</w:t>
      </w:r>
    </w:p>
    <w:p w:rsidR="00FD6520" w:rsidRDefault="00FD6520" w:rsidP="00EF520D">
      <w:pPr>
        <w:spacing w:line="300" w:lineRule="auto"/>
      </w:pPr>
    </w:p>
    <w:p w:rsidR="00D1233A" w:rsidRDefault="00967332" w:rsidP="00671B38">
      <w:pPr>
        <w:spacing w:line="300" w:lineRule="auto"/>
        <w:rPr>
          <w:rFonts w:ascii="Trebuchet MS" w:hAnsi="Trebuchet MS" w:cs="Trebuchet MS"/>
        </w:rPr>
      </w:pPr>
      <w:r>
        <w:rPr>
          <w:rFonts w:ascii="Trebuchet MS" w:hAnsi="Trebuchet MS" w:cs="Trebuchet MS"/>
        </w:rPr>
        <w:t>The standard categories of societal instability</w:t>
      </w:r>
      <w:r w:rsidR="00FD6520">
        <w:rPr>
          <w:rFonts w:ascii="Trebuchet MS" w:hAnsi="Trebuchet MS" w:cs="Trebuchet MS"/>
        </w:rPr>
        <w:t xml:space="preserve"> </w:t>
      </w:r>
      <w:r>
        <w:rPr>
          <w:rFonts w:ascii="Trebuchet MS" w:hAnsi="Trebuchet MS" w:cs="Trebuchet MS"/>
        </w:rPr>
        <w:t>were developed using</w:t>
      </w:r>
      <w:r w:rsidR="00FD6520">
        <w:rPr>
          <w:rFonts w:ascii="Trebuchet MS" w:hAnsi="Trebuchet MS" w:cs="Trebuchet MS"/>
        </w:rPr>
        <w:t xml:space="preserve"> statistics from a large number of countries in order to uncover statistically significant relationships. As such these studies looked for variables that applied as broadly as possible. The analytic problem given in this study, in contrast, had no requirement to apply the fi</w:t>
      </w:r>
      <w:r w:rsidR="0062782E">
        <w:rPr>
          <w:rFonts w:ascii="Trebuchet MS" w:hAnsi="Trebuchet MS" w:cs="Trebuchet MS"/>
        </w:rPr>
        <w:t>ndings in any broader context. While t</w:t>
      </w:r>
      <w:r w:rsidR="00FD6520">
        <w:rPr>
          <w:rFonts w:ascii="Trebuchet MS" w:hAnsi="Trebuchet MS" w:cs="Trebuchet MS"/>
        </w:rPr>
        <w:t xml:space="preserve">he </w:t>
      </w:r>
      <w:r w:rsidR="0062782E">
        <w:rPr>
          <w:rFonts w:ascii="Trebuchet MS" w:hAnsi="Trebuchet MS" w:cs="Trebuchet MS"/>
        </w:rPr>
        <w:t>expert was clearly aware of the standard categories of societal instability, he</w:t>
      </w:r>
      <w:r w:rsidR="00FD6520">
        <w:rPr>
          <w:rFonts w:ascii="Trebuchet MS" w:hAnsi="Trebuchet MS" w:cs="Trebuchet MS"/>
        </w:rPr>
        <w:t xml:space="preserve"> looked deeper into </w:t>
      </w:r>
      <w:r w:rsidR="0062782E">
        <w:rPr>
          <w:rFonts w:ascii="Trebuchet MS" w:hAnsi="Trebuchet MS" w:cs="Trebuchet MS"/>
        </w:rPr>
        <w:t xml:space="preserve">the </w:t>
      </w:r>
      <w:r w:rsidR="00FD6520">
        <w:rPr>
          <w:rFonts w:ascii="Trebuchet MS" w:hAnsi="Trebuchet MS" w:cs="Trebuchet MS"/>
        </w:rPr>
        <w:t xml:space="preserve">open source material in order to find a more local and timely variable. Such a variable would be more useful in predicting immediate changes than “variables” that </w:t>
      </w:r>
      <w:r w:rsidR="0062782E">
        <w:rPr>
          <w:rFonts w:ascii="Trebuchet MS" w:hAnsi="Trebuchet MS" w:cs="Trebuchet MS"/>
        </w:rPr>
        <w:t>for this case were</w:t>
      </w:r>
      <w:r w:rsidR="00FD6520">
        <w:rPr>
          <w:rFonts w:ascii="Trebuchet MS" w:hAnsi="Trebuchet MS" w:cs="Trebuchet MS"/>
        </w:rPr>
        <w:t xml:space="preserve"> actually constant over the period of concern. </w:t>
      </w:r>
    </w:p>
    <w:p w:rsidR="00D1233A" w:rsidRDefault="00D1233A" w:rsidP="00671B38">
      <w:pPr>
        <w:spacing w:line="300" w:lineRule="auto"/>
        <w:rPr>
          <w:rFonts w:ascii="Trebuchet MS" w:hAnsi="Trebuchet MS" w:cs="Trebuchet MS"/>
        </w:rPr>
      </w:pPr>
    </w:p>
    <w:p w:rsidR="00671B38" w:rsidRDefault="00FD6520" w:rsidP="00671B38">
      <w:pPr>
        <w:spacing w:line="300" w:lineRule="auto"/>
        <w:rPr>
          <w:rFonts w:ascii="Trebuchet MS" w:hAnsi="Trebuchet MS" w:cs="Trebuchet MS"/>
        </w:rPr>
      </w:pPr>
      <w:r>
        <w:rPr>
          <w:rFonts w:ascii="Trebuchet MS" w:hAnsi="Trebuchet MS" w:cs="Trebuchet MS"/>
        </w:rPr>
        <w:t>The</w:t>
      </w:r>
      <w:r w:rsidR="00D1233A">
        <w:rPr>
          <w:rFonts w:ascii="Trebuchet MS" w:hAnsi="Trebuchet MS" w:cs="Trebuchet MS"/>
        </w:rPr>
        <w:t xml:space="preserve"> primary</w:t>
      </w:r>
      <w:r>
        <w:rPr>
          <w:rFonts w:ascii="Trebuchet MS" w:hAnsi="Trebuchet MS" w:cs="Trebuchet MS"/>
        </w:rPr>
        <w:t xml:space="preserve"> indicator </w:t>
      </w:r>
      <w:r w:rsidR="00D1233A">
        <w:rPr>
          <w:rFonts w:ascii="Trebuchet MS" w:hAnsi="Trebuchet MS" w:cs="Trebuchet MS"/>
        </w:rPr>
        <w:t>the expert</w:t>
      </w:r>
      <w:r>
        <w:rPr>
          <w:rFonts w:ascii="Trebuchet MS" w:hAnsi="Trebuchet MS" w:cs="Trebuchet MS"/>
        </w:rPr>
        <w:t xml:space="preserve"> actually used was the degree to which the State showed that it was genuinely attempting to treat the minorities fairly and was trying to provide improved state services to its citizens. This qualitative variable is not unique to this expert, as it is also explicitly developed by </w:t>
      </w:r>
      <w:proofErr w:type="spellStart"/>
      <w:r w:rsidRPr="00FA594F">
        <w:rPr>
          <w:rFonts w:ascii="Trebuchet MS" w:hAnsi="Trebuchet MS" w:cs="Trebuchet MS"/>
        </w:rPr>
        <w:t>Rotberg</w:t>
      </w:r>
      <w:proofErr w:type="spellEnd"/>
      <w:r w:rsidRPr="00FA594F">
        <w:rPr>
          <w:rFonts w:ascii="Trebuchet MS" w:hAnsi="Trebuchet MS" w:cs="Trebuchet MS"/>
        </w:rPr>
        <w:t xml:space="preserve"> in his 2003</w:t>
      </w:r>
      <w:r>
        <w:rPr>
          <w:rFonts w:ascii="Trebuchet MS" w:hAnsi="Trebuchet MS" w:cs="Trebuchet MS"/>
        </w:rPr>
        <w:t xml:space="preserve"> Brookings study, where it is also treated as a central predictive variable.</w:t>
      </w:r>
      <w:r w:rsidR="00671B38" w:rsidRPr="00671B38">
        <w:rPr>
          <w:rFonts w:ascii="Trebuchet MS" w:hAnsi="Trebuchet MS" w:cs="Trebuchet MS"/>
        </w:rPr>
        <w:t xml:space="preserve"> </w:t>
      </w:r>
      <w:r w:rsidR="00671B38">
        <w:rPr>
          <w:rFonts w:ascii="Trebuchet MS" w:hAnsi="Trebuchet MS" w:cs="Trebuchet MS"/>
        </w:rPr>
        <w:t>However, it is not used in the three quantitative studies discussed earlier (Collier</w:t>
      </w:r>
      <w:r w:rsidR="00973F1A">
        <w:rPr>
          <w:rFonts w:ascii="Trebuchet MS" w:hAnsi="Trebuchet MS" w:cs="Trebuchet MS"/>
        </w:rPr>
        <w:t xml:space="preserve"> 2004</w:t>
      </w:r>
      <w:r w:rsidR="00671B38">
        <w:rPr>
          <w:rFonts w:ascii="Trebuchet MS" w:hAnsi="Trebuchet MS" w:cs="Trebuchet MS"/>
        </w:rPr>
        <w:t xml:space="preserve">; </w:t>
      </w:r>
      <w:proofErr w:type="spellStart"/>
      <w:r w:rsidR="00626747">
        <w:rPr>
          <w:rFonts w:ascii="Trebuchet MS" w:hAnsi="Trebuchet MS" w:cs="Trebuchet MS"/>
        </w:rPr>
        <w:t>Fearon</w:t>
      </w:r>
      <w:proofErr w:type="spellEnd"/>
      <w:r w:rsidR="00973F1A">
        <w:rPr>
          <w:rFonts w:ascii="Trebuchet MS" w:hAnsi="Trebuchet MS" w:cs="Trebuchet MS"/>
        </w:rPr>
        <w:t xml:space="preserve"> 2003</w:t>
      </w:r>
      <w:r w:rsidR="00671B38">
        <w:rPr>
          <w:rFonts w:ascii="Trebuchet MS" w:hAnsi="Trebuchet MS" w:cs="Trebuchet MS"/>
        </w:rPr>
        <w:t>; &amp; Failed State Index</w:t>
      </w:r>
      <w:r w:rsidR="00973F1A">
        <w:rPr>
          <w:rFonts w:ascii="Trebuchet MS" w:hAnsi="Trebuchet MS" w:cs="Trebuchet MS"/>
        </w:rPr>
        <w:t xml:space="preserve"> 2009</w:t>
      </w:r>
      <w:r w:rsidR="00671B38">
        <w:rPr>
          <w:rFonts w:ascii="Trebuchet MS" w:hAnsi="Trebuchet MS" w:cs="Trebuchet MS"/>
        </w:rPr>
        <w:t xml:space="preserve">) since it does not have a widely applied numerical index estimating its value. </w:t>
      </w:r>
      <w:r>
        <w:rPr>
          <w:rFonts w:ascii="Trebuchet MS" w:hAnsi="Trebuchet MS" w:cs="Trebuchet MS"/>
        </w:rPr>
        <w:t xml:space="preserve"> </w:t>
      </w:r>
      <w:r w:rsidR="00671B38">
        <w:rPr>
          <w:rFonts w:ascii="Trebuchet MS" w:hAnsi="Trebuchet MS" w:cs="Trebuchet MS"/>
        </w:rPr>
        <w:t xml:space="preserve">After examining the totality of the transcript it appears this variable reflects to some degree the personal value system of the expert. This is revealed by the expert’s use of value laden terms, such as “tragic”, “nasty”, or “needy children.”  The statistical indicators in contrast do not involve any value judgments. While it is not clear from the transcript whether a guiding value system was critical for the selection of this variable as the key indicator of instability, it seems </w:t>
      </w:r>
      <w:r w:rsidR="00D1233A">
        <w:rPr>
          <w:rFonts w:ascii="Trebuchet MS" w:hAnsi="Trebuchet MS" w:cs="Trebuchet MS"/>
        </w:rPr>
        <w:t>likely</w:t>
      </w:r>
      <w:r w:rsidR="00671B38">
        <w:rPr>
          <w:rFonts w:ascii="Trebuchet MS" w:hAnsi="Trebuchet MS" w:cs="Trebuchet MS"/>
        </w:rPr>
        <w:t xml:space="preserve"> that it was. If so, the role of the expert’s values in analytic thinking should be more closely examined in the future. </w:t>
      </w:r>
    </w:p>
    <w:p w:rsidR="00D1233A" w:rsidRPr="00E564A9" w:rsidRDefault="00D1233A" w:rsidP="00671B38">
      <w:pPr>
        <w:spacing w:line="300" w:lineRule="auto"/>
      </w:pPr>
    </w:p>
    <w:p w:rsidR="00FD6520" w:rsidRDefault="00FD6520" w:rsidP="00671B38">
      <w:pPr>
        <w:spacing w:line="300" w:lineRule="auto"/>
        <w:rPr>
          <w:rFonts w:ascii="Trebuchet MS" w:hAnsi="Trebuchet MS" w:cs="Trebuchet MS"/>
        </w:rPr>
      </w:pPr>
      <w:r>
        <w:rPr>
          <w:rFonts w:ascii="Trebuchet MS" w:hAnsi="Trebuchet MS" w:cs="Trebuchet MS"/>
        </w:rPr>
        <w:t xml:space="preserve">Since the open source commercial system’s categorization </w:t>
      </w:r>
      <w:r w:rsidR="00967332">
        <w:rPr>
          <w:rFonts w:ascii="Trebuchet MS" w:hAnsi="Trebuchet MS" w:cs="Trebuchet MS"/>
        </w:rPr>
        <w:t xml:space="preserve">scheme </w:t>
      </w:r>
      <w:r>
        <w:rPr>
          <w:rFonts w:ascii="Trebuchet MS" w:hAnsi="Trebuchet MS" w:cs="Trebuchet MS"/>
        </w:rPr>
        <w:t xml:space="preserve">did not provide useful information </w:t>
      </w:r>
      <w:r w:rsidR="00967332">
        <w:rPr>
          <w:rFonts w:ascii="Trebuchet MS" w:hAnsi="Trebuchet MS" w:cs="Trebuchet MS"/>
        </w:rPr>
        <w:t xml:space="preserve">on State treatment of </w:t>
      </w:r>
      <w:proofErr w:type="spellStart"/>
      <w:r w:rsidR="00967332">
        <w:rPr>
          <w:rFonts w:ascii="Trebuchet MS" w:hAnsi="Trebuchet MS" w:cs="Trebuchet MS"/>
        </w:rPr>
        <w:t>Tuaregs</w:t>
      </w:r>
      <w:proofErr w:type="spellEnd"/>
      <w:r w:rsidR="00967332">
        <w:rPr>
          <w:rFonts w:ascii="Trebuchet MS" w:hAnsi="Trebuchet MS" w:cs="Trebuchet MS"/>
        </w:rPr>
        <w:t xml:space="preserve"> </w:t>
      </w:r>
      <w:r>
        <w:rPr>
          <w:rFonts w:ascii="Trebuchet MS" w:hAnsi="Trebuchet MS" w:cs="Trebuchet MS"/>
        </w:rPr>
        <w:t xml:space="preserve">over the period of time being considered, it was </w:t>
      </w:r>
      <w:r w:rsidR="00967332">
        <w:rPr>
          <w:rFonts w:ascii="Trebuchet MS" w:hAnsi="Trebuchet MS" w:cs="Trebuchet MS"/>
        </w:rPr>
        <w:t xml:space="preserve">generally </w:t>
      </w:r>
      <w:r>
        <w:rPr>
          <w:rFonts w:ascii="Trebuchet MS" w:hAnsi="Trebuchet MS" w:cs="Trebuchet MS"/>
        </w:rPr>
        <w:t>ignored.</w:t>
      </w:r>
      <w:r w:rsidR="00D1233A">
        <w:rPr>
          <w:rFonts w:ascii="Trebuchet MS" w:hAnsi="Trebuchet MS" w:cs="Trebuchet MS"/>
        </w:rPr>
        <w:t xml:space="preserve">  </w:t>
      </w:r>
      <w:r w:rsidR="0062782E">
        <w:rPr>
          <w:rFonts w:ascii="Trebuchet MS" w:hAnsi="Trebuchet MS" w:cs="Trebuchet MS"/>
        </w:rPr>
        <w:t>The system did, however, provide</w:t>
      </w:r>
      <w:r w:rsidR="00967332">
        <w:rPr>
          <w:rFonts w:ascii="Trebuchet MS" w:hAnsi="Trebuchet MS" w:cs="Trebuchet MS"/>
        </w:rPr>
        <w:t xml:space="preserve"> documents that </w:t>
      </w:r>
      <w:r w:rsidR="0062782E">
        <w:rPr>
          <w:rFonts w:ascii="Trebuchet MS" w:hAnsi="Trebuchet MS" w:cs="Trebuchet MS"/>
        </w:rPr>
        <w:t>addressed the expert’s key indicator--</w:t>
      </w:r>
      <w:r>
        <w:rPr>
          <w:rFonts w:ascii="Trebuchet MS" w:hAnsi="Trebuchet MS" w:cs="Trebuchet MS"/>
        </w:rPr>
        <w:t xml:space="preserve">the Government’s </w:t>
      </w:r>
      <w:r w:rsidR="00967332">
        <w:rPr>
          <w:rFonts w:ascii="Trebuchet MS" w:hAnsi="Trebuchet MS" w:cs="Trebuchet MS"/>
        </w:rPr>
        <w:t xml:space="preserve">treatment of </w:t>
      </w:r>
      <w:r w:rsidR="00671B38">
        <w:rPr>
          <w:rFonts w:ascii="Trebuchet MS" w:hAnsi="Trebuchet MS" w:cs="Trebuchet MS"/>
        </w:rPr>
        <w:t>citizen’s rights</w:t>
      </w:r>
      <w:r w:rsidR="00967332">
        <w:rPr>
          <w:rFonts w:ascii="Trebuchet MS" w:hAnsi="Trebuchet MS" w:cs="Trebuchet MS"/>
        </w:rPr>
        <w:t xml:space="preserve"> and possible </w:t>
      </w:r>
      <w:r>
        <w:rPr>
          <w:rFonts w:ascii="Trebuchet MS" w:hAnsi="Trebuchet MS" w:cs="Trebuchet MS"/>
        </w:rPr>
        <w:t>motivation</w:t>
      </w:r>
      <w:r w:rsidR="00967332">
        <w:rPr>
          <w:rFonts w:ascii="Trebuchet MS" w:hAnsi="Trebuchet MS" w:cs="Trebuchet MS"/>
        </w:rPr>
        <w:t>s</w:t>
      </w:r>
      <w:r>
        <w:rPr>
          <w:rFonts w:ascii="Trebuchet MS" w:hAnsi="Trebuchet MS" w:cs="Trebuchet MS"/>
        </w:rPr>
        <w:t xml:space="preserve">. For example a story of the expulsion of Doctors </w:t>
      </w:r>
      <w:proofErr w:type="gramStart"/>
      <w:r>
        <w:rPr>
          <w:rFonts w:ascii="Trebuchet MS" w:hAnsi="Trebuchet MS" w:cs="Trebuchet MS"/>
        </w:rPr>
        <w:lastRenderedPageBreak/>
        <w:t>Without</w:t>
      </w:r>
      <w:proofErr w:type="gramEnd"/>
      <w:r>
        <w:rPr>
          <w:rFonts w:ascii="Trebuchet MS" w:hAnsi="Trebuchet MS" w:cs="Trebuchet MS"/>
        </w:rPr>
        <w:t xml:space="preserve"> Borders indicated to the expert that the State was more concerned with preventing criticism than with providing services. Similarly, a series of articles on the imprisonment and subsequent release of a reporte</w:t>
      </w:r>
      <w:r w:rsidR="00671B38">
        <w:rPr>
          <w:rFonts w:ascii="Trebuchet MS" w:hAnsi="Trebuchet MS" w:cs="Trebuchet MS"/>
        </w:rPr>
        <w:t>r who wrote on possible Uranium-</w:t>
      </w:r>
      <w:r>
        <w:rPr>
          <w:rFonts w:ascii="Trebuchet MS" w:hAnsi="Trebuchet MS" w:cs="Trebuchet MS"/>
        </w:rPr>
        <w:t xml:space="preserve">related pollution was viewed as an ambiguous indicator, with the imprisonment being strongly negative and the release positive.  </w:t>
      </w:r>
      <w:r w:rsidR="00671B38">
        <w:rPr>
          <w:rFonts w:ascii="Trebuchet MS" w:hAnsi="Trebuchet MS" w:cs="Trebuchet MS"/>
        </w:rPr>
        <w:t xml:space="preserve">Certainly the open source schema could have been based on categories that would have better reflected the expert’s concerns and better supported his analysis.  </w:t>
      </w:r>
      <w:r w:rsidR="0062782E">
        <w:rPr>
          <w:rFonts w:ascii="Trebuchet MS" w:hAnsi="Trebuchet MS" w:cs="Trebuchet MS"/>
        </w:rPr>
        <w:t>This</w:t>
      </w:r>
      <w:r w:rsidR="00671B38">
        <w:rPr>
          <w:rFonts w:ascii="Trebuchet MS" w:hAnsi="Trebuchet MS" w:cs="Trebuchet MS"/>
        </w:rPr>
        <w:t xml:space="preserve"> appears to be an important opportunity to better align open source analysis with expert analysis.</w:t>
      </w:r>
    </w:p>
    <w:p w:rsidR="00671B38" w:rsidRDefault="00671B38" w:rsidP="00671B38">
      <w:pPr>
        <w:spacing w:line="300" w:lineRule="auto"/>
        <w:rPr>
          <w:rFonts w:ascii="Trebuchet MS" w:hAnsi="Trebuchet MS" w:cs="Trebuchet MS"/>
        </w:rPr>
      </w:pPr>
    </w:p>
    <w:p w:rsidR="00FD6520" w:rsidRDefault="00FD6520" w:rsidP="00AF0FC2">
      <w:pPr>
        <w:pStyle w:val="Heading2"/>
        <w:spacing w:line="276" w:lineRule="auto"/>
        <w:rPr>
          <w:rFonts w:ascii="Trebuchet MS" w:hAnsi="Trebuchet MS" w:cs="Trebuchet MS"/>
        </w:rPr>
      </w:pPr>
      <w:r>
        <w:rPr>
          <w:rFonts w:ascii="Trebuchet MS" w:hAnsi="Trebuchet MS" w:cs="Trebuchet MS"/>
        </w:rPr>
        <w:t xml:space="preserve">Discussion </w:t>
      </w:r>
    </w:p>
    <w:p w:rsidR="007735B4" w:rsidRDefault="0092504A" w:rsidP="00AF0FC2">
      <w:pPr>
        <w:spacing w:before="100" w:beforeAutospacing="1" w:line="300" w:lineRule="auto"/>
        <w:rPr>
          <w:rFonts w:ascii="Trebuchet MS" w:hAnsi="Trebuchet MS" w:cs="Trebuchet MS"/>
        </w:rPr>
      </w:pPr>
      <w:r>
        <w:rPr>
          <w:rFonts w:ascii="Trebuchet MS" w:hAnsi="Trebuchet MS" w:cs="Trebuchet MS"/>
        </w:rPr>
        <w:t xml:space="preserve">This paper describes and explores a rare process-- a senior expert with 40+ years of analytic experience and extraordinary in-depth and personal knowledge of a region of interest engaged in speculative analysis based, in part, on the output of an extensive open source intelligence system. </w:t>
      </w:r>
      <w:r w:rsidR="001221FE">
        <w:rPr>
          <w:rFonts w:ascii="Trebuchet MS" w:hAnsi="Trebuchet MS" w:cs="Trebuchet MS"/>
        </w:rPr>
        <w:t>A</w:t>
      </w:r>
      <w:r>
        <w:rPr>
          <w:rFonts w:ascii="Trebuchet MS" w:hAnsi="Trebuchet MS" w:cs="Trebuchet MS"/>
        </w:rPr>
        <w:t xml:space="preserve"> </w:t>
      </w:r>
      <w:r w:rsidR="00FD6520">
        <w:rPr>
          <w:rFonts w:ascii="Trebuchet MS" w:hAnsi="Trebuchet MS" w:cs="Trebuchet MS"/>
        </w:rPr>
        <w:t xml:space="preserve">central </w:t>
      </w:r>
      <w:r>
        <w:rPr>
          <w:rFonts w:ascii="Trebuchet MS" w:hAnsi="Trebuchet MS" w:cs="Trebuchet MS"/>
        </w:rPr>
        <w:t>takeaway</w:t>
      </w:r>
      <w:r w:rsidR="00FD6520">
        <w:rPr>
          <w:rFonts w:ascii="Trebuchet MS" w:hAnsi="Trebuchet MS" w:cs="Trebuchet MS"/>
        </w:rPr>
        <w:t xml:space="preserve"> of this exploratory case study is that</w:t>
      </w:r>
      <w:r>
        <w:rPr>
          <w:rFonts w:ascii="Trebuchet MS" w:hAnsi="Trebuchet MS" w:cs="Trebuchet MS"/>
        </w:rPr>
        <w:t xml:space="preserve"> </w:t>
      </w:r>
      <w:r w:rsidR="001221FE">
        <w:rPr>
          <w:rFonts w:ascii="Trebuchet MS" w:hAnsi="Trebuchet MS" w:cs="Trebuchet MS"/>
        </w:rPr>
        <w:t>while the open source output contributed some value, it did not play as strong a role in the analysis as it might have had it been better aligned with the analytic processes of the expert</w:t>
      </w:r>
      <w:r w:rsidR="00FD6520">
        <w:rPr>
          <w:rFonts w:ascii="Trebuchet MS" w:hAnsi="Trebuchet MS" w:cs="Trebuchet MS"/>
        </w:rPr>
        <w:t xml:space="preserve">. </w:t>
      </w:r>
    </w:p>
    <w:p w:rsidR="00FD6520" w:rsidRDefault="00FD6520" w:rsidP="00AF0FC2">
      <w:pPr>
        <w:spacing w:before="100" w:beforeAutospacing="1" w:line="300" w:lineRule="auto"/>
        <w:rPr>
          <w:rFonts w:ascii="Trebuchet MS" w:hAnsi="Trebuchet MS" w:cs="Trebuchet MS"/>
        </w:rPr>
      </w:pPr>
      <w:r>
        <w:rPr>
          <w:rFonts w:ascii="Trebuchet MS" w:hAnsi="Trebuchet MS" w:cs="Trebuchet MS"/>
        </w:rPr>
        <w:t xml:space="preserve">The expert was observed to construct a mental model populated </w:t>
      </w:r>
      <w:r w:rsidR="001221FE">
        <w:rPr>
          <w:rFonts w:ascii="Trebuchet MS" w:hAnsi="Trebuchet MS" w:cs="Trebuchet MS"/>
        </w:rPr>
        <w:t xml:space="preserve">primarily </w:t>
      </w:r>
      <w:r>
        <w:rPr>
          <w:rFonts w:ascii="Trebuchet MS" w:hAnsi="Trebuchet MS" w:cs="Trebuchet MS"/>
        </w:rPr>
        <w:t xml:space="preserve">by facts and relationships from his memory </w:t>
      </w:r>
      <w:r w:rsidR="007735B4">
        <w:rPr>
          <w:rFonts w:ascii="Trebuchet MS" w:hAnsi="Trebuchet MS" w:cs="Trebuchet MS"/>
        </w:rPr>
        <w:t xml:space="preserve">and </w:t>
      </w:r>
      <w:r>
        <w:rPr>
          <w:rFonts w:ascii="Trebuchet MS" w:hAnsi="Trebuchet MS" w:cs="Trebuchet MS"/>
        </w:rPr>
        <w:t xml:space="preserve">augmented by input from open-source material. This model consisted of </w:t>
      </w:r>
      <w:r w:rsidR="00B50587">
        <w:rPr>
          <w:rFonts w:ascii="Trebuchet MS" w:hAnsi="Trebuchet MS" w:cs="Trebuchet MS"/>
        </w:rPr>
        <w:t xml:space="preserve">key elements, lists of element attributes, and </w:t>
      </w:r>
      <w:r>
        <w:rPr>
          <w:rFonts w:ascii="Trebuchet MS" w:hAnsi="Trebuchet MS" w:cs="Trebuchet MS"/>
        </w:rPr>
        <w:t>re</w:t>
      </w:r>
      <w:r w:rsidR="00B50587">
        <w:rPr>
          <w:rFonts w:ascii="Trebuchet MS" w:hAnsi="Trebuchet MS" w:cs="Trebuchet MS"/>
        </w:rPr>
        <w:t xml:space="preserve">lationships between elements. </w:t>
      </w:r>
      <w:r w:rsidR="00967AAF">
        <w:rPr>
          <w:rFonts w:ascii="Trebuchet MS" w:hAnsi="Trebuchet MS" w:cs="Trebuchet MS"/>
        </w:rPr>
        <w:t xml:space="preserve">While populating the model occurred primarily in the early portion of the session, it continued until late in the session for those elements from memory (PEEM), but not from the open source input (MMSEI).  </w:t>
      </w:r>
      <w:r w:rsidR="006448C2">
        <w:rPr>
          <w:rFonts w:ascii="Trebuchet MS" w:hAnsi="Trebuchet MS" w:cs="Trebuchet MS"/>
        </w:rPr>
        <w:t xml:space="preserve">Separate from model construction, the expert made judgments based on the model and the application of five analytic judgment processes. </w:t>
      </w:r>
      <w:r w:rsidR="00967AAF">
        <w:rPr>
          <w:rFonts w:ascii="Trebuchet MS" w:hAnsi="Trebuchet MS" w:cs="Trebuchet MS"/>
        </w:rPr>
        <w:t xml:space="preserve">A shift from model construction to analytical judgment occurred over the session and appeared to be accelerated by the nature of the third question, which demanded a judgment as to what were the indicators of future trends. This </w:t>
      </w:r>
      <w:r w:rsidR="006448C2">
        <w:rPr>
          <w:rFonts w:ascii="Trebuchet MS" w:hAnsi="Trebuchet MS" w:cs="Trebuchet MS"/>
        </w:rPr>
        <w:t xml:space="preserve">overall cognitive </w:t>
      </w:r>
      <w:r w:rsidR="00967AAF">
        <w:rPr>
          <w:rFonts w:ascii="Trebuchet MS" w:hAnsi="Trebuchet MS" w:cs="Trebuchet MS"/>
        </w:rPr>
        <w:t>process was revealed with reasonable clar</w:t>
      </w:r>
      <w:r w:rsidR="006448C2">
        <w:rPr>
          <w:rFonts w:ascii="Trebuchet MS" w:hAnsi="Trebuchet MS" w:cs="Trebuchet MS"/>
        </w:rPr>
        <w:t>ity by the think-aloud protocol and</w:t>
      </w:r>
      <w:r w:rsidR="00967AAF">
        <w:rPr>
          <w:rFonts w:ascii="Trebuchet MS" w:hAnsi="Trebuchet MS" w:cs="Trebuchet MS"/>
        </w:rPr>
        <w:t xml:space="preserve"> confirmed by the successful content analysis for the major steps in the process; namely populating the developing model (PEEM), adding information from open source (MMSEI), and making judgments from the model (AJ).  </w:t>
      </w:r>
    </w:p>
    <w:p w:rsidR="00FD6520" w:rsidRDefault="00FD6520" w:rsidP="00AF0FC2">
      <w:pPr>
        <w:spacing w:before="100" w:beforeAutospacing="1" w:line="300" w:lineRule="auto"/>
        <w:rPr>
          <w:rFonts w:ascii="Trebuchet MS" w:hAnsi="Trebuchet MS" w:cs="Trebuchet MS"/>
        </w:rPr>
      </w:pPr>
      <w:r>
        <w:rPr>
          <w:rFonts w:ascii="Trebuchet MS" w:hAnsi="Trebuchet MS" w:cs="Trebuchet MS"/>
        </w:rPr>
        <w:lastRenderedPageBreak/>
        <w:t xml:space="preserve">The impact </w:t>
      </w:r>
      <w:r w:rsidR="00C17ECD">
        <w:rPr>
          <w:rFonts w:ascii="Trebuchet MS" w:hAnsi="Trebuchet MS" w:cs="Trebuchet MS"/>
        </w:rPr>
        <w:t>on the expert</w:t>
      </w:r>
      <w:r w:rsidR="00163D72">
        <w:rPr>
          <w:rFonts w:ascii="Trebuchet MS" w:hAnsi="Trebuchet MS" w:cs="Trebuchet MS"/>
        </w:rPr>
        <w:t>’</w:t>
      </w:r>
      <w:r w:rsidR="00C17ECD">
        <w:rPr>
          <w:rFonts w:ascii="Trebuchet MS" w:hAnsi="Trebuchet MS" w:cs="Trebuchet MS"/>
        </w:rPr>
        <w:t xml:space="preserve">s analytical processes </w:t>
      </w:r>
      <w:r>
        <w:rPr>
          <w:rFonts w:ascii="Trebuchet MS" w:hAnsi="Trebuchet MS" w:cs="Trebuchet MS"/>
        </w:rPr>
        <w:t>of the semi-automated open source material w</w:t>
      </w:r>
      <w:r w:rsidR="006448C2">
        <w:rPr>
          <w:rFonts w:ascii="Trebuchet MS" w:hAnsi="Trebuchet MS" w:cs="Trebuchet MS"/>
        </w:rPr>
        <w:t>as primarily seen in two areas:</w:t>
      </w:r>
    </w:p>
    <w:p w:rsidR="006448C2" w:rsidRDefault="006448C2" w:rsidP="00AF0FC2">
      <w:pPr>
        <w:pStyle w:val="ListParagraph"/>
        <w:numPr>
          <w:ilvl w:val="0"/>
          <w:numId w:val="5"/>
        </w:numPr>
        <w:spacing w:before="100" w:beforeAutospacing="1" w:line="300" w:lineRule="auto"/>
        <w:rPr>
          <w:rFonts w:ascii="Trebuchet MS" w:hAnsi="Trebuchet MS" w:cs="Trebuchet MS"/>
        </w:rPr>
      </w:pPr>
      <w:r>
        <w:rPr>
          <w:rFonts w:ascii="Trebuchet MS" w:hAnsi="Trebuchet MS" w:cs="Trebuchet MS"/>
        </w:rPr>
        <w:t>Model construction</w:t>
      </w:r>
    </w:p>
    <w:p w:rsidR="00FD6520" w:rsidRPr="00C17ECD" w:rsidRDefault="00FD6520" w:rsidP="00C17ECD">
      <w:pPr>
        <w:pStyle w:val="ListParagraph"/>
        <w:numPr>
          <w:ilvl w:val="2"/>
          <w:numId w:val="5"/>
        </w:numPr>
        <w:spacing w:before="100" w:beforeAutospacing="1" w:line="300" w:lineRule="auto"/>
        <w:rPr>
          <w:rFonts w:ascii="Trebuchet MS" w:hAnsi="Trebuchet MS" w:cs="Trebuchet MS"/>
        </w:rPr>
      </w:pPr>
      <w:r w:rsidRPr="005C4A8F">
        <w:rPr>
          <w:rFonts w:ascii="Trebuchet MS" w:hAnsi="Trebuchet MS" w:cs="Trebuchet MS"/>
        </w:rPr>
        <w:t xml:space="preserve">The </w:t>
      </w:r>
      <w:r w:rsidR="00C17ECD">
        <w:rPr>
          <w:rFonts w:ascii="Trebuchet MS" w:hAnsi="Trebuchet MS" w:cs="Trebuchet MS"/>
        </w:rPr>
        <w:t>open source material</w:t>
      </w:r>
      <w:r w:rsidRPr="005C4A8F">
        <w:rPr>
          <w:rFonts w:ascii="Trebuchet MS" w:hAnsi="Trebuchet MS" w:cs="Trebuchet MS"/>
        </w:rPr>
        <w:t xml:space="preserve"> prompt</w:t>
      </w:r>
      <w:r w:rsidR="00C17ECD">
        <w:rPr>
          <w:rFonts w:ascii="Trebuchet MS" w:hAnsi="Trebuchet MS" w:cs="Trebuchet MS"/>
        </w:rPr>
        <w:t>ed</w:t>
      </w:r>
      <w:r w:rsidRPr="005C4A8F">
        <w:rPr>
          <w:rFonts w:ascii="Trebuchet MS" w:hAnsi="Trebuchet MS" w:cs="Trebuchet MS"/>
        </w:rPr>
        <w:t xml:space="preserve"> </w:t>
      </w:r>
      <w:r w:rsidR="00C17ECD">
        <w:rPr>
          <w:rFonts w:ascii="Trebuchet MS" w:hAnsi="Trebuchet MS" w:cs="Trebuchet MS"/>
        </w:rPr>
        <w:t>some shaping</w:t>
      </w:r>
      <w:r w:rsidRPr="005C4A8F">
        <w:rPr>
          <w:rFonts w:ascii="Trebuchet MS" w:hAnsi="Trebuchet MS" w:cs="Trebuchet MS"/>
        </w:rPr>
        <w:t xml:space="preserve"> </w:t>
      </w:r>
      <w:r w:rsidR="00C17ECD">
        <w:rPr>
          <w:rFonts w:ascii="Trebuchet MS" w:hAnsi="Trebuchet MS" w:cs="Trebuchet MS"/>
        </w:rPr>
        <w:t xml:space="preserve">of thought sequences </w:t>
      </w:r>
      <w:r w:rsidRPr="005C4A8F">
        <w:rPr>
          <w:rFonts w:ascii="Trebuchet MS" w:hAnsi="Trebuchet MS" w:cs="Trebuchet MS"/>
        </w:rPr>
        <w:t xml:space="preserve">that </w:t>
      </w:r>
      <w:r w:rsidR="00C17ECD">
        <w:rPr>
          <w:rFonts w:ascii="Trebuchet MS" w:hAnsi="Trebuchet MS" w:cs="Trebuchet MS"/>
        </w:rPr>
        <w:t>were primarily drawn from memory but prompted</w:t>
      </w:r>
      <w:r w:rsidRPr="00C17ECD">
        <w:rPr>
          <w:rFonts w:ascii="Trebuchet MS" w:hAnsi="Trebuchet MS" w:cs="Trebuchet MS"/>
        </w:rPr>
        <w:t xml:space="preserve"> and </w:t>
      </w:r>
      <w:r w:rsidR="00C17ECD">
        <w:rPr>
          <w:rFonts w:ascii="Trebuchet MS" w:hAnsi="Trebuchet MS" w:cs="Trebuchet MS"/>
        </w:rPr>
        <w:t xml:space="preserve">occasionally </w:t>
      </w:r>
      <w:r w:rsidRPr="00C17ECD">
        <w:rPr>
          <w:rFonts w:ascii="Trebuchet MS" w:hAnsi="Trebuchet MS" w:cs="Trebuchet MS"/>
        </w:rPr>
        <w:t>informed by the new material</w:t>
      </w:r>
    </w:p>
    <w:p w:rsidR="00FD6520" w:rsidRDefault="00163D72" w:rsidP="006946D9">
      <w:pPr>
        <w:pStyle w:val="ListParagraph"/>
        <w:numPr>
          <w:ilvl w:val="2"/>
          <w:numId w:val="5"/>
        </w:numPr>
        <w:spacing w:before="100" w:beforeAutospacing="1" w:line="300" w:lineRule="auto"/>
        <w:rPr>
          <w:rFonts w:ascii="Trebuchet MS" w:hAnsi="Trebuchet MS" w:cs="Trebuchet MS"/>
        </w:rPr>
      </w:pPr>
      <w:r>
        <w:rPr>
          <w:rFonts w:ascii="Trebuchet MS" w:hAnsi="Trebuchet MS" w:cs="Trebuchet MS"/>
        </w:rPr>
        <w:t>In some cases, t</w:t>
      </w:r>
      <w:r w:rsidR="00C17ECD">
        <w:rPr>
          <w:rFonts w:ascii="Trebuchet MS" w:hAnsi="Trebuchet MS" w:cs="Trebuchet MS"/>
        </w:rPr>
        <w:t>he</w:t>
      </w:r>
      <w:r w:rsidR="00FD6520" w:rsidRPr="005C4A8F">
        <w:rPr>
          <w:rFonts w:ascii="Trebuchet MS" w:hAnsi="Trebuchet MS" w:cs="Trebuchet MS"/>
        </w:rPr>
        <w:t xml:space="preserve"> </w:t>
      </w:r>
      <w:r w:rsidR="00C17ECD">
        <w:rPr>
          <w:rFonts w:ascii="Trebuchet MS" w:hAnsi="Trebuchet MS" w:cs="Trebuchet MS"/>
        </w:rPr>
        <w:t>absence of information in an open source document</w:t>
      </w:r>
      <w:r w:rsidR="00FD6520" w:rsidRPr="005C4A8F">
        <w:rPr>
          <w:rFonts w:ascii="Trebuchet MS" w:hAnsi="Trebuchet MS" w:cs="Trebuchet MS"/>
        </w:rPr>
        <w:t xml:space="preserve"> served to </w:t>
      </w:r>
      <w:r w:rsidR="00C17ECD">
        <w:rPr>
          <w:rFonts w:ascii="Trebuchet MS" w:hAnsi="Trebuchet MS" w:cs="Trebuchet MS"/>
        </w:rPr>
        <w:t>focus</w:t>
      </w:r>
      <w:r w:rsidR="00FD6520" w:rsidRPr="005C4A8F">
        <w:rPr>
          <w:rFonts w:ascii="Trebuchet MS" w:hAnsi="Trebuchet MS" w:cs="Trebuchet MS"/>
        </w:rPr>
        <w:t xml:space="preserve"> the expert’s attention </w:t>
      </w:r>
      <w:r w:rsidR="00C17ECD">
        <w:rPr>
          <w:rFonts w:ascii="Trebuchet MS" w:hAnsi="Trebuchet MS" w:cs="Trebuchet MS"/>
        </w:rPr>
        <w:t>on that missing element.  In recognizing what was missing, the expert was prompted to recall information that filled the gap.</w:t>
      </w:r>
    </w:p>
    <w:p w:rsidR="00FD6520" w:rsidRDefault="00163D72" w:rsidP="006946D9">
      <w:pPr>
        <w:pStyle w:val="ListParagraph"/>
        <w:numPr>
          <w:ilvl w:val="2"/>
          <w:numId w:val="5"/>
        </w:numPr>
        <w:spacing w:before="100" w:beforeAutospacing="1" w:line="300" w:lineRule="auto"/>
        <w:rPr>
          <w:rFonts w:ascii="Trebuchet MS" w:hAnsi="Trebuchet MS" w:cs="Trebuchet MS"/>
        </w:rPr>
      </w:pPr>
      <w:r>
        <w:rPr>
          <w:rFonts w:ascii="Trebuchet MS" w:hAnsi="Trebuchet MS" w:cs="Trebuchet MS"/>
        </w:rPr>
        <w:t>At times, factual information from an</w:t>
      </w:r>
      <w:r w:rsidR="00FD6520" w:rsidRPr="005C4A8F">
        <w:rPr>
          <w:rFonts w:ascii="Trebuchet MS" w:hAnsi="Trebuchet MS" w:cs="Trebuchet MS"/>
        </w:rPr>
        <w:t xml:space="preserve"> </w:t>
      </w:r>
      <w:r>
        <w:rPr>
          <w:rFonts w:ascii="Trebuchet MS" w:hAnsi="Trebuchet MS" w:cs="Trebuchet MS"/>
        </w:rPr>
        <w:t>open source</w:t>
      </w:r>
      <w:r w:rsidR="00FD6520" w:rsidRPr="005C4A8F">
        <w:rPr>
          <w:rFonts w:ascii="Trebuchet MS" w:hAnsi="Trebuchet MS" w:cs="Trebuchet MS"/>
        </w:rPr>
        <w:t xml:space="preserve"> </w:t>
      </w:r>
      <w:r>
        <w:rPr>
          <w:rFonts w:ascii="Trebuchet MS" w:hAnsi="Trebuchet MS" w:cs="Trebuchet MS"/>
        </w:rPr>
        <w:t>expanded model details, but did not impact the overall model structure</w:t>
      </w:r>
    </w:p>
    <w:p w:rsidR="006448C2" w:rsidRDefault="006448C2" w:rsidP="00AF0FC2">
      <w:pPr>
        <w:pStyle w:val="ListParagraph"/>
        <w:numPr>
          <w:ilvl w:val="0"/>
          <w:numId w:val="5"/>
        </w:numPr>
        <w:spacing w:before="100" w:beforeAutospacing="1" w:line="300" w:lineRule="auto"/>
        <w:rPr>
          <w:rFonts w:ascii="Trebuchet MS" w:hAnsi="Trebuchet MS" w:cs="Trebuchet MS"/>
        </w:rPr>
      </w:pPr>
      <w:r>
        <w:rPr>
          <w:rFonts w:ascii="Trebuchet MS" w:hAnsi="Trebuchet MS" w:cs="Trebuchet MS"/>
        </w:rPr>
        <w:t>Analytic judgments</w:t>
      </w:r>
    </w:p>
    <w:p w:rsidR="00BC7C2F" w:rsidRDefault="00BC7C2F" w:rsidP="00BC7C2F">
      <w:pPr>
        <w:pStyle w:val="ListParagraph"/>
        <w:numPr>
          <w:ilvl w:val="2"/>
          <w:numId w:val="5"/>
        </w:numPr>
        <w:spacing w:before="100" w:beforeAutospacing="1" w:line="300" w:lineRule="auto"/>
        <w:rPr>
          <w:rFonts w:ascii="Trebuchet MS" w:hAnsi="Trebuchet MS" w:cs="Trebuchet MS"/>
        </w:rPr>
      </w:pPr>
      <w:r>
        <w:rPr>
          <w:rFonts w:ascii="Trebuchet MS" w:hAnsi="Trebuchet MS" w:cs="Trebuchet MS"/>
        </w:rPr>
        <w:t xml:space="preserve">Once the expert had established an important process indicator, </w:t>
      </w:r>
      <w:r w:rsidR="00C0154F">
        <w:rPr>
          <w:rFonts w:ascii="Trebuchet MS" w:hAnsi="Trebuchet MS" w:cs="Trebuchet MS"/>
        </w:rPr>
        <w:t>he</w:t>
      </w:r>
      <w:r w:rsidR="00FD6520" w:rsidRPr="00B34F0C">
        <w:rPr>
          <w:rFonts w:ascii="Trebuchet MS" w:hAnsi="Trebuchet MS" w:cs="Trebuchet MS"/>
        </w:rPr>
        <w:t xml:space="preserve"> </w:t>
      </w:r>
      <w:r>
        <w:rPr>
          <w:rFonts w:ascii="Trebuchet MS" w:hAnsi="Trebuchet MS" w:cs="Trebuchet MS"/>
        </w:rPr>
        <w:t xml:space="preserve">scanned the </w:t>
      </w:r>
      <w:r w:rsidR="00FD6520" w:rsidRPr="00B34F0C">
        <w:rPr>
          <w:rFonts w:ascii="Trebuchet MS" w:hAnsi="Trebuchet MS" w:cs="Trebuchet MS"/>
        </w:rPr>
        <w:t xml:space="preserve">lists of </w:t>
      </w:r>
      <w:r w:rsidR="00C0154F">
        <w:rPr>
          <w:rFonts w:ascii="Trebuchet MS" w:hAnsi="Trebuchet MS" w:cs="Trebuchet MS"/>
        </w:rPr>
        <w:t>open source document summaries</w:t>
      </w:r>
      <w:r w:rsidR="00FD6520" w:rsidRPr="00B34F0C">
        <w:rPr>
          <w:rFonts w:ascii="Trebuchet MS" w:hAnsi="Trebuchet MS" w:cs="Trebuchet MS"/>
        </w:rPr>
        <w:t xml:space="preserve"> </w:t>
      </w:r>
      <w:r>
        <w:rPr>
          <w:rFonts w:ascii="Trebuchet MS" w:hAnsi="Trebuchet MS" w:cs="Trebuchet MS"/>
        </w:rPr>
        <w:t>to see if there were</w:t>
      </w:r>
      <w:r w:rsidR="00FD6520" w:rsidRPr="00B34F0C">
        <w:rPr>
          <w:rFonts w:ascii="Trebuchet MS" w:hAnsi="Trebuchet MS" w:cs="Trebuchet MS"/>
        </w:rPr>
        <w:t xml:space="preserve"> current example</w:t>
      </w:r>
      <w:r>
        <w:rPr>
          <w:rFonts w:ascii="Trebuchet MS" w:hAnsi="Trebuchet MS" w:cs="Trebuchet MS"/>
        </w:rPr>
        <w:t>s.</w:t>
      </w:r>
    </w:p>
    <w:p w:rsidR="00BC7C2F" w:rsidRPr="00BC7C2F" w:rsidRDefault="00BC7C2F" w:rsidP="00BC7C2F">
      <w:pPr>
        <w:pStyle w:val="ListParagraph"/>
        <w:numPr>
          <w:ilvl w:val="2"/>
          <w:numId w:val="5"/>
        </w:numPr>
        <w:spacing w:before="100" w:beforeAutospacing="1" w:line="300" w:lineRule="auto"/>
        <w:rPr>
          <w:rFonts w:ascii="Trebuchet MS" w:hAnsi="Trebuchet MS" w:cs="Trebuchet MS"/>
        </w:rPr>
      </w:pPr>
      <w:r w:rsidRPr="00BC7C2F">
        <w:rPr>
          <w:rFonts w:ascii="Trebuchet MS" w:hAnsi="Trebuchet MS" w:cs="Trebuchet MS"/>
        </w:rPr>
        <w:t>Occasionally, the expert found</w:t>
      </w:r>
      <w:r w:rsidR="00FD6520" w:rsidRPr="00BC7C2F">
        <w:rPr>
          <w:rFonts w:ascii="Trebuchet MS" w:hAnsi="Trebuchet MS" w:cs="Trebuchet MS"/>
        </w:rPr>
        <w:t xml:space="preserve"> evidence </w:t>
      </w:r>
      <w:r w:rsidRPr="00BC7C2F">
        <w:rPr>
          <w:rFonts w:ascii="Trebuchet MS" w:hAnsi="Trebuchet MS" w:cs="Trebuchet MS"/>
        </w:rPr>
        <w:t xml:space="preserve">that was important enough to be useful in </w:t>
      </w:r>
      <w:r w:rsidR="00FD6520" w:rsidRPr="00BC7C2F">
        <w:rPr>
          <w:rFonts w:ascii="Trebuchet MS" w:hAnsi="Trebuchet MS" w:cs="Trebuchet MS"/>
        </w:rPr>
        <w:t>reach</w:t>
      </w:r>
      <w:r w:rsidRPr="00BC7C2F">
        <w:rPr>
          <w:rFonts w:ascii="Trebuchet MS" w:hAnsi="Trebuchet MS" w:cs="Trebuchet MS"/>
        </w:rPr>
        <w:t>ing an</w:t>
      </w:r>
      <w:r w:rsidR="00FD6520" w:rsidRPr="00BC7C2F">
        <w:rPr>
          <w:rFonts w:ascii="Trebuchet MS" w:hAnsi="Trebuchet MS" w:cs="Trebuchet MS"/>
        </w:rPr>
        <w:t xml:space="preserve"> analytic conclusion. </w:t>
      </w:r>
      <w:r w:rsidRPr="00BC7C2F">
        <w:rPr>
          <w:rFonts w:ascii="Trebuchet MS" w:hAnsi="Trebuchet MS" w:cs="Trebuchet MS"/>
        </w:rPr>
        <w:t>For</w:t>
      </w:r>
      <w:r>
        <w:rPr>
          <w:rFonts w:ascii="Trebuchet MS" w:hAnsi="Trebuchet MS" w:cs="Trebuchet MS"/>
        </w:rPr>
        <w:t xml:space="preserve"> example, having determined that government treatment of its citizens was a key indicator, he found an article on the ejection of an NGO working in the south to support a conclusion that the situation might be worsening.</w:t>
      </w:r>
    </w:p>
    <w:p w:rsidR="00163D72" w:rsidRPr="00BC7C2F" w:rsidRDefault="00163D72" w:rsidP="00BC7C2F">
      <w:pPr>
        <w:pStyle w:val="ListParagraph"/>
        <w:spacing w:before="100" w:beforeAutospacing="1" w:line="300" w:lineRule="auto"/>
        <w:ind w:left="0"/>
        <w:rPr>
          <w:rFonts w:ascii="Trebuchet MS" w:hAnsi="Trebuchet MS" w:cs="Trebuchet MS"/>
        </w:rPr>
      </w:pPr>
      <w:r w:rsidRPr="00BC7C2F">
        <w:rPr>
          <w:rFonts w:ascii="Trebuchet MS" w:hAnsi="Trebuchet MS" w:cs="Trebuchet MS"/>
        </w:rPr>
        <w:t xml:space="preserve">Overall, the open source material reinforced or enriched information from memory, but </w:t>
      </w:r>
      <w:r w:rsidR="00BC7C2F">
        <w:rPr>
          <w:rFonts w:ascii="Trebuchet MS" w:hAnsi="Trebuchet MS" w:cs="Trebuchet MS"/>
        </w:rPr>
        <w:t>did not independently provide</w:t>
      </w:r>
      <w:r w:rsidRPr="00BC7C2F">
        <w:rPr>
          <w:rFonts w:ascii="Trebuchet MS" w:hAnsi="Trebuchet MS" w:cs="Trebuchet MS"/>
        </w:rPr>
        <w:t xml:space="preserve"> model element</w:t>
      </w:r>
      <w:r w:rsidR="00BC7C2F">
        <w:rPr>
          <w:rFonts w:ascii="Trebuchet MS" w:hAnsi="Trebuchet MS" w:cs="Trebuchet MS"/>
        </w:rPr>
        <w:t>s</w:t>
      </w:r>
      <w:r w:rsidRPr="00BC7C2F">
        <w:rPr>
          <w:rFonts w:ascii="Trebuchet MS" w:hAnsi="Trebuchet MS" w:cs="Trebuchet MS"/>
        </w:rPr>
        <w:t xml:space="preserve"> </w:t>
      </w:r>
      <w:r w:rsidR="00BC7C2F">
        <w:rPr>
          <w:rFonts w:ascii="Trebuchet MS" w:hAnsi="Trebuchet MS" w:cs="Trebuchet MS"/>
        </w:rPr>
        <w:t xml:space="preserve">and only occasionally supported </w:t>
      </w:r>
      <w:r w:rsidRPr="00BC7C2F">
        <w:rPr>
          <w:rFonts w:ascii="Trebuchet MS" w:hAnsi="Trebuchet MS" w:cs="Trebuchet MS"/>
        </w:rPr>
        <w:t>analytic conclusion</w:t>
      </w:r>
      <w:r w:rsidR="00BC7C2F">
        <w:rPr>
          <w:rFonts w:ascii="Trebuchet MS" w:hAnsi="Trebuchet MS" w:cs="Trebuchet MS"/>
        </w:rPr>
        <w:t>s</w:t>
      </w:r>
      <w:r w:rsidRPr="00BC7C2F">
        <w:rPr>
          <w:rFonts w:ascii="Trebuchet MS" w:hAnsi="Trebuchet MS" w:cs="Trebuchet MS"/>
        </w:rPr>
        <w:t xml:space="preserve">.  </w:t>
      </w:r>
      <w:r w:rsidR="00BC7C2F">
        <w:rPr>
          <w:rFonts w:ascii="Trebuchet MS" w:hAnsi="Trebuchet MS" w:cs="Trebuchet MS"/>
        </w:rPr>
        <w:t>The</w:t>
      </w:r>
      <w:r w:rsidRPr="00BC7C2F">
        <w:rPr>
          <w:rFonts w:ascii="Trebuchet MS" w:hAnsi="Trebuchet MS" w:cs="Trebuchet MS"/>
        </w:rPr>
        <w:t xml:space="preserve"> open source material </w:t>
      </w:r>
      <w:r w:rsidR="00BC7C2F">
        <w:rPr>
          <w:rFonts w:ascii="Trebuchet MS" w:hAnsi="Trebuchet MS" w:cs="Trebuchet MS"/>
        </w:rPr>
        <w:t>also</w:t>
      </w:r>
      <w:r w:rsidRPr="00BC7C2F">
        <w:rPr>
          <w:rFonts w:ascii="Trebuchet MS" w:hAnsi="Trebuchet MS" w:cs="Trebuchet MS"/>
        </w:rPr>
        <w:t xml:space="preserve"> impact</w:t>
      </w:r>
      <w:r w:rsidR="00BC7C2F">
        <w:rPr>
          <w:rFonts w:ascii="Trebuchet MS" w:hAnsi="Trebuchet MS" w:cs="Trebuchet MS"/>
        </w:rPr>
        <w:t>ed</w:t>
      </w:r>
      <w:r w:rsidRPr="00BC7C2F">
        <w:rPr>
          <w:rFonts w:ascii="Trebuchet MS" w:hAnsi="Trebuchet MS" w:cs="Trebuchet MS"/>
        </w:rPr>
        <w:t xml:space="preserve"> a small number of organizational processes (IASB) by making the expert aware of new information sources.</w:t>
      </w:r>
    </w:p>
    <w:p w:rsidR="00C47A1F" w:rsidRDefault="00FD6520" w:rsidP="00AF0FC2">
      <w:pPr>
        <w:spacing w:before="100" w:beforeAutospacing="1" w:line="300" w:lineRule="auto"/>
        <w:rPr>
          <w:rFonts w:ascii="Trebuchet MS" w:hAnsi="Trebuchet MS" w:cs="Trebuchet MS"/>
        </w:rPr>
      </w:pPr>
      <w:r>
        <w:rPr>
          <w:rFonts w:ascii="Trebuchet MS" w:hAnsi="Trebuchet MS" w:cs="Trebuchet MS"/>
        </w:rPr>
        <w:t xml:space="preserve">The </w:t>
      </w:r>
      <w:r w:rsidR="00BC7C2F">
        <w:rPr>
          <w:rFonts w:ascii="Trebuchet MS" w:hAnsi="Trebuchet MS" w:cs="Trebuchet MS"/>
        </w:rPr>
        <w:t xml:space="preserve">open source article summaries were broken down into categories intended to reflect </w:t>
      </w:r>
      <w:r>
        <w:rPr>
          <w:rFonts w:ascii="Trebuchet MS" w:hAnsi="Trebuchet MS" w:cs="Trebuchet MS"/>
        </w:rPr>
        <w:t>instability indicator variables</w:t>
      </w:r>
      <w:r w:rsidR="00C47A1F">
        <w:rPr>
          <w:rFonts w:ascii="Trebuchet MS" w:hAnsi="Trebuchet MS" w:cs="Trebuchet MS"/>
        </w:rPr>
        <w:t>.  This breakdown</w:t>
      </w:r>
      <w:r>
        <w:rPr>
          <w:rFonts w:ascii="Trebuchet MS" w:hAnsi="Trebuchet MS" w:cs="Trebuchet MS"/>
        </w:rPr>
        <w:t xml:space="preserve"> provided by the </w:t>
      </w:r>
      <w:r w:rsidR="001221FE">
        <w:rPr>
          <w:rFonts w:ascii="Trebuchet MS" w:hAnsi="Trebuchet MS" w:cs="Trebuchet MS"/>
        </w:rPr>
        <w:t xml:space="preserve">open source </w:t>
      </w:r>
      <w:r>
        <w:rPr>
          <w:rFonts w:ascii="Trebuchet MS" w:hAnsi="Trebuchet MS" w:cs="Trebuchet MS"/>
        </w:rPr>
        <w:t xml:space="preserve">system </w:t>
      </w:r>
      <w:r w:rsidR="006448C2">
        <w:rPr>
          <w:rFonts w:ascii="Trebuchet MS" w:hAnsi="Trebuchet MS" w:cs="Trebuchet MS"/>
        </w:rPr>
        <w:t>had</w:t>
      </w:r>
      <w:r w:rsidR="001221FE">
        <w:rPr>
          <w:rFonts w:ascii="Trebuchet MS" w:hAnsi="Trebuchet MS" w:cs="Trebuchet MS"/>
        </w:rPr>
        <w:t xml:space="preserve"> </w:t>
      </w:r>
      <w:r>
        <w:rPr>
          <w:rFonts w:ascii="Trebuchet MS" w:hAnsi="Trebuchet MS" w:cs="Trebuchet MS"/>
        </w:rPr>
        <w:t xml:space="preserve">no impact on the expert’s model or his analysis. Thus this study </w:t>
      </w:r>
      <w:r w:rsidR="00C47A1F">
        <w:rPr>
          <w:rFonts w:ascii="Trebuchet MS" w:hAnsi="Trebuchet MS" w:cs="Trebuchet MS"/>
        </w:rPr>
        <w:t>indicates</w:t>
      </w:r>
      <w:r>
        <w:rPr>
          <w:rFonts w:ascii="Trebuchet MS" w:hAnsi="Trebuchet MS" w:cs="Trebuchet MS"/>
        </w:rPr>
        <w:t xml:space="preserve"> that while the open-source system provided </w:t>
      </w:r>
      <w:r w:rsidR="00C47A1F">
        <w:rPr>
          <w:rFonts w:ascii="Trebuchet MS" w:hAnsi="Trebuchet MS" w:cs="Trebuchet MS"/>
        </w:rPr>
        <w:t>some</w:t>
      </w:r>
      <w:r>
        <w:rPr>
          <w:rFonts w:ascii="Trebuchet MS" w:hAnsi="Trebuchet MS" w:cs="Trebuchet MS"/>
        </w:rPr>
        <w:t xml:space="preserve"> aids </w:t>
      </w:r>
      <w:r w:rsidR="00C47A1F">
        <w:rPr>
          <w:rFonts w:ascii="Trebuchet MS" w:hAnsi="Trebuchet MS" w:cs="Trebuchet MS"/>
        </w:rPr>
        <w:t xml:space="preserve">that were useful </w:t>
      </w:r>
      <w:r>
        <w:rPr>
          <w:rFonts w:ascii="Trebuchet MS" w:hAnsi="Trebuchet MS" w:cs="Trebuchet MS"/>
        </w:rPr>
        <w:t xml:space="preserve">to the expert, this usefulness was limited to refinements of his mental model and to providing </w:t>
      </w:r>
      <w:r w:rsidR="00C47A1F">
        <w:rPr>
          <w:rFonts w:ascii="Trebuchet MS" w:hAnsi="Trebuchet MS" w:cs="Trebuchet MS"/>
        </w:rPr>
        <w:t xml:space="preserve">some </w:t>
      </w:r>
      <w:r>
        <w:rPr>
          <w:rFonts w:ascii="Trebuchet MS" w:hAnsi="Trebuchet MS" w:cs="Trebuchet MS"/>
        </w:rPr>
        <w:t>evidence to support analytic conclusions. It</w:t>
      </w:r>
      <w:r w:rsidR="00C47A1F">
        <w:rPr>
          <w:rFonts w:ascii="Trebuchet MS" w:hAnsi="Trebuchet MS" w:cs="Trebuchet MS"/>
        </w:rPr>
        <w:t>s</w:t>
      </w:r>
      <w:r>
        <w:rPr>
          <w:rFonts w:ascii="Trebuchet MS" w:hAnsi="Trebuchet MS" w:cs="Trebuchet MS"/>
        </w:rPr>
        <w:t xml:space="preserve"> attempts to guide analytic result through preprocessing of open source material had little or no impact. </w:t>
      </w:r>
    </w:p>
    <w:p w:rsidR="00FD6520" w:rsidRDefault="00FD6520" w:rsidP="00AF0FC2">
      <w:pPr>
        <w:spacing w:before="100" w:beforeAutospacing="1" w:line="300" w:lineRule="auto"/>
        <w:rPr>
          <w:rFonts w:ascii="Trebuchet MS" w:hAnsi="Trebuchet MS" w:cs="Trebuchet MS"/>
        </w:rPr>
      </w:pPr>
      <w:r>
        <w:rPr>
          <w:rFonts w:ascii="Trebuchet MS" w:hAnsi="Trebuchet MS" w:cs="Trebuchet MS"/>
        </w:rPr>
        <w:lastRenderedPageBreak/>
        <w:t xml:space="preserve">The fact that the analyst did not use the categorizations provided does not mean he did not attend to known indicators of future political instability. On the contrary, he covered each of the major indicators that are discussed in relevant literature, but did so in a way that treated them as relatively fixed characteristics of the present situation, not as useful predictors. Rather, for an indicator of future instability, the expert sought one that varied within the time frame of interest, and for which evidence of its value could be gleaned from the open source. </w:t>
      </w:r>
      <w:r w:rsidR="00C47A1F">
        <w:rPr>
          <w:rFonts w:ascii="Trebuchet MS" w:hAnsi="Trebuchet MS" w:cs="Trebuchet MS"/>
        </w:rPr>
        <w:t>As previously stated, his primary</w:t>
      </w:r>
      <w:r>
        <w:rPr>
          <w:rFonts w:ascii="Trebuchet MS" w:hAnsi="Trebuchet MS" w:cs="Trebuchet MS"/>
        </w:rPr>
        <w:t xml:space="preserve"> indicator was the government’s motivation to genuinely aid its citizens in a fair way. Evidence for this motivation could be directly obtained from the content of open source reporting, whereas evidence for the quantitative value of the classical indicators did not appear.</w:t>
      </w:r>
    </w:p>
    <w:p w:rsidR="00FD6520" w:rsidRDefault="00FD6520" w:rsidP="00AF0FC2">
      <w:pPr>
        <w:spacing w:before="100" w:beforeAutospacing="1" w:line="300" w:lineRule="auto"/>
        <w:rPr>
          <w:rFonts w:ascii="Trebuchet MS" w:hAnsi="Trebuchet MS" w:cs="Trebuchet MS"/>
        </w:rPr>
      </w:pPr>
      <w:r>
        <w:rPr>
          <w:rFonts w:ascii="Trebuchet MS" w:hAnsi="Trebuchet MS" w:cs="Trebuchet MS"/>
        </w:rPr>
        <w:t>The “think aloud” protocol used in this study clearly has limitations. The observers were often not sure to what extent the verbalizations were attempts to communicate with the observers (though the observers only engaged in minimal conversation with the analyst), and to what extent they accurately reflected analytic cognitive processes. This was particularly evident during those session periods classed as “story telling</w:t>
      </w:r>
      <w:r w:rsidR="00C47A1F">
        <w:rPr>
          <w:rFonts w:ascii="Trebuchet MS" w:hAnsi="Trebuchet MS" w:cs="Trebuchet MS"/>
        </w:rPr>
        <w:t>.”</w:t>
      </w:r>
      <w:r>
        <w:rPr>
          <w:rFonts w:ascii="Trebuchet MS" w:hAnsi="Trebuchet MS" w:cs="Trebuchet MS"/>
        </w:rPr>
        <w:t xml:space="preserve"> On one hand the analyst </w:t>
      </w:r>
      <w:r w:rsidR="00C47A1F">
        <w:rPr>
          <w:rFonts w:ascii="Trebuchet MS" w:hAnsi="Trebuchet MS" w:cs="Trebuchet MS"/>
        </w:rPr>
        <w:t>seemed</w:t>
      </w:r>
      <w:r>
        <w:rPr>
          <w:rFonts w:ascii="Trebuchet MS" w:hAnsi="Trebuchet MS" w:cs="Trebuchet MS"/>
        </w:rPr>
        <w:t xml:space="preserve"> to be telling a story </w:t>
      </w:r>
      <w:r w:rsidR="00C47A1F">
        <w:rPr>
          <w:rFonts w:ascii="Trebuchet MS" w:hAnsi="Trebuchet MS" w:cs="Trebuchet MS"/>
        </w:rPr>
        <w:t>that</w:t>
      </w:r>
      <w:r>
        <w:rPr>
          <w:rFonts w:ascii="Trebuchet MS" w:hAnsi="Trebuchet MS" w:cs="Trebuchet MS"/>
        </w:rPr>
        <w:t xml:space="preserve"> the ob</w:t>
      </w:r>
      <w:r w:rsidR="00C47A1F">
        <w:rPr>
          <w:rFonts w:ascii="Trebuchet MS" w:hAnsi="Trebuchet MS" w:cs="Trebuchet MS"/>
        </w:rPr>
        <w:t>servers would find entertaining;</w:t>
      </w:r>
      <w:r>
        <w:rPr>
          <w:rFonts w:ascii="Trebuchet MS" w:hAnsi="Trebuchet MS" w:cs="Trebuchet MS"/>
        </w:rPr>
        <w:t xml:space="preserve"> on the other, </w:t>
      </w:r>
      <w:r w:rsidR="00C47A1F">
        <w:rPr>
          <w:rFonts w:ascii="Trebuchet MS" w:hAnsi="Trebuchet MS" w:cs="Trebuchet MS"/>
        </w:rPr>
        <w:t xml:space="preserve">it is reasonable that the analyst would have considered these stories as they </w:t>
      </w:r>
      <w:r>
        <w:rPr>
          <w:rFonts w:ascii="Trebuchet MS" w:hAnsi="Trebuchet MS" w:cs="Trebuchet MS"/>
        </w:rPr>
        <w:t>served analytic purpose</w:t>
      </w:r>
      <w:r w:rsidR="00C47A1F">
        <w:rPr>
          <w:rFonts w:ascii="Trebuchet MS" w:hAnsi="Trebuchet MS" w:cs="Trebuchet MS"/>
        </w:rPr>
        <w:t>s such as encapsulating and illustrating</w:t>
      </w:r>
      <w:r>
        <w:rPr>
          <w:rFonts w:ascii="Trebuchet MS" w:hAnsi="Trebuchet MS" w:cs="Trebuchet MS"/>
        </w:rPr>
        <w:t xml:space="preserve"> some element that was included in the model. </w:t>
      </w:r>
      <w:r w:rsidR="00C47A1F">
        <w:rPr>
          <w:rFonts w:ascii="Trebuchet MS" w:hAnsi="Trebuchet MS" w:cs="Trebuchet MS"/>
        </w:rPr>
        <w:t>In</w:t>
      </w:r>
      <w:r>
        <w:rPr>
          <w:rFonts w:ascii="Trebuchet MS" w:hAnsi="Trebuchet MS" w:cs="Trebuchet MS"/>
        </w:rPr>
        <w:t xml:space="preserve"> spite of these </w:t>
      </w:r>
      <w:r w:rsidR="00C47A1F">
        <w:rPr>
          <w:rFonts w:ascii="Trebuchet MS" w:hAnsi="Trebuchet MS" w:cs="Trebuchet MS"/>
        </w:rPr>
        <w:t>potential ambiguities</w:t>
      </w:r>
      <w:r>
        <w:rPr>
          <w:rFonts w:ascii="Trebuchet MS" w:hAnsi="Trebuchet MS" w:cs="Trebuchet MS"/>
        </w:rPr>
        <w:t xml:space="preserve">, the think-aloud protocol clearly served to produce </w:t>
      </w:r>
      <w:r w:rsidR="00C47A1F">
        <w:rPr>
          <w:rFonts w:ascii="Trebuchet MS" w:hAnsi="Trebuchet MS" w:cs="Trebuchet MS"/>
        </w:rPr>
        <w:t xml:space="preserve">rich and </w:t>
      </w:r>
      <w:r>
        <w:rPr>
          <w:rFonts w:ascii="Trebuchet MS" w:hAnsi="Trebuchet MS" w:cs="Trebuchet MS"/>
        </w:rPr>
        <w:t>useful results for this exploratory study.</w:t>
      </w:r>
    </w:p>
    <w:p w:rsidR="00FD6520" w:rsidRDefault="00FD6520" w:rsidP="00AF0FC2">
      <w:pPr>
        <w:spacing w:before="100" w:beforeAutospacing="1" w:line="300" w:lineRule="auto"/>
        <w:rPr>
          <w:rFonts w:ascii="Trebuchet MS" w:hAnsi="Trebuchet MS" w:cs="Trebuchet MS"/>
        </w:rPr>
      </w:pPr>
      <w:r>
        <w:rPr>
          <w:rFonts w:ascii="Trebuchet MS" w:hAnsi="Trebuchet MS" w:cs="Trebuchet MS"/>
        </w:rPr>
        <w:t xml:space="preserve">The findings reported above are in close agreement with the observations of </w:t>
      </w:r>
      <w:r w:rsidRPr="00FA594F">
        <w:rPr>
          <w:rFonts w:ascii="Trebuchet MS" w:hAnsi="Trebuchet MS" w:cs="Trebuchet MS"/>
        </w:rPr>
        <w:t>Katter,</w:t>
      </w:r>
      <w:r w:rsidR="00FA594F" w:rsidRPr="00FA594F">
        <w:rPr>
          <w:rFonts w:ascii="Trebuchet MS" w:hAnsi="Trebuchet MS" w:cs="Trebuchet MS"/>
        </w:rPr>
        <w:t xml:space="preserve"> et al.</w:t>
      </w:r>
      <w:r w:rsidR="00FA594F">
        <w:rPr>
          <w:rFonts w:ascii="Trebuchet MS" w:hAnsi="Trebuchet MS" w:cs="Trebuchet MS"/>
        </w:rPr>
        <w:t xml:space="preserve"> </w:t>
      </w:r>
      <w:r w:rsidRPr="00FA594F">
        <w:rPr>
          <w:rFonts w:ascii="Trebuchet MS" w:hAnsi="Trebuchet MS" w:cs="Trebuchet MS"/>
        </w:rPr>
        <w:t>(1979):</w:t>
      </w:r>
      <w:r>
        <w:rPr>
          <w:rFonts w:ascii="Trebuchet MS" w:hAnsi="Trebuchet MS" w:cs="Trebuchet MS"/>
        </w:rPr>
        <w:t xml:space="preserve"> “Truth is seldom hidden in the data: it is constructed by the analyst, with the data playing a relatively small role</w:t>
      </w:r>
      <w:r w:rsidR="002616DB">
        <w:rPr>
          <w:rFonts w:ascii="Trebuchet MS" w:hAnsi="Trebuchet MS" w:cs="Trebuchet MS"/>
        </w:rPr>
        <w:t>.”</w:t>
      </w:r>
      <w:r>
        <w:rPr>
          <w:rFonts w:ascii="Trebuchet MS" w:hAnsi="Trebuchet MS" w:cs="Trebuchet MS"/>
        </w:rPr>
        <w:t xml:space="preserve">  These authors’ focused primarily on the more elemental aspects of analytic cognition, such as perception, sensory processes and memory, and only on single sou</w:t>
      </w:r>
      <w:r w:rsidR="002616DB">
        <w:rPr>
          <w:rFonts w:ascii="Trebuchet MS" w:hAnsi="Trebuchet MS" w:cs="Trebuchet MS"/>
        </w:rPr>
        <w:t>rce</w:t>
      </w:r>
      <w:r w:rsidR="00FE0300">
        <w:rPr>
          <w:rFonts w:ascii="Trebuchet MS" w:hAnsi="Trebuchet MS" w:cs="Trebuchet MS"/>
        </w:rPr>
        <w:t xml:space="preserve"> image intelligence (</w:t>
      </w:r>
      <w:r w:rsidR="002616DB">
        <w:rPr>
          <w:rFonts w:ascii="Trebuchet MS" w:hAnsi="Trebuchet MS" w:cs="Trebuchet MS"/>
        </w:rPr>
        <w:t>IMINT</w:t>
      </w:r>
      <w:r w:rsidR="00FE0300">
        <w:rPr>
          <w:rFonts w:ascii="Trebuchet MS" w:hAnsi="Trebuchet MS" w:cs="Trebuchet MS"/>
        </w:rPr>
        <w:t>)</w:t>
      </w:r>
      <w:r w:rsidR="002616DB">
        <w:rPr>
          <w:rFonts w:ascii="Trebuchet MS" w:hAnsi="Trebuchet MS" w:cs="Trebuchet MS"/>
        </w:rPr>
        <w:t xml:space="preserve"> and </w:t>
      </w:r>
      <w:r w:rsidR="00FE0300">
        <w:rPr>
          <w:rFonts w:ascii="Trebuchet MS" w:hAnsi="Trebuchet MS" w:cs="Trebuchet MS"/>
        </w:rPr>
        <w:t>signals intelligence (</w:t>
      </w:r>
      <w:r w:rsidR="002616DB">
        <w:rPr>
          <w:rFonts w:ascii="Trebuchet MS" w:hAnsi="Trebuchet MS" w:cs="Trebuchet MS"/>
        </w:rPr>
        <w:t>SIG</w:t>
      </w:r>
      <w:r w:rsidR="00FE0300">
        <w:rPr>
          <w:rFonts w:ascii="Trebuchet MS" w:hAnsi="Trebuchet MS" w:cs="Trebuchet MS"/>
        </w:rPr>
        <w:t>IN</w:t>
      </w:r>
      <w:r w:rsidR="002616DB">
        <w:rPr>
          <w:rFonts w:ascii="Trebuchet MS" w:hAnsi="Trebuchet MS" w:cs="Trebuchet MS"/>
        </w:rPr>
        <w:t>T</w:t>
      </w:r>
      <w:r w:rsidR="00FE0300">
        <w:rPr>
          <w:rFonts w:ascii="Trebuchet MS" w:hAnsi="Trebuchet MS" w:cs="Trebuchet MS"/>
        </w:rPr>
        <w:t>)</w:t>
      </w:r>
      <w:r w:rsidR="002616DB">
        <w:rPr>
          <w:rFonts w:ascii="Trebuchet MS" w:hAnsi="Trebuchet MS" w:cs="Trebuchet MS"/>
        </w:rPr>
        <w:t xml:space="preserve"> analysts, w</w:t>
      </w:r>
      <w:r>
        <w:rPr>
          <w:rFonts w:ascii="Trebuchet MS" w:hAnsi="Trebuchet MS" w:cs="Trebuchet MS"/>
        </w:rPr>
        <w:t>hile this study focus</w:t>
      </w:r>
      <w:r w:rsidR="002616DB">
        <w:rPr>
          <w:rFonts w:ascii="Trebuchet MS" w:hAnsi="Trebuchet MS" w:cs="Trebuchet MS"/>
        </w:rPr>
        <w:t>ed</w:t>
      </w:r>
      <w:r>
        <w:rPr>
          <w:rFonts w:ascii="Trebuchet MS" w:hAnsi="Trebuchet MS" w:cs="Trebuchet MS"/>
        </w:rPr>
        <w:t xml:space="preserve"> is on higher-level cognitive processes like mental model construction, story-telling, analytic strategies and judgment which are central to the work of the </w:t>
      </w:r>
      <w:r w:rsidR="002616DB">
        <w:rPr>
          <w:rFonts w:ascii="Trebuchet MS" w:hAnsi="Trebuchet MS" w:cs="Trebuchet MS"/>
        </w:rPr>
        <w:t>senior all-source analyst. Nonethe</w:t>
      </w:r>
      <w:r>
        <w:rPr>
          <w:rFonts w:ascii="Trebuchet MS" w:hAnsi="Trebuchet MS" w:cs="Trebuchet MS"/>
        </w:rPr>
        <w:t xml:space="preserve">less, Katter, et al. came to </w:t>
      </w:r>
      <w:r w:rsidR="00FE0300">
        <w:rPr>
          <w:rFonts w:ascii="Trebuchet MS" w:hAnsi="Trebuchet MS" w:cs="Trebuchet MS"/>
        </w:rPr>
        <w:t>similar</w:t>
      </w:r>
      <w:r>
        <w:rPr>
          <w:rFonts w:ascii="Trebuchet MS" w:hAnsi="Trebuchet MS" w:cs="Trebuchet MS"/>
        </w:rPr>
        <w:t xml:space="preserve"> conclusion</w:t>
      </w:r>
      <w:r w:rsidR="00FE0300">
        <w:rPr>
          <w:rFonts w:ascii="Trebuchet MS" w:hAnsi="Trebuchet MS" w:cs="Trebuchet MS"/>
        </w:rPr>
        <w:t>s</w:t>
      </w:r>
      <w:r>
        <w:rPr>
          <w:rFonts w:ascii="Trebuchet MS" w:hAnsi="Trebuchet MS" w:cs="Trebuchet MS"/>
        </w:rPr>
        <w:t xml:space="preserve"> as the present study </w:t>
      </w:r>
      <w:r w:rsidR="002616DB">
        <w:rPr>
          <w:rFonts w:ascii="Trebuchet MS" w:hAnsi="Trebuchet MS" w:cs="Trebuchet MS"/>
        </w:rPr>
        <w:t xml:space="preserve">in </w:t>
      </w:r>
      <w:r>
        <w:rPr>
          <w:rFonts w:ascii="Trebuchet MS" w:hAnsi="Trebuchet MS" w:cs="Trebuchet MS"/>
        </w:rPr>
        <w:t>that the</w:t>
      </w:r>
      <w:r w:rsidR="002210CA">
        <w:rPr>
          <w:rFonts w:ascii="Trebuchet MS" w:hAnsi="Trebuchet MS" w:cs="Trebuchet MS"/>
        </w:rPr>
        <w:t>y identified</w:t>
      </w:r>
      <w:r>
        <w:rPr>
          <w:rFonts w:ascii="Trebuchet MS" w:hAnsi="Trebuchet MS" w:cs="Trebuchet MS"/>
        </w:rPr>
        <w:t xml:space="preserve"> </w:t>
      </w:r>
      <w:r>
        <w:rPr>
          <w:rFonts w:ascii="Trebuchet MS" w:hAnsi="Trebuchet MS" w:cs="Trebuchet MS"/>
          <w:i/>
          <w:iCs/>
        </w:rPr>
        <w:t>conceptual models</w:t>
      </w:r>
      <w:r>
        <w:rPr>
          <w:rFonts w:ascii="Trebuchet MS" w:hAnsi="Trebuchet MS" w:cs="Trebuchet MS"/>
        </w:rPr>
        <w:t xml:space="preserve"> in the analyst’s mental store of knowledge</w:t>
      </w:r>
      <w:r w:rsidR="002210CA" w:rsidRPr="002210CA">
        <w:rPr>
          <w:rFonts w:ascii="Trebuchet MS" w:hAnsi="Trebuchet MS" w:cs="Trebuchet MS"/>
        </w:rPr>
        <w:t xml:space="preserve"> </w:t>
      </w:r>
      <w:r w:rsidR="002210CA">
        <w:rPr>
          <w:rFonts w:ascii="Trebuchet MS" w:hAnsi="Trebuchet MS" w:cs="Trebuchet MS"/>
        </w:rPr>
        <w:t>as central to the analytic task</w:t>
      </w:r>
      <w:r>
        <w:rPr>
          <w:rFonts w:ascii="Trebuchet MS" w:hAnsi="Trebuchet MS" w:cs="Trebuchet MS"/>
        </w:rPr>
        <w:t xml:space="preserve">. </w:t>
      </w:r>
      <w:r w:rsidR="002616DB">
        <w:rPr>
          <w:rFonts w:ascii="Trebuchet MS" w:hAnsi="Trebuchet MS" w:cs="Trebuchet MS"/>
        </w:rPr>
        <w:t>As currently designed</w:t>
      </w:r>
      <w:r>
        <w:rPr>
          <w:rFonts w:ascii="Trebuchet MS" w:hAnsi="Trebuchet MS" w:cs="Trebuchet MS"/>
        </w:rPr>
        <w:t>, automated open source system</w:t>
      </w:r>
      <w:r w:rsidR="00FE0300">
        <w:rPr>
          <w:rFonts w:ascii="Trebuchet MS" w:hAnsi="Trebuchet MS" w:cs="Trebuchet MS"/>
        </w:rPr>
        <w:t>s</w:t>
      </w:r>
      <w:r>
        <w:rPr>
          <w:rFonts w:ascii="Trebuchet MS" w:hAnsi="Trebuchet MS" w:cs="Trebuchet MS"/>
        </w:rPr>
        <w:t xml:space="preserve"> </w:t>
      </w:r>
      <w:r w:rsidR="00FE0300">
        <w:rPr>
          <w:rFonts w:ascii="Trebuchet MS" w:hAnsi="Trebuchet MS" w:cs="Trebuchet MS"/>
        </w:rPr>
        <w:t>are unlikely to provide</w:t>
      </w:r>
      <w:r>
        <w:rPr>
          <w:rFonts w:ascii="Trebuchet MS" w:hAnsi="Trebuchet MS" w:cs="Trebuchet MS"/>
        </w:rPr>
        <w:t xml:space="preserve"> more than the guiding, alerting, and stimulating function</w:t>
      </w:r>
      <w:r w:rsidR="00FE0300">
        <w:rPr>
          <w:rFonts w:ascii="Trebuchet MS" w:hAnsi="Trebuchet MS" w:cs="Trebuchet MS"/>
        </w:rPr>
        <w:t>s</w:t>
      </w:r>
      <w:r>
        <w:rPr>
          <w:rFonts w:ascii="Trebuchet MS" w:hAnsi="Trebuchet MS" w:cs="Trebuchet MS"/>
        </w:rPr>
        <w:t xml:space="preserve"> observed here. </w:t>
      </w:r>
      <w:r w:rsidR="00FE0300">
        <w:rPr>
          <w:rFonts w:ascii="Trebuchet MS" w:hAnsi="Trebuchet MS" w:cs="Trebuchet MS"/>
        </w:rPr>
        <w:t xml:space="preserve">However redesigned to be more aligned with the way expert analysts </w:t>
      </w:r>
      <w:r w:rsidR="00FE0300">
        <w:rPr>
          <w:rFonts w:ascii="Trebuchet MS" w:hAnsi="Trebuchet MS" w:cs="Trebuchet MS"/>
        </w:rPr>
        <w:lastRenderedPageBreak/>
        <w:t>work</w:t>
      </w:r>
      <w:r w:rsidR="00A44E62">
        <w:rPr>
          <w:rFonts w:ascii="Trebuchet MS" w:hAnsi="Trebuchet MS" w:cs="Trebuchet MS"/>
        </w:rPr>
        <w:t xml:space="preserve"> (see </w:t>
      </w:r>
      <w:proofErr w:type="spellStart"/>
      <w:r w:rsidR="00A44E62">
        <w:rPr>
          <w:rFonts w:ascii="Trebuchet MS" w:hAnsi="Trebuchet MS" w:cs="Trebuchet MS"/>
        </w:rPr>
        <w:t>Pirolli</w:t>
      </w:r>
      <w:proofErr w:type="spellEnd"/>
      <w:r w:rsidR="00A44E62">
        <w:rPr>
          <w:rFonts w:ascii="Trebuchet MS" w:hAnsi="Trebuchet MS" w:cs="Trebuchet MS"/>
        </w:rPr>
        <w:t xml:space="preserve"> &amp; Card, 2005)</w:t>
      </w:r>
      <w:r w:rsidR="00FE0300">
        <w:rPr>
          <w:rFonts w:ascii="Trebuchet MS" w:hAnsi="Trebuchet MS" w:cs="Trebuchet MS"/>
        </w:rPr>
        <w:t>, future open source systems may play a stronger role in the higher-level cognitive processes of model construction and analytic judgment.</w:t>
      </w:r>
    </w:p>
    <w:p w:rsidR="00FD6520" w:rsidRDefault="00FD6520" w:rsidP="00AF0FC2">
      <w:pPr>
        <w:pStyle w:val="Heading2"/>
        <w:spacing w:line="276" w:lineRule="auto"/>
        <w:rPr>
          <w:rFonts w:ascii="Trebuchet MS" w:hAnsi="Trebuchet MS" w:cs="Trebuchet MS"/>
          <w:kern w:val="36"/>
        </w:rPr>
      </w:pPr>
      <w:r>
        <w:rPr>
          <w:rFonts w:ascii="Trebuchet MS" w:hAnsi="Trebuchet MS" w:cs="Trebuchet MS"/>
          <w:kern w:val="36"/>
        </w:rPr>
        <w:t>Significance and Future Work</w:t>
      </w:r>
    </w:p>
    <w:p w:rsidR="00FD6520" w:rsidRDefault="00FD6520" w:rsidP="00AF0FC2">
      <w:pPr>
        <w:spacing w:before="100" w:beforeAutospacing="1" w:line="300" w:lineRule="auto"/>
      </w:pPr>
      <w:r>
        <w:rPr>
          <w:rFonts w:ascii="Trebuchet MS" w:hAnsi="Trebuchet MS" w:cs="Trebuchet MS"/>
        </w:rPr>
        <w:t xml:space="preserve">While this exploratory case study adds significantly to the understanding of the cognitive activities of a senior expert analyst as he attacks a typical problem, it leaves many questions unaddressed. The most important question is what differences would have been observed if more analysts of differing expertise level had been observed. Current results suggest that the open source system would have been more useful to novice analysts who could not bring the same level of regional knowledge to the task. For this reason, they would likely have examined the system output in much more detail and perhaps used it to extract model elements or be influenced by the categories presented in the open source system. Further research will be required to </w:t>
      </w:r>
      <w:r w:rsidR="00925234">
        <w:rPr>
          <w:rFonts w:ascii="Trebuchet MS" w:hAnsi="Trebuchet MS" w:cs="Trebuchet MS"/>
        </w:rPr>
        <w:t>test this speculation</w:t>
      </w:r>
      <w:r>
        <w:rPr>
          <w:rFonts w:ascii="Trebuchet MS" w:hAnsi="Trebuchet MS" w:cs="Trebuchet MS"/>
        </w:rPr>
        <w:t>.</w:t>
      </w:r>
    </w:p>
    <w:p w:rsidR="001D19FD" w:rsidRDefault="00FD6520" w:rsidP="00AF0FC2">
      <w:pPr>
        <w:spacing w:before="100" w:beforeAutospacing="1" w:line="300" w:lineRule="auto"/>
        <w:rPr>
          <w:rFonts w:ascii="Trebuchet MS" w:hAnsi="Trebuchet MS" w:cs="Trebuchet MS"/>
        </w:rPr>
      </w:pPr>
      <w:r>
        <w:rPr>
          <w:rFonts w:ascii="Trebuchet MS" w:hAnsi="Trebuchet MS" w:cs="Trebuchet MS"/>
        </w:rPr>
        <w:t xml:space="preserve">A </w:t>
      </w:r>
      <w:r w:rsidR="001D19FD">
        <w:rPr>
          <w:rFonts w:ascii="Trebuchet MS" w:hAnsi="Trebuchet MS" w:cs="Trebuchet MS"/>
        </w:rPr>
        <w:t>somewhat surprising result of this study was the high percentage of the expert’s processes (31%) that</w:t>
      </w:r>
      <w:r>
        <w:rPr>
          <w:rFonts w:ascii="Trebuchet MS" w:hAnsi="Trebuchet MS" w:cs="Trebuchet MS"/>
        </w:rPr>
        <w:t xml:space="preserve"> went into planning</w:t>
      </w:r>
      <w:r w:rsidR="001D19FD">
        <w:rPr>
          <w:rFonts w:ascii="Trebuchet MS" w:hAnsi="Trebuchet MS" w:cs="Trebuchet MS"/>
        </w:rPr>
        <w:t>, organizing</w:t>
      </w:r>
      <w:r>
        <w:rPr>
          <w:rFonts w:ascii="Trebuchet MS" w:hAnsi="Trebuchet MS" w:cs="Trebuchet MS"/>
        </w:rPr>
        <w:t xml:space="preserve"> and executing his information and analytic strategy. This suggests that there is </w:t>
      </w:r>
      <w:r w:rsidR="001D19FD">
        <w:rPr>
          <w:rFonts w:ascii="Trebuchet MS" w:hAnsi="Trebuchet MS" w:cs="Trebuchet MS"/>
        </w:rPr>
        <w:t xml:space="preserve">yet another important way to redesign open source systems in support of expert analysts—providing </w:t>
      </w:r>
      <w:r>
        <w:rPr>
          <w:rFonts w:ascii="Trebuchet MS" w:hAnsi="Trebuchet MS" w:cs="Trebuchet MS"/>
        </w:rPr>
        <w:t xml:space="preserve">analytic support </w:t>
      </w:r>
      <w:r w:rsidRPr="001C21E1">
        <w:rPr>
          <w:rFonts w:ascii="Trebuchet MS" w:hAnsi="Trebuchet MS" w:cs="Trebuchet MS"/>
        </w:rPr>
        <w:t>tools t</w:t>
      </w:r>
      <w:r>
        <w:rPr>
          <w:rFonts w:ascii="Trebuchet MS" w:hAnsi="Trebuchet MS" w:cs="Trebuchet MS"/>
        </w:rPr>
        <w:t xml:space="preserve">hat can </w:t>
      </w:r>
      <w:r w:rsidR="001D19FD">
        <w:rPr>
          <w:rFonts w:ascii="Trebuchet MS" w:hAnsi="Trebuchet MS" w:cs="Trebuchet MS"/>
        </w:rPr>
        <w:t>reduce cognitive overload by supporting these “administrative” processes</w:t>
      </w:r>
      <w:r>
        <w:rPr>
          <w:rFonts w:ascii="Trebuchet MS" w:hAnsi="Trebuchet MS" w:cs="Trebuchet MS"/>
        </w:rPr>
        <w:t xml:space="preserve">.  For such new tools to help an expert analyst, they would have to </w:t>
      </w:r>
      <w:r w:rsidR="001D19FD">
        <w:rPr>
          <w:rFonts w:ascii="Trebuchet MS" w:hAnsi="Trebuchet MS" w:cs="Trebuchet MS"/>
        </w:rPr>
        <w:t>be designed within the context of the cognitive patterns</w:t>
      </w:r>
      <w:r>
        <w:rPr>
          <w:rFonts w:ascii="Trebuchet MS" w:hAnsi="Trebuchet MS" w:cs="Trebuchet MS"/>
        </w:rPr>
        <w:t xml:space="preserve"> </w:t>
      </w:r>
      <w:r w:rsidR="001D19FD">
        <w:rPr>
          <w:rFonts w:ascii="Trebuchet MS" w:hAnsi="Trebuchet MS" w:cs="Trebuchet MS"/>
        </w:rPr>
        <w:t>discusses</w:t>
      </w:r>
      <w:r>
        <w:rPr>
          <w:rFonts w:ascii="Trebuchet MS" w:hAnsi="Trebuchet MS" w:cs="Trebuchet MS"/>
        </w:rPr>
        <w:t xml:space="preserve"> in this study. For example, tools that helped the analyst </w:t>
      </w:r>
      <w:r w:rsidR="00B553C6">
        <w:rPr>
          <w:rFonts w:ascii="Trebuchet MS" w:hAnsi="Trebuchet MS" w:cs="Trebuchet MS"/>
        </w:rPr>
        <w:t xml:space="preserve">construct his own filters on new data or </w:t>
      </w:r>
      <w:r>
        <w:rPr>
          <w:rFonts w:ascii="Trebuchet MS" w:hAnsi="Trebuchet MS" w:cs="Trebuchet MS"/>
        </w:rPr>
        <w:t>map new information directly onto his m</w:t>
      </w:r>
      <w:r w:rsidR="001D19FD">
        <w:rPr>
          <w:rFonts w:ascii="Trebuchet MS" w:hAnsi="Trebuchet MS" w:cs="Trebuchet MS"/>
        </w:rPr>
        <w:t>odel might be helpful</w:t>
      </w:r>
      <w:r w:rsidR="00B553C6">
        <w:rPr>
          <w:rFonts w:ascii="Trebuchet MS" w:hAnsi="Trebuchet MS" w:cs="Trebuchet MS"/>
        </w:rPr>
        <w:t xml:space="preserve">. </w:t>
      </w:r>
      <w:r w:rsidR="001D19FD">
        <w:rPr>
          <w:rFonts w:ascii="Trebuchet MS" w:hAnsi="Trebuchet MS" w:cs="Trebuchet MS"/>
        </w:rPr>
        <w:t xml:space="preserve"> </w:t>
      </w:r>
      <w:r w:rsidR="00B553C6">
        <w:rPr>
          <w:rFonts w:ascii="Trebuchet MS" w:hAnsi="Trebuchet MS" w:cs="Trebuchet MS"/>
        </w:rPr>
        <w:t>So</w:t>
      </w:r>
      <w:r w:rsidR="001D19FD">
        <w:rPr>
          <w:rFonts w:ascii="Trebuchet MS" w:hAnsi="Trebuchet MS" w:cs="Trebuchet MS"/>
        </w:rPr>
        <w:t xml:space="preserve"> might</w:t>
      </w:r>
      <w:r>
        <w:rPr>
          <w:rFonts w:ascii="Trebuchet MS" w:hAnsi="Trebuchet MS" w:cs="Trebuchet MS"/>
        </w:rPr>
        <w:t xml:space="preserve"> tools that let the expert capture and communicate his existing model </w:t>
      </w:r>
      <w:r w:rsidR="001D19FD">
        <w:rPr>
          <w:rFonts w:ascii="Trebuchet MS" w:hAnsi="Trebuchet MS" w:cs="Trebuchet MS"/>
        </w:rPr>
        <w:t>more clearly and efficiently</w:t>
      </w:r>
      <w:r>
        <w:rPr>
          <w:rFonts w:ascii="Trebuchet MS" w:hAnsi="Trebuchet MS" w:cs="Trebuchet MS"/>
        </w:rPr>
        <w:t xml:space="preserve">.  </w:t>
      </w:r>
      <w:r w:rsidR="00B553C6">
        <w:rPr>
          <w:rFonts w:ascii="Trebuchet MS" w:hAnsi="Trebuchet MS" w:cs="Trebuchet MS"/>
        </w:rPr>
        <w:t>There are many avenues for future work in this area, including usability testing and work process mapping.</w:t>
      </w:r>
    </w:p>
    <w:p w:rsidR="00FD6520" w:rsidRPr="00486D94" w:rsidRDefault="00FD6520" w:rsidP="00AF0FC2">
      <w:pPr>
        <w:spacing w:before="100" w:beforeAutospacing="1" w:line="300" w:lineRule="auto"/>
      </w:pPr>
      <w:r>
        <w:rPr>
          <w:rFonts w:ascii="Trebuchet MS" w:hAnsi="Trebuchet MS" w:cs="Trebuchet MS"/>
        </w:rPr>
        <w:t>Observations and comment</w:t>
      </w:r>
      <w:r w:rsidR="001D19FD">
        <w:rPr>
          <w:rFonts w:ascii="Trebuchet MS" w:hAnsi="Trebuchet MS" w:cs="Trebuchet MS"/>
        </w:rPr>
        <w:t>s</w:t>
      </w:r>
      <w:r>
        <w:rPr>
          <w:rFonts w:ascii="Trebuchet MS" w:hAnsi="Trebuchet MS" w:cs="Trebuchet MS"/>
        </w:rPr>
        <w:t xml:space="preserve"> by the analyst as he c</w:t>
      </w:r>
      <w:r w:rsidR="00760F6D">
        <w:rPr>
          <w:rFonts w:ascii="Trebuchet MS" w:hAnsi="Trebuchet MS" w:cs="Trebuchet MS"/>
        </w:rPr>
        <w:t>onsumed the open source product</w:t>
      </w:r>
      <w:r>
        <w:rPr>
          <w:rFonts w:ascii="Trebuchet MS" w:hAnsi="Trebuchet MS" w:cs="Trebuchet MS"/>
        </w:rPr>
        <w:t xml:space="preserve"> suggested that certain changes in the </w:t>
      </w:r>
      <w:r w:rsidR="00760F6D">
        <w:rPr>
          <w:rFonts w:ascii="Trebuchet MS" w:hAnsi="Trebuchet MS" w:cs="Trebuchet MS"/>
        </w:rPr>
        <w:t>interface</w:t>
      </w:r>
      <w:r>
        <w:rPr>
          <w:rFonts w:ascii="Trebuchet MS" w:hAnsi="Trebuchet MS" w:cs="Trebuchet MS"/>
        </w:rPr>
        <w:t xml:space="preserve"> might have made it more useful. </w:t>
      </w:r>
      <w:r w:rsidR="00760F6D">
        <w:rPr>
          <w:rFonts w:ascii="Trebuchet MS" w:hAnsi="Trebuchet MS" w:cs="Trebuchet MS"/>
        </w:rPr>
        <w:t>For example</w:t>
      </w:r>
      <w:r>
        <w:rPr>
          <w:rFonts w:ascii="Trebuchet MS" w:hAnsi="Trebuchet MS" w:cs="Trebuchet MS"/>
        </w:rPr>
        <w:t xml:space="preserve">, the analyst wanted </w:t>
      </w:r>
      <w:r w:rsidR="00760F6D">
        <w:rPr>
          <w:rFonts w:ascii="Trebuchet MS" w:hAnsi="Trebuchet MS" w:cs="Trebuchet MS"/>
        </w:rPr>
        <w:t>a way to view the open source material differently, such as</w:t>
      </w:r>
      <w:r>
        <w:rPr>
          <w:rFonts w:ascii="Trebuchet MS" w:hAnsi="Trebuchet MS" w:cs="Trebuchet MS"/>
        </w:rPr>
        <w:t xml:space="preserve"> focus</w:t>
      </w:r>
      <w:r w:rsidR="00760F6D">
        <w:rPr>
          <w:rFonts w:ascii="Trebuchet MS" w:hAnsi="Trebuchet MS" w:cs="Trebuchet MS"/>
        </w:rPr>
        <w:t>ing</w:t>
      </w:r>
      <w:r>
        <w:rPr>
          <w:rFonts w:ascii="Trebuchet MS" w:hAnsi="Trebuchet MS" w:cs="Trebuchet MS"/>
        </w:rPr>
        <w:t xml:space="preserve"> on local reporting from neighboring countries.  He would also have appreciated the ability to search the corpus from which the open source material was taken on the basis of related topics rather than specifically on Niger and Uranium.  Such topics might</w:t>
      </w:r>
      <w:r w:rsidR="00760F6D">
        <w:rPr>
          <w:rFonts w:ascii="Trebuchet MS" w:hAnsi="Trebuchet MS" w:cs="Trebuchet MS"/>
        </w:rPr>
        <w:t xml:space="preserve"> have</w:t>
      </w:r>
      <w:r>
        <w:rPr>
          <w:rFonts w:ascii="Trebuchet MS" w:hAnsi="Trebuchet MS" w:cs="Trebuchet MS"/>
        </w:rPr>
        <w:t xml:space="preserve"> include</w:t>
      </w:r>
      <w:r w:rsidR="00760F6D">
        <w:rPr>
          <w:rFonts w:ascii="Trebuchet MS" w:hAnsi="Trebuchet MS" w:cs="Trebuchet MS"/>
        </w:rPr>
        <w:t>d</w:t>
      </w:r>
      <w:r>
        <w:rPr>
          <w:rFonts w:ascii="Trebuchet MS" w:hAnsi="Trebuchet MS" w:cs="Trebuchet MS"/>
        </w:rPr>
        <w:t xml:space="preserve"> “desertification in the Sahel</w:t>
      </w:r>
      <w:r w:rsidR="00760F6D">
        <w:rPr>
          <w:rFonts w:ascii="Trebuchet MS" w:hAnsi="Trebuchet MS" w:cs="Trebuchet MS"/>
        </w:rPr>
        <w:t>;”</w:t>
      </w:r>
      <w:r>
        <w:rPr>
          <w:rFonts w:ascii="Trebuchet MS" w:hAnsi="Trebuchet MS" w:cs="Trebuchet MS"/>
        </w:rPr>
        <w:t xml:space="preserve"> “foreign insurgency and counter insurgency activities in Chad</w:t>
      </w:r>
      <w:r w:rsidR="00760F6D">
        <w:rPr>
          <w:rFonts w:ascii="Trebuchet MS" w:hAnsi="Trebuchet MS" w:cs="Trebuchet MS"/>
        </w:rPr>
        <w:t>, Algeria, Mali and Mauritania;”</w:t>
      </w:r>
      <w:r>
        <w:rPr>
          <w:rFonts w:ascii="Trebuchet MS" w:hAnsi="Trebuchet MS" w:cs="Trebuchet MS"/>
        </w:rPr>
        <w:t xml:space="preserve"> or “health </w:t>
      </w:r>
      <w:r>
        <w:rPr>
          <w:rFonts w:ascii="Trebuchet MS" w:hAnsi="Trebuchet MS" w:cs="Trebuchet MS"/>
        </w:rPr>
        <w:lastRenderedPageBreak/>
        <w:t>and economic status of settled nomads in the Sahel</w:t>
      </w:r>
      <w:r w:rsidR="00760F6D">
        <w:rPr>
          <w:rFonts w:ascii="Trebuchet MS" w:hAnsi="Trebuchet MS" w:cs="Trebuchet MS"/>
        </w:rPr>
        <w:t>.”</w:t>
      </w:r>
      <w:r>
        <w:rPr>
          <w:rFonts w:ascii="Trebuchet MS" w:hAnsi="Trebuchet MS" w:cs="Trebuchet MS"/>
        </w:rPr>
        <w:t xml:space="preserve">  </w:t>
      </w:r>
      <w:r w:rsidR="00760F6D">
        <w:rPr>
          <w:rFonts w:ascii="Trebuchet MS" w:hAnsi="Trebuchet MS" w:cs="Trebuchet MS"/>
        </w:rPr>
        <w:t>These needs might be accommodated through a more powerful interface that allowed the expert to “replace” the lower-level open source system analysts with user-driven search and organizational capabilities.  Incorporating and evaluating interface capabilities that give greater power to the expert analyst is another important area of future investigation.</w:t>
      </w:r>
    </w:p>
    <w:p w:rsidR="00FD6520" w:rsidRDefault="00C57D30" w:rsidP="00AF0FC2">
      <w:pPr>
        <w:spacing w:before="100" w:beforeAutospacing="1" w:line="300" w:lineRule="auto"/>
        <w:rPr>
          <w:rFonts w:ascii="Trebuchet MS" w:hAnsi="Trebuchet MS" w:cs="Trebuchet MS"/>
        </w:rPr>
      </w:pPr>
      <w:r>
        <w:rPr>
          <w:rFonts w:ascii="Trebuchet MS" w:hAnsi="Trebuchet MS" w:cs="Trebuchet MS"/>
        </w:rPr>
        <w:t>Another area of potential future investigation is the use of identified expert processes in the training of lower-level</w:t>
      </w:r>
      <w:r w:rsidR="00FD6520">
        <w:rPr>
          <w:rFonts w:ascii="Trebuchet MS" w:hAnsi="Trebuchet MS" w:cs="Trebuchet MS"/>
        </w:rPr>
        <w:t xml:space="preserve"> analysts</w:t>
      </w:r>
      <w:r>
        <w:rPr>
          <w:rFonts w:ascii="Trebuchet MS" w:hAnsi="Trebuchet MS" w:cs="Trebuchet MS"/>
        </w:rPr>
        <w:t>, especially those who</w:t>
      </w:r>
      <w:r w:rsidR="00FD6520">
        <w:rPr>
          <w:rFonts w:ascii="Trebuchet MS" w:hAnsi="Trebuchet MS" w:cs="Trebuchet MS"/>
        </w:rPr>
        <w:t xml:space="preserve"> </w:t>
      </w:r>
      <w:r>
        <w:rPr>
          <w:rFonts w:ascii="Trebuchet MS" w:hAnsi="Trebuchet MS" w:cs="Trebuchet MS"/>
        </w:rPr>
        <w:t>work within open source systems and</w:t>
      </w:r>
      <w:r w:rsidR="00FD6520">
        <w:rPr>
          <w:rFonts w:ascii="Trebuchet MS" w:hAnsi="Trebuchet MS" w:cs="Trebuchet MS"/>
        </w:rPr>
        <w:t xml:space="preserve"> </w:t>
      </w:r>
      <w:r>
        <w:rPr>
          <w:rFonts w:ascii="Trebuchet MS" w:hAnsi="Trebuchet MS" w:cs="Trebuchet MS"/>
        </w:rPr>
        <w:t>filter information for expert use</w:t>
      </w:r>
      <w:r w:rsidR="00FD6520">
        <w:rPr>
          <w:rFonts w:ascii="Trebuchet MS" w:hAnsi="Trebuchet MS" w:cs="Trebuchet MS"/>
        </w:rPr>
        <w:t xml:space="preserve">. </w:t>
      </w:r>
      <w:r>
        <w:rPr>
          <w:rFonts w:ascii="Trebuchet MS" w:hAnsi="Trebuchet MS" w:cs="Trebuchet MS"/>
        </w:rPr>
        <w:t xml:space="preserve">If those analysts who provided the summaries in this study were trained in the analytic processes of the expert, would they do a better job in filtering the open source information for his consumption?  Also in this case, the “white paper” from a general purpose analyst </w:t>
      </w:r>
      <w:r w:rsidR="00FD6520">
        <w:rPr>
          <w:rFonts w:ascii="Trebuchet MS" w:hAnsi="Trebuchet MS" w:cs="Trebuchet MS"/>
        </w:rPr>
        <w:t xml:space="preserve">naturally lacked </w:t>
      </w:r>
      <w:r>
        <w:rPr>
          <w:rFonts w:ascii="Trebuchet MS" w:hAnsi="Trebuchet MS" w:cs="Trebuchet MS"/>
        </w:rPr>
        <w:t>some elements that were</w:t>
      </w:r>
      <w:r w:rsidR="00FD6520">
        <w:rPr>
          <w:rFonts w:ascii="Trebuchet MS" w:hAnsi="Trebuchet MS" w:cs="Trebuchet MS"/>
        </w:rPr>
        <w:t xml:space="preserve"> specific to the significance of the ethnic history and tensions in Northern Niger.  </w:t>
      </w:r>
      <w:r>
        <w:rPr>
          <w:rFonts w:ascii="Trebuchet MS" w:hAnsi="Trebuchet MS" w:cs="Trebuchet MS"/>
        </w:rPr>
        <w:t>Would</w:t>
      </w:r>
      <w:r w:rsidR="00FD6520">
        <w:rPr>
          <w:rFonts w:ascii="Trebuchet MS" w:hAnsi="Trebuchet MS" w:cs="Trebuchet MS"/>
        </w:rPr>
        <w:t xml:space="preserve"> a short session </w:t>
      </w:r>
      <w:r>
        <w:rPr>
          <w:rFonts w:ascii="Trebuchet MS" w:hAnsi="Trebuchet MS" w:cs="Trebuchet MS"/>
        </w:rPr>
        <w:t>on the key indicators used by the</w:t>
      </w:r>
      <w:r w:rsidR="00FD6520">
        <w:rPr>
          <w:rFonts w:ascii="Trebuchet MS" w:hAnsi="Trebuchet MS" w:cs="Trebuchet MS"/>
        </w:rPr>
        <w:t xml:space="preserve"> regional expert </w:t>
      </w:r>
      <w:r>
        <w:rPr>
          <w:rFonts w:ascii="Trebuchet MS" w:hAnsi="Trebuchet MS" w:cs="Trebuchet MS"/>
        </w:rPr>
        <w:t>have resulted in a</w:t>
      </w:r>
      <w:r w:rsidR="00FD6520">
        <w:rPr>
          <w:rFonts w:ascii="Trebuchet MS" w:hAnsi="Trebuchet MS" w:cs="Trebuchet MS"/>
        </w:rPr>
        <w:t xml:space="preserve"> greatly improved analytic product</w:t>
      </w:r>
      <w:r>
        <w:rPr>
          <w:rFonts w:ascii="Trebuchet MS" w:hAnsi="Trebuchet MS" w:cs="Trebuchet MS"/>
        </w:rPr>
        <w:t>?</w:t>
      </w:r>
    </w:p>
    <w:p w:rsidR="00FD6520" w:rsidRDefault="00FD6520" w:rsidP="00AF0FC2">
      <w:pPr>
        <w:spacing w:before="100" w:beforeAutospacing="1" w:line="300" w:lineRule="auto"/>
        <w:rPr>
          <w:rFonts w:ascii="Trebuchet MS" w:hAnsi="Trebuchet MS" w:cs="Trebuchet MS"/>
        </w:rPr>
      </w:pPr>
      <w:r>
        <w:rPr>
          <w:rFonts w:ascii="Trebuchet MS" w:hAnsi="Trebuchet MS" w:cs="Trebuchet MS"/>
        </w:rPr>
        <w:t xml:space="preserve">While many questions remain unresolved, as would be expected from a case study based on a single analyst, this study </w:t>
      </w:r>
      <w:r w:rsidR="00FA1DD0">
        <w:rPr>
          <w:rFonts w:ascii="Trebuchet MS" w:hAnsi="Trebuchet MS" w:cs="Trebuchet MS"/>
        </w:rPr>
        <w:t>identifies</w:t>
      </w:r>
      <w:r>
        <w:rPr>
          <w:rFonts w:ascii="Trebuchet MS" w:hAnsi="Trebuchet MS" w:cs="Trebuchet MS"/>
        </w:rPr>
        <w:t xml:space="preserve"> </w:t>
      </w:r>
      <w:r w:rsidR="00760F6D">
        <w:rPr>
          <w:rFonts w:ascii="Trebuchet MS" w:hAnsi="Trebuchet MS" w:cs="Trebuchet MS"/>
        </w:rPr>
        <w:t xml:space="preserve">both </w:t>
      </w:r>
      <w:r>
        <w:rPr>
          <w:rFonts w:ascii="Trebuchet MS" w:hAnsi="Trebuchet MS" w:cs="Trebuchet MS"/>
        </w:rPr>
        <w:t>the value</w:t>
      </w:r>
      <w:r w:rsidR="00FA1DD0">
        <w:rPr>
          <w:rFonts w:ascii="Trebuchet MS" w:hAnsi="Trebuchet MS" w:cs="Trebuchet MS"/>
        </w:rPr>
        <w:t xml:space="preserve"> to</w:t>
      </w:r>
      <w:r>
        <w:rPr>
          <w:rFonts w:ascii="Trebuchet MS" w:hAnsi="Trebuchet MS" w:cs="Trebuchet MS"/>
        </w:rPr>
        <w:t xml:space="preserve"> and limitations of semi-automated open source systems </w:t>
      </w:r>
      <w:r w:rsidR="00FA1DD0">
        <w:rPr>
          <w:rFonts w:ascii="Trebuchet MS" w:hAnsi="Trebuchet MS" w:cs="Trebuchet MS"/>
        </w:rPr>
        <w:t>for</w:t>
      </w:r>
      <w:r>
        <w:rPr>
          <w:rFonts w:ascii="Trebuchet MS" w:hAnsi="Trebuchet MS" w:cs="Trebuchet MS"/>
        </w:rPr>
        <w:t xml:space="preserve"> the work of expert analysts.  </w:t>
      </w:r>
      <w:r w:rsidR="00C57D30">
        <w:rPr>
          <w:rFonts w:ascii="Trebuchet MS" w:hAnsi="Trebuchet MS" w:cs="Trebuchet MS"/>
        </w:rPr>
        <w:t>It also suggests future design improvements that might increase that value and minimize those limitation</w:t>
      </w:r>
      <w:r w:rsidR="00FA1DD0">
        <w:rPr>
          <w:rFonts w:ascii="Trebuchet MS" w:hAnsi="Trebuchet MS" w:cs="Trebuchet MS"/>
        </w:rPr>
        <w:t>s</w:t>
      </w:r>
      <w:r w:rsidR="00C57D30">
        <w:rPr>
          <w:rFonts w:ascii="Trebuchet MS" w:hAnsi="Trebuchet MS" w:cs="Trebuchet MS"/>
        </w:rPr>
        <w:t>.</w:t>
      </w:r>
    </w:p>
    <w:p w:rsidR="00FD6520" w:rsidRPr="00D50618" w:rsidRDefault="004804EE" w:rsidP="00AF0FC2">
      <w:pPr>
        <w:spacing w:before="100" w:beforeAutospacing="1" w:line="300" w:lineRule="auto"/>
        <w:rPr>
          <w:rFonts w:ascii="Trebuchet MS" w:hAnsi="Trebuchet MS" w:cs="Trebuchet MS"/>
          <w:b/>
          <w:sz w:val="36"/>
        </w:rPr>
      </w:pPr>
      <w:r>
        <w:rPr>
          <w:rFonts w:ascii="Trebuchet MS" w:hAnsi="Trebuchet MS" w:cs="Trebuchet MS"/>
          <w:b/>
          <w:sz w:val="36"/>
        </w:rPr>
        <w:br w:type="page"/>
      </w:r>
      <w:r w:rsidR="00FD6520" w:rsidRPr="00D50618">
        <w:rPr>
          <w:rFonts w:ascii="Trebuchet MS" w:hAnsi="Trebuchet MS" w:cs="Trebuchet MS"/>
          <w:b/>
          <w:sz w:val="36"/>
        </w:rPr>
        <w:lastRenderedPageBreak/>
        <w:t>References</w:t>
      </w:r>
    </w:p>
    <w:p w:rsidR="00FD6520" w:rsidRPr="00CC7F76" w:rsidRDefault="00FD6520" w:rsidP="00FA1DD0">
      <w:pPr>
        <w:spacing w:before="100" w:beforeAutospacing="1" w:line="300" w:lineRule="auto"/>
        <w:rPr>
          <w:rFonts w:ascii="Trebuchet MS" w:hAnsi="Trebuchet MS" w:cs="Trebuchet MS"/>
        </w:rPr>
      </w:pPr>
      <w:proofErr w:type="gramStart"/>
      <w:r w:rsidRPr="00CC7F76">
        <w:rPr>
          <w:rFonts w:ascii="Trebuchet MS" w:hAnsi="Trebuchet MS" w:cs="Trebuchet MS"/>
        </w:rPr>
        <w:t>"Foreign Policy."</w:t>
      </w:r>
      <w:proofErr w:type="gramEnd"/>
      <w:r w:rsidRPr="00CC7F76">
        <w:rPr>
          <w:rFonts w:ascii="Trebuchet MS" w:hAnsi="Trebuchet MS" w:cs="Trebuchet MS"/>
        </w:rPr>
        <w:t xml:space="preserve"> </w:t>
      </w:r>
      <w:proofErr w:type="gramStart"/>
      <w:r w:rsidRPr="00CC7F76">
        <w:rPr>
          <w:rFonts w:ascii="Trebuchet MS" w:hAnsi="Trebuchet MS" w:cs="Trebuchet MS"/>
        </w:rPr>
        <w:t>Retrieved 10/6/2009, from http://www.foreignpolicy.com/.</w:t>
      </w:r>
      <w:proofErr w:type="gramEnd"/>
    </w:p>
    <w:p w:rsidR="00FD6520" w:rsidRPr="00CC7F76" w:rsidRDefault="00FD6520" w:rsidP="00CC7F76">
      <w:pPr>
        <w:spacing w:before="100" w:beforeAutospacing="1" w:line="300" w:lineRule="auto"/>
        <w:rPr>
          <w:rFonts w:ascii="Trebuchet MS" w:hAnsi="Trebuchet MS" w:cs="Trebuchet MS"/>
        </w:rPr>
      </w:pPr>
      <w:r w:rsidRPr="00CC7F76">
        <w:rPr>
          <w:rFonts w:ascii="Trebuchet MS" w:hAnsi="Trebuchet MS" w:cs="Trebuchet MS"/>
        </w:rPr>
        <w:t>"</w:t>
      </w:r>
      <w:proofErr w:type="spellStart"/>
      <w:r w:rsidRPr="00CC7F76">
        <w:rPr>
          <w:rFonts w:ascii="Trebuchet MS" w:hAnsi="Trebuchet MS" w:cs="Trebuchet MS"/>
        </w:rPr>
        <w:t>Neilsen</w:t>
      </w:r>
      <w:proofErr w:type="spellEnd"/>
      <w:r w:rsidRPr="00CC7F76">
        <w:rPr>
          <w:rFonts w:ascii="Trebuchet MS" w:hAnsi="Trebuchet MS" w:cs="Trebuchet MS"/>
        </w:rPr>
        <w:t xml:space="preserve"> </w:t>
      </w:r>
      <w:proofErr w:type="spellStart"/>
      <w:r w:rsidRPr="00CC7F76">
        <w:rPr>
          <w:rFonts w:ascii="Trebuchet MS" w:hAnsi="Trebuchet MS" w:cs="Trebuchet MS"/>
        </w:rPr>
        <w:t>BuzzMetric</w:t>
      </w:r>
      <w:proofErr w:type="spellEnd"/>
      <w:r w:rsidRPr="00CC7F76">
        <w:rPr>
          <w:rFonts w:ascii="Trebuchet MS" w:hAnsi="Trebuchet MS" w:cs="Trebuchet MS"/>
        </w:rPr>
        <w:t xml:space="preserve">." </w:t>
      </w:r>
      <w:proofErr w:type="gramStart"/>
      <w:r w:rsidRPr="00CC7F76">
        <w:rPr>
          <w:rFonts w:ascii="Trebuchet MS" w:hAnsi="Trebuchet MS" w:cs="Trebuchet MS"/>
        </w:rPr>
        <w:t>Retrieved 10/6/2009, 2009, from http://en-us.nielsen.com/tab/product_families/nielsen_buzzmetrics.</w:t>
      </w:r>
      <w:proofErr w:type="gramEnd"/>
    </w:p>
    <w:p w:rsidR="00FD6520" w:rsidRPr="004804EE" w:rsidRDefault="00FD6520" w:rsidP="00CC7F76">
      <w:pPr>
        <w:spacing w:before="100" w:beforeAutospacing="1" w:line="300" w:lineRule="auto"/>
        <w:rPr>
          <w:rFonts w:ascii="Trebuchet MS" w:hAnsi="Trebuchet MS" w:cs="Trebuchet MS"/>
        </w:rPr>
      </w:pPr>
      <w:proofErr w:type="gramStart"/>
      <w:r w:rsidRPr="004804EE">
        <w:rPr>
          <w:rFonts w:ascii="Trebuchet MS" w:hAnsi="Trebuchet MS" w:cs="Trebuchet MS"/>
        </w:rPr>
        <w:t>"</w:t>
      </w:r>
      <w:proofErr w:type="spellStart"/>
      <w:r w:rsidRPr="004804EE">
        <w:rPr>
          <w:rFonts w:ascii="Trebuchet MS" w:hAnsi="Trebuchet MS" w:cs="Trebuchet MS"/>
        </w:rPr>
        <w:t>Veratect</w:t>
      </w:r>
      <w:proofErr w:type="spellEnd"/>
      <w:r w:rsidRPr="004804EE">
        <w:rPr>
          <w:rFonts w:ascii="Trebuchet MS" w:hAnsi="Trebuchet MS" w:cs="Trebuchet MS"/>
        </w:rPr>
        <w:t>."</w:t>
      </w:r>
      <w:proofErr w:type="gramEnd"/>
      <w:r w:rsidRPr="004804EE">
        <w:rPr>
          <w:rFonts w:ascii="Trebuchet MS" w:hAnsi="Trebuchet MS" w:cs="Trebuchet MS"/>
        </w:rPr>
        <w:t xml:space="preserve"> </w:t>
      </w:r>
      <w:proofErr w:type="gramStart"/>
      <w:r w:rsidRPr="004804EE">
        <w:rPr>
          <w:rFonts w:ascii="Trebuchet MS" w:hAnsi="Trebuchet MS" w:cs="Trebuchet MS"/>
        </w:rPr>
        <w:t>Retrieved April 07, 2009, from http://veratect.com/.</w:t>
      </w:r>
      <w:proofErr w:type="gramEnd"/>
    </w:p>
    <w:p w:rsidR="00FD6520" w:rsidRPr="00CC7F76" w:rsidRDefault="00FD6520" w:rsidP="00CC7F76">
      <w:pPr>
        <w:spacing w:before="100" w:beforeAutospacing="1" w:line="300" w:lineRule="auto"/>
        <w:rPr>
          <w:rFonts w:ascii="Trebuchet MS" w:hAnsi="Trebuchet MS" w:cs="Trebuchet MS"/>
        </w:rPr>
      </w:pPr>
      <w:r w:rsidRPr="00CC7F76">
        <w:rPr>
          <w:rFonts w:ascii="Trebuchet MS" w:hAnsi="Trebuchet MS" w:cs="Trebuchet MS"/>
        </w:rPr>
        <w:t>"What is the Google zeitgeist?</w:t>
      </w:r>
      <w:proofErr w:type="gramStart"/>
      <w:r w:rsidRPr="00CC7F76">
        <w:rPr>
          <w:rFonts w:ascii="Trebuchet MS" w:hAnsi="Trebuchet MS" w:cs="Trebuchet MS"/>
        </w:rPr>
        <w:t>".</w:t>
      </w:r>
      <w:proofErr w:type="gramEnd"/>
      <w:r w:rsidRPr="00CC7F76">
        <w:rPr>
          <w:rFonts w:ascii="Trebuchet MS" w:hAnsi="Trebuchet MS" w:cs="Trebuchet MS"/>
        </w:rPr>
        <w:t xml:space="preserve"> </w:t>
      </w:r>
      <w:proofErr w:type="gramStart"/>
      <w:r w:rsidRPr="00CC7F76">
        <w:rPr>
          <w:rFonts w:ascii="Trebuchet MS" w:hAnsi="Trebuchet MS" w:cs="Trebuchet MS"/>
        </w:rPr>
        <w:t>Retrieved April 07, 2009, from http://www.google.com/intl/en/press/zeitgeist/index.html.</w:t>
      </w:r>
      <w:proofErr w:type="gramEnd"/>
    </w:p>
    <w:p w:rsidR="00FD6520" w:rsidRPr="00CC7F76" w:rsidRDefault="00FD6520" w:rsidP="00CC7F76">
      <w:pPr>
        <w:spacing w:before="100" w:beforeAutospacing="1" w:line="300" w:lineRule="auto"/>
        <w:rPr>
          <w:rFonts w:ascii="Trebuchet MS" w:hAnsi="Trebuchet MS" w:cs="Trebuchet MS"/>
        </w:rPr>
      </w:pPr>
      <w:proofErr w:type="gramStart"/>
      <w:r w:rsidRPr="00CC7F76">
        <w:rPr>
          <w:rFonts w:ascii="Trebuchet MS" w:hAnsi="Trebuchet MS" w:cs="Trebuchet MS"/>
        </w:rPr>
        <w:t>Atman, C. J., R. S. Adams, et al. (2007).</w:t>
      </w:r>
      <w:proofErr w:type="gramEnd"/>
      <w:r w:rsidRPr="00CC7F76">
        <w:rPr>
          <w:rFonts w:ascii="Trebuchet MS" w:hAnsi="Trebuchet MS" w:cs="Trebuchet MS"/>
        </w:rPr>
        <w:t xml:space="preserve"> "Engineering Design Processes: A Comparison of Students and Expert Practitioners." Journal of engineering education / 96(4): 359-380.</w:t>
      </w:r>
    </w:p>
    <w:p w:rsidR="00FD6520" w:rsidRPr="00CC7F76" w:rsidRDefault="00FD6520" w:rsidP="00CC7F76">
      <w:pPr>
        <w:spacing w:before="100" w:beforeAutospacing="1" w:line="300" w:lineRule="auto"/>
        <w:rPr>
          <w:rFonts w:ascii="Trebuchet MS" w:hAnsi="Trebuchet MS" w:cs="Trebuchet MS"/>
        </w:rPr>
      </w:pPr>
      <w:r w:rsidRPr="00CC7F76">
        <w:rPr>
          <w:rFonts w:ascii="Trebuchet MS" w:hAnsi="Trebuchet MS" w:cs="Trebuchet MS"/>
        </w:rPr>
        <w:t xml:space="preserve">Becker, P. H. (1993). </w:t>
      </w:r>
      <w:proofErr w:type="gramStart"/>
      <w:r w:rsidRPr="00CC7F76">
        <w:rPr>
          <w:rFonts w:ascii="Trebuchet MS" w:hAnsi="Trebuchet MS" w:cs="Trebuchet MS"/>
        </w:rPr>
        <w:t>"Common Pitfalls in Published Grounded Theory Research."</w:t>
      </w:r>
      <w:proofErr w:type="gramEnd"/>
      <w:r w:rsidRPr="00CC7F76">
        <w:rPr>
          <w:rFonts w:ascii="Trebuchet MS" w:hAnsi="Trebuchet MS" w:cs="Trebuchet MS"/>
        </w:rPr>
        <w:t xml:space="preserve"> QUALITATIVE HEALTH RESEARCH 3(2): 254.</w:t>
      </w:r>
    </w:p>
    <w:p w:rsidR="00FD6520" w:rsidRPr="00CC7F76" w:rsidRDefault="00FD6520" w:rsidP="00CC7F76">
      <w:pPr>
        <w:spacing w:before="100" w:beforeAutospacing="1" w:line="300" w:lineRule="auto"/>
        <w:rPr>
          <w:rFonts w:ascii="Trebuchet MS" w:hAnsi="Trebuchet MS" w:cs="Trebuchet MS"/>
        </w:rPr>
      </w:pPr>
      <w:proofErr w:type="spellStart"/>
      <w:r w:rsidRPr="00CC7F76">
        <w:rPr>
          <w:rFonts w:ascii="Trebuchet MS" w:hAnsi="Trebuchet MS" w:cs="Trebuchet MS"/>
        </w:rPr>
        <w:t>Berkman</w:t>
      </w:r>
      <w:proofErr w:type="spellEnd"/>
      <w:r w:rsidRPr="00CC7F76">
        <w:rPr>
          <w:rFonts w:ascii="Trebuchet MS" w:hAnsi="Trebuchet MS" w:cs="Trebuchet MS"/>
        </w:rPr>
        <w:t xml:space="preserve">, R. I. (2008). The art of strategic </w:t>
      </w:r>
      <w:proofErr w:type="gramStart"/>
      <w:r w:rsidRPr="00CC7F76">
        <w:rPr>
          <w:rFonts w:ascii="Trebuchet MS" w:hAnsi="Trebuchet MS" w:cs="Trebuchet MS"/>
        </w:rPr>
        <w:t>listening :</w:t>
      </w:r>
      <w:proofErr w:type="gramEnd"/>
      <w:r w:rsidRPr="00CC7F76">
        <w:rPr>
          <w:rFonts w:ascii="Trebuchet MS" w:hAnsi="Trebuchet MS" w:cs="Trebuchet MS"/>
        </w:rPr>
        <w:t xml:space="preserve"> finding market intelligence through blogs and other social media. Ithaca, Paramount Market.</w:t>
      </w:r>
    </w:p>
    <w:p w:rsidR="00FD6520" w:rsidRPr="00CC7F76" w:rsidRDefault="00FD6520" w:rsidP="00CC7F76">
      <w:pPr>
        <w:spacing w:before="100" w:beforeAutospacing="1" w:line="300" w:lineRule="auto"/>
        <w:rPr>
          <w:rFonts w:ascii="Trebuchet MS" w:hAnsi="Trebuchet MS" w:cs="Trebuchet MS"/>
        </w:rPr>
      </w:pPr>
      <w:proofErr w:type="gramStart"/>
      <w:r w:rsidRPr="00CC7F76">
        <w:rPr>
          <w:rFonts w:ascii="Trebuchet MS" w:hAnsi="Trebuchet MS" w:cs="Trebuchet MS"/>
        </w:rPr>
        <w:t xml:space="preserve">Bloom, B. S., D. R. </w:t>
      </w:r>
      <w:proofErr w:type="spellStart"/>
      <w:r w:rsidRPr="00CC7F76">
        <w:rPr>
          <w:rFonts w:ascii="Trebuchet MS" w:hAnsi="Trebuchet MS" w:cs="Trebuchet MS"/>
        </w:rPr>
        <w:t>Krathwohl</w:t>
      </w:r>
      <w:proofErr w:type="spellEnd"/>
      <w:r w:rsidRPr="00CC7F76">
        <w:rPr>
          <w:rFonts w:ascii="Trebuchet MS" w:hAnsi="Trebuchet MS" w:cs="Trebuchet MS"/>
        </w:rPr>
        <w:t>, et al. (1956).</w:t>
      </w:r>
      <w:proofErr w:type="gramEnd"/>
      <w:r w:rsidRPr="00CC7F76">
        <w:rPr>
          <w:rFonts w:ascii="Trebuchet MS" w:hAnsi="Trebuchet MS" w:cs="Trebuchet MS"/>
        </w:rPr>
        <w:t xml:space="preserve"> Taxonomy of educational </w:t>
      </w:r>
      <w:proofErr w:type="gramStart"/>
      <w:r w:rsidRPr="00CC7F76">
        <w:rPr>
          <w:rFonts w:ascii="Trebuchet MS" w:hAnsi="Trebuchet MS" w:cs="Trebuchet MS"/>
        </w:rPr>
        <w:t>objectives :</w:t>
      </w:r>
      <w:proofErr w:type="gramEnd"/>
      <w:r w:rsidRPr="00CC7F76">
        <w:rPr>
          <w:rFonts w:ascii="Trebuchet MS" w:hAnsi="Trebuchet MS" w:cs="Trebuchet MS"/>
        </w:rPr>
        <w:t xml:space="preserve"> the classification of educational goals. New York, D. McKay.</w:t>
      </w:r>
    </w:p>
    <w:p w:rsidR="00FD6520" w:rsidRPr="00CC7F76" w:rsidRDefault="00FD6520" w:rsidP="00CC7F76">
      <w:pPr>
        <w:spacing w:before="100" w:beforeAutospacing="1" w:line="300" w:lineRule="auto"/>
        <w:rPr>
          <w:rFonts w:ascii="Trebuchet MS" w:hAnsi="Trebuchet MS" w:cs="Trebuchet MS"/>
        </w:rPr>
      </w:pPr>
      <w:r w:rsidRPr="00CC7F76">
        <w:rPr>
          <w:rFonts w:ascii="Trebuchet MS" w:hAnsi="Trebuchet MS" w:cs="Trebuchet MS"/>
        </w:rPr>
        <w:t xml:space="preserve">Campbell, J. (2008). The hero with a thousand faces. </w:t>
      </w:r>
      <w:proofErr w:type="gramStart"/>
      <w:r w:rsidRPr="00CC7F76">
        <w:rPr>
          <w:rFonts w:ascii="Trebuchet MS" w:hAnsi="Trebuchet MS" w:cs="Trebuchet MS"/>
        </w:rPr>
        <w:t>Novato, Calif., New World Library.</w:t>
      </w:r>
      <w:proofErr w:type="gramEnd"/>
    </w:p>
    <w:p w:rsidR="00FD6520" w:rsidRPr="00CC7F76" w:rsidRDefault="00FD6520" w:rsidP="00CC7F76">
      <w:pPr>
        <w:spacing w:before="100" w:beforeAutospacing="1" w:line="300" w:lineRule="auto"/>
        <w:rPr>
          <w:rFonts w:ascii="Trebuchet MS" w:hAnsi="Trebuchet MS" w:cs="Trebuchet MS"/>
        </w:rPr>
      </w:pPr>
      <w:proofErr w:type="gramStart"/>
      <w:r w:rsidRPr="00CC7F76">
        <w:rPr>
          <w:rFonts w:ascii="Trebuchet MS" w:hAnsi="Trebuchet MS" w:cs="Trebuchet MS"/>
        </w:rPr>
        <w:t>Chi, M. T. H. (2006).</w:t>
      </w:r>
      <w:proofErr w:type="gramEnd"/>
      <w:r w:rsidRPr="00CC7F76">
        <w:rPr>
          <w:rFonts w:ascii="Trebuchet MS" w:hAnsi="Trebuchet MS" w:cs="Trebuchet MS"/>
        </w:rPr>
        <w:t xml:space="preserve"> </w:t>
      </w:r>
      <w:proofErr w:type="gramStart"/>
      <w:r w:rsidRPr="00CC7F76">
        <w:rPr>
          <w:rFonts w:ascii="Trebuchet MS" w:hAnsi="Trebuchet MS" w:cs="Trebuchet MS"/>
        </w:rPr>
        <w:t>Laboratory Methods for Assessing Experts' and Novices' Knowledge.</w:t>
      </w:r>
      <w:proofErr w:type="gramEnd"/>
      <w:r w:rsidRPr="00CC7F76">
        <w:rPr>
          <w:rFonts w:ascii="Trebuchet MS" w:hAnsi="Trebuchet MS" w:cs="Trebuchet MS"/>
        </w:rPr>
        <w:t xml:space="preserve"> </w:t>
      </w:r>
      <w:proofErr w:type="gramStart"/>
      <w:r w:rsidRPr="00CC7F76">
        <w:rPr>
          <w:rFonts w:ascii="Trebuchet MS" w:hAnsi="Trebuchet MS" w:cs="Trebuchet MS"/>
        </w:rPr>
        <w:t>The Cambridge Handbook of Expertise and Expert Performance.</w:t>
      </w:r>
      <w:proofErr w:type="gramEnd"/>
      <w:r w:rsidRPr="00CC7F76">
        <w:rPr>
          <w:rFonts w:ascii="Trebuchet MS" w:hAnsi="Trebuchet MS" w:cs="Trebuchet MS"/>
        </w:rPr>
        <w:t xml:space="preserve"> K. A. Ericsson, N. </w:t>
      </w:r>
      <w:proofErr w:type="spellStart"/>
      <w:r w:rsidRPr="00CC7F76">
        <w:rPr>
          <w:rFonts w:ascii="Trebuchet MS" w:hAnsi="Trebuchet MS" w:cs="Trebuchet MS"/>
        </w:rPr>
        <w:t>Charness</w:t>
      </w:r>
      <w:proofErr w:type="spellEnd"/>
      <w:r w:rsidRPr="00CC7F76">
        <w:rPr>
          <w:rFonts w:ascii="Trebuchet MS" w:hAnsi="Trebuchet MS" w:cs="Trebuchet MS"/>
        </w:rPr>
        <w:t xml:space="preserve">, P. J. </w:t>
      </w:r>
      <w:proofErr w:type="spellStart"/>
      <w:r w:rsidRPr="00CC7F76">
        <w:rPr>
          <w:rFonts w:ascii="Trebuchet MS" w:hAnsi="Trebuchet MS" w:cs="Trebuchet MS"/>
        </w:rPr>
        <w:t>Feltovich</w:t>
      </w:r>
      <w:proofErr w:type="spellEnd"/>
      <w:r w:rsidRPr="00CC7F76">
        <w:rPr>
          <w:rFonts w:ascii="Trebuchet MS" w:hAnsi="Trebuchet MS" w:cs="Trebuchet MS"/>
        </w:rPr>
        <w:t xml:space="preserve"> and R. R. Hoffman: 167 - 184.</w:t>
      </w:r>
    </w:p>
    <w:p w:rsidR="00FD6520" w:rsidRPr="00CC7F76" w:rsidRDefault="00FD6520" w:rsidP="00CC7F76">
      <w:pPr>
        <w:spacing w:before="100" w:beforeAutospacing="1" w:line="300" w:lineRule="auto"/>
        <w:rPr>
          <w:rFonts w:ascii="Trebuchet MS" w:hAnsi="Trebuchet MS" w:cs="Trebuchet MS"/>
        </w:rPr>
      </w:pPr>
      <w:proofErr w:type="spellStart"/>
      <w:proofErr w:type="gramStart"/>
      <w:r w:rsidRPr="00CC7F76">
        <w:rPr>
          <w:rFonts w:ascii="Trebuchet MS" w:hAnsi="Trebuchet MS" w:cs="Trebuchet MS"/>
        </w:rPr>
        <w:t>Chirot</w:t>
      </w:r>
      <w:proofErr w:type="spellEnd"/>
      <w:r w:rsidRPr="00CC7F76">
        <w:rPr>
          <w:rFonts w:ascii="Trebuchet MS" w:hAnsi="Trebuchet MS" w:cs="Trebuchet MS"/>
        </w:rPr>
        <w:t>, D. and C. McCauley (2006).</w:t>
      </w:r>
      <w:proofErr w:type="gramEnd"/>
      <w:r w:rsidRPr="00CC7F76">
        <w:rPr>
          <w:rFonts w:ascii="Trebuchet MS" w:hAnsi="Trebuchet MS" w:cs="Trebuchet MS"/>
        </w:rPr>
        <w:t xml:space="preserve"> Why not kill them all</w:t>
      </w:r>
      <w:proofErr w:type="gramStart"/>
      <w:r w:rsidRPr="00CC7F76">
        <w:rPr>
          <w:rFonts w:ascii="Trebuchet MS" w:hAnsi="Trebuchet MS" w:cs="Trebuchet MS"/>
        </w:rPr>
        <w:t>?:</w:t>
      </w:r>
      <w:proofErr w:type="gramEnd"/>
      <w:r w:rsidRPr="00CC7F76">
        <w:rPr>
          <w:rFonts w:ascii="Trebuchet MS" w:hAnsi="Trebuchet MS" w:cs="Trebuchet MS"/>
        </w:rPr>
        <w:t xml:space="preserve"> the logic and prevention of mass political murder, Princeton University Press.</w:t>
      </w:r>
    </w:p>
    <w:p w:rsidR="00FD6520" w:rsidRPr="00CC7F76" w:rsidRDefault="00FD6520" w:rsidP="00CC7F76">
      <w:pPr>
        <w:spacing w:before="100" w:beforeAutospacing="1" w:line="300" w:lineRule="auto"/>
        <w:rPr>
          <w:rFonts w:ascii="Trebuchet MS" w:hAnsi="Trebuchet MS" w:cs="Trebuchet MS"/>
        </w:rPr>
      </w:pPr>
      <w:r w:rsidRPr="00CC7F76">
        <w:rPr>
          <w:rFonts w:ascii="Trebuchet MS" w:hAnsi="Trebuchet MS" w:cs="Trebuchet MS"/>
        </w:rPr>
        <w:t xml:space="preserve">Clarke, R. A. (2008). Your government failed </w:t>
      </w:r>
      <w:proofErr w:type="gramStart"/>
      <w:r w:rsidRPr="00CC7F76">
        <w:rPr>
          <w:rFonts w:ascii="Trebuchet MS" w:hAnsi="Trebuchet MS" w:cs="Trebuchet MS"/>
        </w:rPr>
        <w:t>you :</w:t>
      </w:r>
      <w:proofErr w:type="gramEnd"/>
      <w:r w:rsidRPr="00CC7F76">
        <w:rPr>
          <w:rFonts w:ascii="Trebuchet MS" w:hAnsi="Trebuchet MS" w:cs="Trebuchet MS"/>
        </w:rPr>
        <w:t xml:space="preserve"> breaking the cycle of national security disasters. </w:t>
      </w:r>
      <w:proofErr w:type="gramStart"/>
      <w:r w:rsidRPr="00CC7F76">
        <w:rPr>
          <w:rFonts w:ascii="Trebuchet MS" w:hAnsi="Trebuchet MS" w:cs="Trebuchet MS"/>
        </w:rPr>
        <w:t xml:space="preserve">New York, NY, </w:t>
      </w:r>
      <w:proofErr w:type="spellStart"/>
      <w:r w:rsidRPr="00CC7F76">
        <w:rPr>
          <w:rFonts w:ascii="Trebuchet MS" w:hAnsi="Trebuchet MS" w:cs="Trebuchet MS"/>
        </w:rPr>
        <w:t>Ecco</w:t>
      </w:r>
      <w:proofErr w:type="spellEnd"/>
      <w:r w:rsidRPr="00CC7F76">
        <w:rPr>
          <w:rFonts w:ascii="Trebuchet MS" w:hAnsi="Trebuchet MS" w:cs="Trebuchet MS"/>
        </w:rPr>
        <w:t>.</w:t>
      </w:r>
      <w:proofErr w:type="gramEnd"/>
    </w:p>
    <w:p w:rsidR="00FD6520" w:rsidRPr="00CC7F76" w:rsidRDefault="00FD6520" w:rsidP="00CC7F76">
      <w:pPr>
        <w:spacing w:before="100" w:beforeAutospacing="1" w:line="300" w:lineRule="auto"/>
        <w:rPr>
          <w:rFonts w:ascii="Trebuchet MS" w:hAnsi="Trebuchet MS" w:cs="Trebuchet MS"/>
        </w:rPr>
      </w:pPr>
      <w:proofErr w:type="gramStart"/>
      <w:r w:rsidRPr="00CC7F76">
        <w:rPr>
          <w:rFonts w:ascii="Trebuchet MS" w:hAnsi="Trebuchet MS" w:cs="Trebuchet MS"/>
        </w:rPr>
        <w:lastRenderedPageBreak/>
        <w:t xml:space="preserve">Collier, P. and A. </w:t>
      </w:r>
      <w:proofErr w:type="spellStart"/>
      <w:r w:rsidRPr="00CC7F76">
        <w:rPr>
          <w:rFonts w:ascii="Trebuchet MS" w:hAnsi="Trebuchet MS" w:cs="Trebuchet MS"/>
        </w:rPr>
        <w:t>Hoeffler</w:t>
      </w:r>
      <w:proofErr w:type="spellEnd"/>
      <w:r w:rsidRPr="00CC7F76">
        <w:rPr>
          <w:rFonts w:ascii="Trebuchet MS" w:hAnsi="Trebuchet MS" w:cs="Trebuchet MS"/>
        </w:rPr>
        <w:t xml:space="preserve"> (2004).</w:t>
      </w:r>
      <w:proofErr w:type="gramEnd"/>
      <w:r w:rsidRPr="00CC7F76">
        <w:rPr>
          <w:rFonts w:ascii="Trebuchet MS" w:hAnsi="Trebuchet MS" w:cs="Trebuchet MS"/>
        </w:rPr>
        <w:t xml:space="preserve"> </w:t>
      </w:r>
      <w:proofErr w:type="gramStart"/>
      <w:r w:rsidRPr="00CC7F76">
        <w:rPr>
          <w:rFonts w:ascii="Trebuchet MS" w:hAnsi="Trebuchet MS" w:cs="Trebuchet MS"/>
        </w:rPr>
        <w:t xml:space="preserve">Greed and grievance in civil war, Oxford </w:t>
      </w:r>
      <w:proofErr w:type="spellStart"/>
      <w:r w:rsidRPr="00CC7F76">
        <w:rPr>
          <w:rFonts w:ascii="Trebuchet MS" w:hAnsi="Trebuchet MS" w:cs="Trebuchet MS"/>
        </w:rPr>
        <w:t>Univ</w:t>
      </w:r>
      <w:proofErr w:type="spellEnd"/>
      <w:r w:rsidRPr="00CC7F76">
        <w:rPr>
          <w:rFonts w:ascii="Trebuchet MS" w:hAnsi="Trebuchet MS" w:cs="Trebuchet MS"/>
        </w:rPr>
        <w:t xml:space="preserve"> Press.</w:t>
      </w:r>
      <w:proofErr w:type="gramEnd"/>
      <w:r w:rsidRPr="00CC7F76">
        <w:rPr>
          <w:rFonts w:ascii="Trebuchet MS" w:hAnsi="Trebuchet MS" w:cs="Trebuchet MS"/>
        </w:rPr>
        <w:t xml:space="preserve"> 56: 563-595.</w:t>
      </w:r>
    </w:p>
    <w:p w:rsidR="00FD6520" w:rsidRPr="00CC7F76" w:rsidRDefault="00FD6520" w:rsidP="00CC7F76">
      <w:pPr>
        <w:spacing w:before="100" w:beforeAutospacing="1" w:line="300" w:lineRule="auto"/>
        <w:rPr>
          <w:rFonts w:ascii="Trebuchet MS" w:hAnsi="Trebuchet MS" w:cs="Trebuchet MS"/>
        </w:rPr>
      </w:pPr>
      <w:proofErr w:type="gramStart"/>
      <w:r w:rsidRPr="00CC7F76">
        <w:rPr>
          <w:rFonts w:ascii="Trebuchet MS" w:hAnsi="Trebuchet MS" w:cs="Trebuchet MS"/>
        </w:rPr>
        <w:t>Corbin, J. M. and A. L. Strauss (2008).</w:t>
      </w:r>
      <w:proofErr w:type="gramEnd"/>
      <w:r w:rsidRPr="00CC7F76">
        <w:rPr>
          <w:rFonts w:ascii="Trebuchet MS" w:hAnsi="Trebuchet MS" w:cs="Trebuchet MS"/>
        </w:rPr>
        <w:t xml:space="preserve"> Basics of qualitative </w:t>
      </w:r>
      <w:proofErr w:type="gramStart"/>
      <w:r w:rsidRPr="00CC7F76">
        <w:rPr>
          <w:rFonts w:ascii="Trebuchet MS" w:hAnsi="Trebuchet MS" w:cs="Trebuchet MS"/>
        </w:rPr>
        <w:t>research :</w:t>
      </w:r>
      <w:proofErr w:type="gramEnd"/>
      <w:r w:rsidRPr="00CC7F76">
        <w:rPr>
          <w:rFonts w:ascii="Trebuchet MS" w:hAnsi="Trebuchet MS" w:cs="Trebuchet MS"/>
        </w:rPr>
        <w:t xml:space="preserve"> techniques and procedures for developing grounded theory. Los Angeles, Sage Publications, Inc.</w:t>
      </w:r>
    </w:p>
    <w:p w:rsidR="00FD6520" w:rsidRPr="00CC7F76" w:rsidRDefault="00FD6520" w:rsidP="00CC7F76">
      <w:pPr>
        <w:spacing w:before="100" w:beforeAutospacing="1" w:line="300" w:lineRule="auto"/>
        <w:rPr>
          <w:rFonts w:ascii="Trebuchet MS" w:hAnsi="Trebuchet MS" w:cs="Trebuchet MS"/>
        </w:rPr>
      </w:pPr>
      <w:proofErr w:type="gramStart"/>
      <w:r w:rsidRPr="00CC7F76">
        <w:rPr>
          <w:rFonts w:ascii="Trebuchet MS" w:hAnsi="Trebuchet MS" w:cs="Trebuchet MS"/>
        </w:rPr>
        <w:t>Elm, W., M. Cook, et al. (2004).</w:t>
      </w:r>
      <w:proofErr w:type="gramEnd"/>
      <w:r w:rsidRPr="00CC7F76">
        <w:rPr>
          <w:rFonts w:ascii="Trebuchet MS" w:hAnsi="Trebuchet MS" w:cs="Trebuchet MS"/>
        </w:rPr>
        <w:t xml:space="preserve"> </w:t>
      </w:r>
      <w:proofErr w:type="gramStart"/>
      <w:r w:rsidRPr="00CC7F76">
        <w:rPr>
          <w:rFonts w:ascii="Trebuchet MS" w:hAnsi="Trebuchet MS" w:cs="Trebuchet MS"/>
        </w:rPr>
        <w:t>"Designing support for intelligence analysis."</w:t>
      </w:r>
      <w:proofErr w:type="gramEnd"/>
      <w:r w:rsidRPr="00CC7F76">
        <w:rPr>
          <w:rFonts w:ascii="Trebuchet MS" w:hAnsi="Trebuchet MS" w:cs="Trebuchet MS"/>
        </w:rPr>
        <w:t xml:space="preserve"> Proceedings of the Human Factors and Ergonomics Society: 20-24.</w:t>
      </w:r>
    </w:p>
    <w:p w:rsidR="00FD6520" w:rsidRPr="00CC7F76" w:rsidRDefault="00FD6520" w:rsidP="00CC7F76">
      <w:pPr>
        <w:spacing w:before="100" w:beforeAutospacing="1" w:line="300" w:lineRule="auto"/>
        <w:rPr>
          <w:rFonts w:ascii="Trebuchet MS" w:hAnsi="Trebuchet MS" w:cs="Trebuchet MS"/>
        </w:rPr>
      </w:pPr>
      <w:r w:rsidRPr="00CC7F76">
        <w:rPr>
          <w:rFonts w:ascii="Trebuchet MS" w:hAnsi="Trebuchet MS" w:cs="Trebuchet MS"/>
        </w:rPr>
        <w:t xml:space="preserve">Ericsson, K. A. (2006). </w:t>
      </w:r>
      <w:proofErr w:type="gramStart"/>
      <w:r w:rsidRPr="00CC7F76">
        <w:rPr>
          <w:rFonts w:ascii="Trebuchet MS" w:hAnsi="Trebuchet MS" w:cs="Trebuchet MS"/>
        </w:rPr>
        <w:t>The Cambridge handbook of expertise and expert performance.</w:t>
      </w:r>
      <w:proofErr w:type="gramEnd"/>
      <w:r w:rsidRPr="00CC7F76">
        <w:rPr>
          <w:rFonts w:ascii="Trebuchet MS" w:hAnsi="Trebuchet MS" w:cs="Trebuchet MS"/>
        </w:rPr>
        <w:t xml:space="preserve"> </w:t>
      </w:r>
      <w:proofErr w:type="gramStart"/>
      <w:r w:rsidRPr="00CC7F76">
        <w:rPr>
          <w:rFonts w:ascii="Trebuchet MS" w:hAnsi="Trebuchet MS" w:cs="Trebuchet MS"/>
        </w:rPr>
        <w:t>Cambridge; New York, Cambridge University Press.</w:t>
      </w:r>
      <w:proofErr w:type="gramEnd"/>
    </w:p>
    <w:p w:rsidR="00FD6520" w:rsidRPr="00CC7F76" w:rsidRDefault="00FD6520" w:rsidP="00CC7F76">
      <w:pPr>
        <w:spacing w:before="100" w:beforeAutospacing="1" w:line="300" w:lineRule="auto"/>
        <w:rPr>
          <w:rFonts w:ascii="Trebuchet MS" w:hAnsi="Trebuchet MS" w:cs="Trebuchet MS"/>
        </w:rPr>
      </w:pPr>
      <w:r w:rsidRPr="00CC7F76">
        <w:rPr>
          <w:rFonts w:ascii="Trebuchet MS" w:hAnsi="Trebuchet MS" w:cs="Trebuchet MS"/>
        </w:rPr>
        <w:t xml:space="preserve">Ericsson, K. A. (2006). Protocol Analysis and Expert Thought: Concurrent Verbalizations of </w:t>
      </w:r>
      <w:proofErr w:type="spellStart"/>
      <w:r w:rsidRPr="00CC7F76">
        <w:rPr>
          <w:rFonts w:ascii="Trebuchet MS" w:hAnsi="Trebuchet MS" w:cs="Trebuchet MS"/>
        </w:rPr>
        <w:t>Thingking</w:t>
      </w:r>
      <w:proofErr w:type="spellEnd"/>
      <w:r w:rsidRPr="00CC7F76">
        <w:rPr>
          <w:rFonts w:ascii="Trebuchet MS" w:hAnsi="Trebuchet MS" w:cs="Trebuchet MS"/>
        </w:rPr>
        <w:t xml:space="preserve"> during Experts' Performance on Representative Tasks. </w:t>
      </w:r>
      <w:proofErr w:type="gramStart"/>
      <w:r w:rsidRPr="00CC7F76">
        <w:rPr>
          <w:rFonts w:ascii="Trebuchet MS" w:hAnsi="Trebuchet MS" w:cs="Trebuchet MS"/>
        </w:rPr>
        <w:t>The Cambridge Handbook of Expertise and Expert Performance.</w:t>
      </w:r>
      <w:proofErr w:type="gramEnd"/>
      <w:r w:rsidRPr="00CC7F76">
        <w:rPr>
          <w:rFonts w:ascii="Trebuchet MS" w:hAnsi="Trebuchet MS" w:cs="Trebuchet MS"/>
        </w:rPr>
        <w:t xml:space="preserve"> K. A. Ericsson, N. </w:t>
      </w:r>
      <w:proofErr w:type="spellStart"/>
      <w:r w:rsidRPr="00CC7F76">
        <w:rPr>
          <w:rFonts w:ascii="Trebuchet MS" w:hAnsi="Trebuchet MS" w:cs="Trebuchet MS"/>
        </w:rPr>
        <w:t>Charness</w:t>
      </w:r>
      <w:proofErr w:type="spellEnd"/>
      <w:r w:rsidRPr="00CC7F76">
        <w:rPr>
          <w:rFonts w:ascii="Trebuchet MS" w:hAnsi="Trebuchet MS" w:cs="Trebuchet MS"/>
        </w:rPr>
        <w:t xml:space="preserve">, P. J. </w:t>
      </w:r>
      <w:proofErr w:type="spellStart"/>
      <w:r w:rsidRPr="00CC7F76">
        <w:rPr>
          <w:rFonts w:ascii="Trebuchet MS" w:hAnsi="Trebuchet MS" w:cs="Trebuchet MS"/>
        </w:rPr>
        <w:t>Feltovich</w:t>
      </w:r>
      <w:proofErr w:type="spellEnd"/>
      <w:r w:rsidRPr="00CC7F76">
        <w:rPr>
          <w:rFonts w:ascii="Trebuchet MS" w:hAnsi="Trebuchet MS" w:cs="Trebuchet MS"/>
        </w:rPr>
        <w:t xml:space="preserve"> and R. R. Hoffman, Cambridge University Press: 223 - 242.</w:t>
      </w:r>
    </w:p>
    <w:p w:rsidR="00FD6520" w:rsidRPr="00CC7F76" w:rsidRDefault="00FD6520" w:rsidP="00CC7F76">
      <w:pPr>
        <w:spacing w:before="100" w:beforeAutospacing="1" w:line="300" w:lineRule="auto"/>
        <w:rPr>
          <w:rFonts w:ascii="Trebuchet MS" w:hAnsi="Trebuchet MS" w:cs="Trebuchet MS"/>
        </w:rPr>
      </w:pPr>
      <w:proofErr w:type="spellStart"/>
      <w:proofErr w:type="gramStart"/>
      <w:r w:rsidRPr="00CC7F76">
        <w:rPr>
          <w:rFonts w:ascii="Trebuchet MS" w:hAnsi="Trebuchet MS" w:cs="Trebuchet MS"/>
        </w:rPr>
        <w:t>Fearon</w:t>
      </w:r>
      <w:proofErr w:type="spellEnd"/>
      <w:r w:rsidRPr="00CC7F76">
        <w:rPr>
          <w:rFonts w:ascii="Trebuchet MS" w:hAnsi="Trebuchet MS" w:cs="Trebuchet MS"/>
        </w:rPr>
        <w:t xml:space="preserve">, J. and D. </w:t>
      </w:r>
      <w:proofErr w:type="spellStart"/>
      <w:r w:rsidRPr="00CC7F76">
        <w:rPr>
          <w:rFonts w:ascii="Trebuchet MS" w:hAnsi="Trebuchet MS" w:cs="Trebuchet MS"/>
        </w:rPr>
        <w:t>Laitin</w:t>
      </w:r>
      <w:proofErr w:type="spellEnd"/>
      <w:r w:rsidRPr="00CC7F76">
        <w:rPr>
          <w:rFonts w:ascii="Trebuchet MS" w:hAnsi="Trebuchet MS" w:cs="Trebuchet MS"/>
        </w:rPr>
        <w:t xml:space="preserve"> (2003).</w:t>
      </w:r>
      <w:proofErr w:type="gramEnd"/>
      <w:r w:rsidRPr="00CC7F76">
        <w:rPr>
          <w:rFonts w:ascii="Trebuchet MS" w:hAnsi="Trebuchet MS" w:cs="Trebuchet MS"/>
        </w:rPr>
        <w:t xml:space="preserve"> </w:t>
      </w:r>
      <w:proofErr w:type="gramStart"/>
      <w:r w:rsidRPr="00CC7F76">
        <w:rPr>
          <w:rFonts w:ascii="Trebuchet MS" w:hAnsi="Trebuchet MS" w:cs="Trebuchet MS"/>
        </w:rPr>
        <w:t>"Ethnicity, insurgency, and civil war."</w:t>
      </w:r>
      <w:proofErr w:type="gramEnd"/>
      <w:r w:rsidRPr="00CC7F76">
        <w:rPr>
          <w:rFonts w:ascii="Trebuchet MS" w:hAnsi="Trebuchet MS" w:cs="Trebuchet MS"/>
        </w:rPr>
        <w:t xml:space="preserve"> American Political Science Review 97(01): 75-90.</w:t>
      </w:r>
    </w:p>
    <w:p w:rsidR="00FD6520" w:rsidRPr="00CC7F76" w:rsidRDefault="00FD6520" w:rsidP="00CC7F76">
      <w:pPr>
        <w:spacing w:before="100" w:beforeAutospacing="1" w:line="300" w:lineRule="auto"/>
        <w:rPr>
          <w:rFonts w:ascii="Trebuchet MS" w:hAnsi="Trebuchet MS" w:cs="Trebuchet MS"/>
        </w:rPr>
      </w:pPr>
      <w:proofErr w:type="spellStart"/>
      <w:proofErr w:type="gramStart"/>
      <w:r w:rsidRPr="00CC7F76">
        <w:rPr>
          <w:rFonts w:ascii="Trebuchet MS" w:hAnsi="Trebuchet MS" w:cs="Trebuchet MS"/>
        </w:rPr>
        <w:t>Gobet</w:t>
      </w:r>
      <w:proofErr w:type="spellEnd"/>
      <w:r w:rsidRPr="00CC7F76">
        <w:rPr>
          <w:rFonts w:ascii="Trebuchet MS" w:hAnsi="Trebuchet MS" w:cs="Trebuchet MS"/>
        </w:rPr>
        <w:t xml:space="preserve">, F. and N. </w:t>
      </w:r>
      <w:proofErr w:type="spellStart"/>
      <w:r w:rsidRPr="00CC7F76">
        <w:rPr>
          <w:rFonts w:ascii="Trebuchet MS" w:hAnsi="Trebuchet MS" w:cs="Trebuchet MS"/>
        </w:rPr>
        <w:t>Charness</w:t>
      </w:r>
      <w:proofErr w:type="spellEnd"/>
      <w:r w:rsidRPr="00CC7F76">
        <w:rPr>
          <w:rFonts w:ascii="Trebuchet MS" w:hAnsi="Trebuchet MS" w:cs="Trebuchet MS"/>
        </w:rPr>
        <w:t xml:space="preserve"> (2006).</w:t>
      </w:r>
      <w:proofErr w:type="gramEnd"/>
      <w:r w:rsidRPr="00CC7F76">
        <w:rPr>
          <w:rFonts w:ascii="Trebuchet MS" w:hAnsi="Trebuchet MS" w:cs="Trebuchet MS"/>
        </w:rPr>
        <w:t xml:space="preserve"> </w:t>
      </w:r>
      <w:proofErr w:type="gramStart"/>
      <w:r w:rsidRPr="00CC7F76">
        <w:rPr>
          <w:rFonts w:ascii="Trebuchet MS" w:hAnsi="Trebuchet MS" w:cs="Trebuchet MS"/>
        </w:rPr>
        <w:t>Expertise in Chess.</w:t>
      </w:r>
      <w:proofErr w:type="gramEnd"/>
      <w:r w:rsidRPr="00CC7F76">
        <w:rPr>
          <w:rFonts w:ascii="Trebuchet MS" w:hAnsi="Trebuchet MS" w:cs="Trebuchet MS"/>
        </w:rPr>
        <w:t xml:space="preserve"> </w:t>
      </w:r>
      <w:proofErr w:type="gramStart"/>
      <w:r w:rsidRPr="00CC7F76">
        <w:rPr>
          <w:rFonts w:ascii="Trebuchet MS" w:hAnsi="Trebuchet MS" w:cs="Trebuchet MS"/>
        </w:rPr>
        <w:t>The Cambridge Handbook on Expertise and Expert Performance.</w:t>
      </w:r>
      <w:proofErr w:type="gramEnd"/>
      <w:r w:rsidRPr="00CC7F76">
        <w:rPr>
          <w:rFonts w:ascii="Trebuchet MS" w:hAnsi="Trebuchet MS" w:cs="Trebuchet MS"/>
        </w:rPr>
        <w:t xml:space="preserve"> K. A. Ericsson, N. </w:t>
      </w:r>
      <w:proofErr w:type="spellStart"/>
      <w:r w:rsidRPr="00CC7F76">
        <w:rPr>
          <w:rFonts w:ascii="Trebuchet MS" w:hAnsi="Trebuchet MS" w:cs="Trebuchet MS"/>
        </w:rPr>
        <w:t>Charness</w:t>
      </w:r>
      <w:proofErr w:type="spellEnd"/>
      <w:r w:rsidRPr="00CC7F76">
        <w:rPr>
          <w:rFonts w:ascii="Trebuchet MS" w:hAnsi="Trebuchet MS" w:cs="Trebuchet MS"/>
        </w:rPr>
        <w:t xml:space="preserve">, P. J. </w:t>
      </w:r>
      <w:proofErr w:type="spellStart"/>
      <w:r w:rsidRPr="00CC7F76">
        <w:rPr>
          <w:rFonts w:ascii="Trebuchet MS" w:hAnsi="Trebuchet MS" w:cs="Trebuchet MS"/>
        </w:rPr>
        <w:t>Feltovich</w:t>
      </w:r>
      <w:proofErr w:type="spellEnd"/>
      <w:r w:rsidRPr="00CC7F76">
        <w:rPr>
          <w:rFonts w:ascii="Trebuchet MS" w:hAnsi="Trebuchet MS" w:cs="Trebuchet MS"/>
        </w:rPr>
        <w:t xml:space="preserve"> and R. R. Hoffman, Cambridge University Press: 523-538.</w:t>
      </w:r>
    </w:p>
    <w:p w:rsidR="00FD6520" w:rsidRPr="00CC7F76" w:rsidRDefault="00FD6520" w:rsidP="00CC7F76">
      <w:pPr>
        <w:spacing w:before="100" w:beforeAutospacing="1" w:line="300" w:lineRule="auto"/>
        <w:rPr>
          <w:rFonts w:ascii="Trebuchet MS" w:hAnsi="Trebuchet MS" w:cs="Trebuchet MS"/>
        </w:rPr>
      </w:pPr>
      <w:proofErr w:type="spellStart"/>
      <w:proofErr w:type="gramStart"/>
      <w:r w:rsidRPr="00CC7F76">
        <w:rPr>
          <w:rFonts w:ascii="Trebuchet MS" w:hAnsi="Trebuchet MS" w:cs="Trebuchet MS"/>
        </w:rPr>
        <w:t>Heuer</w:t>
      </w:r>
      <w:proofErr w:type="spellEnd"/>
      <w:r w:rsidRPr="00CC7F76">
        <w:rPr>
          <w:rFonts w:ascii="Trebuchet MS" w:hAnsi="Trebuchet MS" w:cs="Trebuchet MS"/>
        </w:rPr>
        <w:t>, R. J. and I. Center for the Study of (1999).</w:t>
      </w:r>
      <w:proofErr w:type="gramEnd"/>
      <w:r w:rsidRPr="00CC7F76">
        <w:rPr>
          <w:rFonts w:ascii="Trebuchet MS" w:hAnsi="Trebuchet MS" w:cs="Trebuchet MS"/>
        </w:rPr>
        <w:t xml:space="preserve"> </w:t>
      </w:r>
      <w:proofErr w:type="gramStart"/>
      <w:r w:rsidRPr="00CC7F76">
        <w:rPr>
          <w:rFonts w:ascii="Trebuchet MS" w:hAnsi="Trebuchet MS" w:cs="Trebuchet MS"/>
        </w:rPr>
        <w:t>Psychology of intelligence analysis.</w:t>
      </w:r>
      <w:proofErr w:type="gramEnd"/>
      <w:r w:rsidRPr="00CC7F76">
        <w:rPr>
          <w:rFonts w:ascii="Trebuchet MS" w:hAnsi="Trebuchet MS" w:cs="Trebuchet MS"/>
        </w:rPr>
        <w:t xml:space="preserve"> </w:t>
      </w:r>
      <w:proofErr w:type="gramStart"/>
      <w:r w:rsidRPr="00CC7F76">
        <w:rPr>
          <w:rFonts w:ascii="Trebuchet MS" w:hAnsi="Trebuchet MS" w:cs="Trebuchet MS"/>
        </w:rPr>
        <w:t>Washington, D.C., Center for the Study of Intelligence, Central Intelligence Agency.</w:t>
      </w:r>
      <w:proofErr w:type="gramEnd"/>
    </w:p>
    <w:p w:rsidR="00FD6520" w:rsidRPr="00CC7F76" w:rsidRDefault="00FD6520" w:rsidP="00CC7F76">
      <w:pPr>
        <w:spacing w:before="100" w:beforeAutospacing="1" w:line="300" w:lineRule="auto"/>
        <w:rPr>
          <w:rFonts w:ascii="Trebuchet MS" w:hAnsi="Trebuchet MS" w:cs="Trebuchet MS"/>
        </w:rPr>
      </w:pPr>
      <w:r w:rsidRPr="00CC7F76">
        <w:rPr>
          <w:rFonts w:ascii="Trebuchet MS" w:hAnsi="Trebuchet MS" w:cs="Trebuchet MS"/>
        </w:rPr>
        <w:t xml:space="preserve">Hoffman, R. R., N. R. </w:t>
      </w:r>
      <w:proofErr w:type="spellStart"/>
      <w:r w:rsidRPr="00CC7F76">
        <w:rPr>
          <w:rFonts w:ascii="Trebuchet MS" w:hAnsi="Trebuchet MS" w:cs="Trebuchet MS"/>
        </w:rPr>
        <w:t>Shadbolt</w:t>
      </w:r>
      <w:proofErr w:type="spellEnd"/>
      <w:r w:rsidRPr="00CC7F76">
        <w:rPr>
          <w:rFonts w:ascii="Trebuchet MS" w:hAnsi="Trebuchet MS" w:cs="Trebuchet MS"/>
        </w:rPr>
        <w:t xml:space="preserve">, et al. (1995). </w:t>
      </w:r>
      <w:proofErr w:type="gramStart"/>
      <w:r w:rsidRPr="00CC7F76">
        <w:rPr>
          <w:rFonts w:ascii="Trebuchet MS" w:hAnsi="Trebuchet MS" w:cs="Trebuchet MS"/>
        </w:rPr>
        <w:t>"Eliciting Knowledge from Experts: A Methodological Analysis."</w:t>
      </w:r>
      <w:proofErr w:type="gramEnd"/>
      <w:r w:rsidRPr="00CC7F76">
        <w:rPr>
          <w:rFonts w:ascii="Trebuchet MS" w:hAnsi="Trebuchet MS" w:cs="Trebuchet MS"/>
        </w:rPr>
        <w:t xml:space="preserve"> Organizational Behavior and Human Decision Processes 62(2): 129-158.</w:t>
      </w:r>
    </w:p>
    <w:p w:rsidR="00FD6520" w:rsidRPr="00CC7F76" w:rsidRDefault="00FD6520" w:rsidP="00CC7F76">
      <w:pPr>
        <w:spacing w:before="100" w:beforeAutospacing="1" w:line="300" w:lineRule="auto"/>
        <w:rPr>
          <w:rFonts w:ascii="Trebuchet MS" w:hAnsi="Trebuchet MS" w:cs="Trebuchet MS"/>
        </w:rPr>
      </w:pPr>
      <w:r w:rsidRPr="00CC7F76">
        <w:rPr>
          <w:rFonts w:ascii="Trebuchet MS" w:hAnsi="Trebuchet MS" w:cs="Trebuchet MS"/>
        </w:rPr>
        <w:t xml:space="preserve">Johnston, R. (2003). "Developing </w:t>
      </w:r>
      <w:proofErr w:type="gramStart"/>
      <w:r w:rsidRPr="00CC7F76">
        <w:rPr>
          <w:rFonts w:ascii="Trebuchet MS" w:hAnsi="Trebuchet MS" w:cs="Trebuchet MS"/>
        </w:rPr>
        <w:t>a taxonomy</w:t>
      </w:r>
      <w:proofErr w:type="gramEnd"/>
      <w:r w:rsidRPr="00CC7F76">
        <w:rPr>
          <w:rFonts w:ascii="Trebuchet MS" w:hAnsi="Trebuchet MS" w:cs="Trebuchet MS"/>
        </w:rPr>
        <w:t xml:space="preserve"> of intelligence analysis variables." </w:t>
      </w:r>
      <w:proofErr w:type="gramStart"/>
      <w:r w:rsidRPr="00CC7F76">
        <w:rPr>
          <w:rFonts w:ascii="Trebuchet MS" w:hAnsi="Trebuchet MS" w:cs="Trebuchet MS"/>
        </w:rPr>
        <w:t xml:space="preserve">Studies in Intelligence </w:t>
      </w:r>
      <w:proofErr w:type="spellStart"/>
      <w:r w:rsidRPr="00CC7F76">
        <w:rPr>
          <w:rFonts w:ascii="Trebuchet MS" w:hAnsi="Trebuchet MS" w:cs="Trebuchet MS"/>
        </w:rPr>
        <w:t>Vol</w:t>
      </w:r>
      <w:proofErr w:type="spellEnd"/>
      <w:r w:rsidRPr="00CC7F76">
        <w:rPr>
          <w:rFonts w:ascii="Trebuchet MS" w:hAnsi="Trebuchet MS" w:cs="Trebuchet MS"/>
        </w:rPr>
        <w:t xml:space="preserve"> 47(Issue 3).</w:t>
      </w:r>
      <w:proofErr w:type="gramEnd"/>
    </w:p>
    <w:p w:rsidR="00FD6520" w:rsidRDefault="00FD6520" w:rsidP="00CC7F76">
      <w:pPr>
        <w:spacing w:before="100" w:beforeAutospacing="1" w:line="300" w:lineRule="auto"/>
        <w:rPr>
          <w:rFonts w:ascii="Trebuchet MS" w:hAnsi="Trebuchet MS" w:cs="Trebuchet MS"/>
        </w:rPr>
      </w:pPr>
      <w:proofErr w:type="gramStart"/>
      <w:r w:rsidRPr="00CC7F76">
        <w:rPr>
          <w:rFonts w:ascii="Trebuchet MS" w:hAnsi="Trebuchet MS" w:cs="Trebuchet MS"/>
        </w:rPr>
        <w:t>Johnston, R. and I. Center for the Study of (2005).</w:t>
      </w:r>
      <w:proofErr w:type="gramEnd"/>
      <w:r w:rsidRPr="00CC7F76">
        <w:rPr>
          <w:rFonts w:ascii="Trebuchet MS" w:hAnsi="Trebuchet MS" w:cs="Trebuchet MS"/>
        </w:rPr>
        <w:t xml:space="preserve"> Analytic culture in the US intelligence </w:t>
      </w:r>
      <w:proofErr w:type="gramStart"/>
      <w:r w:rsidRPr="00CC7F76">
        <w:rPr>
          <w:rFonts w:ascii="Trebuchet MS" w:hAnsi="Trebuchet MS" w:cs="Trebuchet MS"/>
        </w:rPr>
        <w:t>community :</w:t>
      </w:r>
      <w:proofErr w:type="gramEnd"/>
      <w:r w:rsidRPr="00CC7F76">
        <w:rPr>
          <w:rFonts w:ascii="Trebuchet MS" w:hAnsi="Trebuchet MS" w:cs="Trebuchet MS"/>
        </w:rPr>
        <w:t xml:space="preserve"> an ethnographic study. Washington, D.C., Center for the Study of Intelligence, Central Intelligence </w:t>
      </w:r>
      <w:proofErr w:type="gramStart"/>
      <w:r w:rsidRPr="00CC7F76">
        <w:rPr>
          <w:rFonts w:ascii="Trebuchet MS" w:hAnsi="Trebuchet MS" w:cs="Trebuchet MS"/>
        </w:rPr>
        <w:t>Agency :</w:t>
      </w:r>
      <w:proofErr w:type="gramEnd"/>
      <w:r w:rsidRPr="00CC7F76">
        <w:rPr>
          <w:rFonts w:ascii="Trebuchet MS" w:hAnsi="Trebuchet MS" w:cs="Trebuchet MS"/>
        </w:rPr>
        <w:t xml:space="preserve"> [U.S. G.P.O, Supt. of Docs., distributor].</w:t>
      </w:r>
    </w:p>
    <w:p w:rsidR="00FD6520" w:rsidRPr="00CC7F76" w:rsidRDefault="00FD6520" w:rsidP="00CC7F76">
      <w:pPr>
        <w:spacing w:before="100" w:beforeAutospacing="1" w:line="300" w:lineRule="auto"/>
        <w:rPr>
          <w:rFonts w:ascii="Trebuchet MS" w:hAnsi="Trebuchet MS" w:cs="Trebuchet MS"/>
        </w:rPr>
      </w:pPr>
      <w:r w:rsidRPr="00CC7F76">
        <w:rPr>
          <w:rFonts w:ascii="Trebuchet MS" w:hAnsi="Trebuchet MS" w:cs="Trebuchet MS"/>
        </w:rPr>
        <w:lastRenderedPageBreak/>
        <w:t xml:space="preserve">Katter, R. V., C. A. Montgomery, et al. (1979). "Human Processes in Intelligence Analysis: </w:t>
      </w:r>
      <w:proofErr w:type="gramStart"/>
      <w:r w:rsidRPr="00CC7F76">
        <w:rPr>
          <w:rFonts w:ascii="Trebuchet MS" w:hAnsi="Trebuchet MS" w:cs="Trebuchet MS"/>
        </w:rPr>
        <w:t>Phase</w:t>
      </w:r>
      <w:proofErr w:type="gramEnd"/>
      <w:r w:rsidRPr="00CC7F76">
        <w:rPr>
          <w:rFonts w:ascii="Trebuchet MS" w:hAnsi="Trebuchet MS" w:cs="Trebuchet MS"/>
        </w:rPr>
        <w:t xml:space="preserve"> I Overview." </w:t>
      </w:r>
      <w:proofErr w:type="gramStart"/>
      <w:r w:rsidRPr="00CC7F76">
        <w:rPr>
          <w:rFonts w:ascii="Trebuchet MS" w:hAnsi="Trebuchet MS" w:cs="Trebuchet MS"/>
        </w:rPr>
        <w:t>Retrieved April 09, 2009, from http://handle.dtic.mil/100.2/ADA086503.</w:t>
      </w:r>
      <w:proofErr w:type="gramEnd"/>
    </w:p>
    <w:p w:rsidR="00FD6520" w:rsidRPr="00CC7F76" w:rsidRDefault="00FD6520" w:rsidP="00CC7F76">
      <w:pPr>
        <w:spacing w:before="100" w:beforeAutospacing="1" w:line="300" w:lineRule="auto"/>
        <w:rPr>
          <w:rFonts w:ascii="Trebuchet MS" w:hAnsi="Trebuchet MS" w:cs="Trebuchet MS"/>
        </w:rPr>
      </w:pPr>
      <w:proofErr w:type="spellStart"/>
      <w:r w:rsidRPr="00CC7F76">
        <w:rPr>
          <w:rFonts w:ascii="Trebuchet MS" w:hAnsi="Trebuchet MS" w:cs="Trebuchet MS"/>
        </w:rPr>
        <w:t>Krathwohl</w:t>
      </w:r>
      <w:proofErr w:type="spellEnd"/>
      <w:r w:rsidRPr="00CC7F76">
        <w:rPr>
          <w:rFonts w:ascii="Trebuchet MS" w:hAnsi="Trebuchet MS" w:cs="Trebuchet MS"/>
        </w:rPr>
        <w:t>, D. (2002). "A revision of Bloom's taxonomy: An overview." Theory into practice: 212-218.</w:t>
      </w:r>
    </w:p>
    <w:p w:rsidR="00FD6520" w:rsidRPr="00CC7F76" w:rsidRDefault="00FD6520" w:rsidP="00CC7F76">
      <w:pPr>
        <w:spacing w:before="100" w:beforeAutospacing="1" w:line="300" w:lineRule="auto"/>
        <w:rPr>
          <w:rFonts w:ascii="Trebuchet MS" w:hAnsi="Trebuchet MS" w:cs="Trebuchet MS"/>
        </w:rPr>
      </w:pPr>
      <w:proofErr w:type="gramStart"/>
      <w:r w:rsidRPr="00CC7F76">
        <w:rPr>
          <w:rFonts w:ascii="Trebuchet MS" w:hAnsi="Trebuchet MS" w:cs="Trebuchet MS"/>
        </w:rPr>
        <w:t>Lefebvre, S. (2004).</w:t>
      </w:r>
      <w:proofErr w:type="gramEnd"/>
      <w:r w:rsidRPr="00CC7F76">
        <w:rPr>
          <w:rFonts w:ascii="Trebuchet MS" w:hAnsi="Trebuchet MS" w:cs="Trebuchet MS"/>
        </w:rPr>
        <w:t xml:space="preserve"> </w:t>
      </w:r>
      <w:proofErr w:type="gramStart"/>
      <w:r w:rsidRPr="00CC7F76">
        <w:rPr>
          <w:rFonts w:ascii="Trebuchet MS" w:hAnsi="Trebuchet MS" w:cs="Trebuchet MS"/>
        </w:rPr>
        <w:t>"A look at intelligence analysis."</w:t>
      </w:r>
      <w:proofErr w:type="gramEnd"/>
      <w:r w:rsidRPr="00CC7F76">
        <w:rPr>
          <w:rFonts w:ascii="Trebuchet MS" w:hAnsi="Trebuchet MS" w:cs="Trebuchet MS"/>
        </w:rPr>
        <w:t xml:space="preserve"> International Journal of Intelligence and </w:t>
      </w:r>
      <w:proofErr w:type="spellStart"/>
      <w:r w:rsidRPr="00CC7F76">
        <w:rPr>
          <w:rFonts w:ascii="Trebuchet MS" w:hAnsi="Trebuchet MS" w:cs="Trebuchet MS"/>
        </w:rPr>
        <w:t>CounterIntelligence</w:t>
      </w:r>
      <w:proofErr w:type="spellEnd"/>
      <w:r w:rsidRPr="00CC7F76">
        <w:rPr>
          <w:rFonts w:ascii="Trebuchet MS" w:hAnsi="Trebuchet MS" w:cs="Trebuchet MS"/>
        </w:rPr>
        <w:t xml:space="preserve"> Volume 17(Issue 2): 231-264.</w:t>
      </w:r>
    </w:p>
    <w:p w:rsidR="00FD6520" w:rsidRPr="00CC7F76" w:rsidRDefault="00FD6520" w:rsidP="00CC7F76">
      <w:pPr>
        <w:spacing w:before="100" w:beforeAutospacing="1" w:line="300" w:lineRule="auto"/>
        <w:rPr>
          <w:rFonts w:ascii="Trebuchet MS" w:hAnsi="Trebuchet MS" w:cs="Trebuchet MS"/>
        </w:rPr>
      </w:pPr>
      <w:proofErr w:type="spellStart"/>
      <w:r w:rsidRPr="00CC7F76">
        <w:rPr>
          <w:rFonts w:ascii="Trebuchet MS" w:hAnsi="Trebuchet MS" w:cs="Trebuchet MS"/>
        </w:rPr>
        <w:t>Lingard</w:t>
      </w:r>
      <w:proofErr w:type="spellEnd"/>
      <w:r w:rsidRPr="00CC7F76">
        <w:rPr>
          <w:rFonts w:ascii="Trebuchet MS" w:hAnsi="Trebuchet MS" w:cs="Trebuchet MS"/>
        </w:rPr>
        <w:t xml:space="preserve">, L., M. Albert, et al. (2008). </w:t>
      </w:r>
      <w:proofErr w:type="gramStart"/>
      <w:r w:rsidRPr="00CC7F76">
        <w:rPr>
          <w:rFonts w:ascii="Trebuchet MS" w:hAnsi="Trebuchet MS" w:cs="Trebuchet MS"/>
        </w:rPr>
        <w:t>"Grounded theory, mixed methods, and action research."</w:t>
      </w:r>
      <w:proofErr w:type="gramEnd"/>
      <w:r w:rsidRPr="00CC7F76">
        <w:rPr>
          <w:rFonts w:ascii="Trebuchet MS" w:hAnsi="Trebuchet MS" w:cs="Trebuchet MS"/>
        </w:rPr>
        <w:t xml:space="preserve"> BMJ (Clinical research </w:t>
      </w:r>
      <w:proofErr w:type="gramStart"/>
      <w:r w:rsidRPr="00CC7F76">
        <w:rPr>
          <w:rFonts w:ascii="Trebuchet MS" w:hAnsi="Trebuchet MS" w:cs="Trebuchet MS"/>
        </w:rPr>
        <w:t>ed</w:t>
      </w:r>
      <w:proofErr w:type="gramEnd"/>
      <w:r w:rsidRPr="00CC7F76">
        <w:rPr>
          <w:rFonts w:ascii="Trebuchet MS" w:hAnsi="Trebuchet MS" w:cs="Trebuchet MS"/>
        </w:rPr>
        <w:t>.) 337.</w:t>
      </w:r>
    </w:p>
    <w:p w:rsidR="00FD6520" w:rsidRPr="00CC7F76" w:rsidRDefault="00FD6520" w:rsidP="00CC7F76">
      <w:pPr>
        <w:spacing w:before="100" w:beforeAutospacing="1" w:line="300" w:lineRule="auto"/>
        <w:rPr>
          <w:rFonts w:ascii="Trebuchet MS" w:hAnsi="Trebuchet MS" w:cs="Trebuchet MS"/>
        </w:rPr>
      </w:pPr>
      <w:proofErr w:type="spellStart"/>
      <w:r w:rsidRPr="00CC7F76">
        <w:rPr>
          <w:rFonts w:ascii="Trebuchet MS" w:hAnsi="Trebuchet MS" w:cs="Trebuchet MS"/>
        </w:rPr>
        <w:t>Lowenthal</w:t>
      </w:r>
      <w:proofErr w:type="spellEnd"/>
      <w:r w:rsidRPr="00CC7F76">
        <w:rPr>
          <w:rFonts w:ascii="Trebuchet MS" w:hAnsi="Trebuchet MS" w:cs="Trebuchet MS"/>
        </w:rPr>
        <w:t xml:space="preserve">, M. M. (2000). </w:t>
      </w:r>
      <w:proofErr w:type="gramStart"/>
      <w:r w:rsidRPr="00CC7F76">
        <w:rPr>
          <w:rFonts w:ascii="Trebuchet MS" w:hAnsi="Trebuchet MS" w:cs="Trebuchet MS"/>
        </w:rPr>
        <w:t>Intelligence :</w:t>
      </w:r>
      <w:proofErr w:type="gramEnd"/>
      <w:r w:rsidRPr="00CC7F76">
        <w:rPr>
          <w:rFonts w:ascii="Trebuchet MS" w:hAnsi="Trebuchet MS" w:cs="Trebuchet MS"/>
        </w:rPr>
        <w:t xml:space="preserve"> from secrets to policy. </w:t>
      </w:r>
      <w:proofErr w:type="gramStart"/>
      <w:r w:rsidRPr="00CC7F76">
        <w:rPr>
          <w:rFonts w:ascii="Trebuchet MS" w:hAnsi="Trebuchet MS" w:cs="Trebuchet MS"/>
        </w:rPr>
        <w:t>Washington, DC, CQ Press.</w:t>
      </w:r>
      <w:proofErr w:type="gramEnd"/>
    </w:p>
    <w:p w:rsidR="00FD6520" w:rsidRPr="00CC7F76" w:rsidRDefault="00FD6520" w:rsidP="00CC7F76">
      <w:pPr>
        <w:spacing w:before="100" w:beforeAutospacing="1" w:line="300" w:lineRule="auto"/>
        <w:rPr>
          <w:rFonts w:ascii="Trebuchet MS" w:hAnsi="Trebuchet MS" w:cs="Trebuchet MS"/>
        </w:rPr>
      </w:pPr>
      <w:proofErr w:type="spellStart"/>
      <w:proofErr w:type="gramStart"/>
      <w:r w:rsidRPr="00CC7F76">
        <w:rPr>
          <w:rFonts w:ascii="Trebuchet MS" w:hAnsi="Trebuchet MS" w:cs="Trebuchet MS"/>
        </w:rPr>
        <w:t>MacNealy</w:t>
      </w:r>
      <w:proofErr w:type="spellEnd"/>
      <w:r w:rsidRPr="00CC7F76">
        <w:rPr>
          <w:rFonts w:ascii="Trebuchet MS" w:hAnsi="Trebuchet MS" w:cs="Trebuchet MS"/>
        </w:rPr>
        <w:t>, M. (1997).</w:t>
      </w:r>
      <w:proofErr w:type="gramEnd"/>
      <w:r w:rsidRPr="00CC7F76">
        <w:rPr>
          <w:rFonts w:ascii="Trebuchet MS" w:hAnsi="Trebuchet MS" w:cs="Trebuchet MS"/>
        </w:rPr>
        <w:t xml:space="preserve"> </w:t>
      </w:r>
      <w:proofErr w:type="gramStart"/>
      <w:r w:rsidRPr="00CC7F76">
        <w:rPr>
          <w:rFonts w:ascii="Trebuchet MS" w:hAnsi="Trebuchet MS" w:cs="Trebuchet MS"/>
        </w:rPr>
        <w:t>"Toward better case study research."</w:t>
      </w:r>
      <w:proofErr w:type="gramEnd"/>
      <w:r w:rsidRPr="00CC7F76">
        <w:rPr>
          <w:rFonts w:ascii="Trebuchet MS" w:hAnsi="Trebuchet MS" w:cs="Trebuchet MS"/>
        </w:rPr>
        <w:t xml:space="preserve"> IEEE transactions on professional communication 40(3): 182-196.</w:t>
      </w:r>
    </w:p>
    <w:p w:rsidR="00FD6520" w:rsidRPr="00CC7F76" w:rsidRDefault="00FD6520" w:rsidP="00CC7F76">
      <w:pPr>
        <w:spacing w:before="100" w:beforeAutospacing="1" w:line="300" w:lineRule="auto"/>
        <w:rPr>
          <w:rFonts w:ascii="Trebuchet MS" w:hAnsi="Trebuchet MS" w:cs="Trebuchet MS"/>
        </w:rPr>
      </w:pPr>
      <w:proofErr w:type="gramStart"/>
      <w:r w:rsidRPr="00CC7F76">
        <w:rPr>
          <w:rFonts w:ascii="Trebuchet MS" w:hAnsi="Trebuchet MS" w:cs="Trebuchet MS"/>
        </w:rPr>
        <w:t>Madsen, F. and D. Hicks Investigating the Cognitive Effects of Externalization Tools.</w:t>
      </w:r>
      <w:proofErr w:type="gramEnd"/>
    </w:p>
    <w:p w:rsidR="00FD6520" w:rsidRPr="00CC7F76" w:rsidRDefault="00FD6520" w:rsidP="00CC7F76">
      <w:pPr>
        <w:spacing w:before="100" w:beforeAutospacing="1" w:line="300" w:lineRule="auto"/>
        <w:rPr>
          <w:rFonts w:ascii="Trebuchet MS" w:hAnsi="Trebuchet MS" w:cs="Trebuchet MS"/>
        </w:rPr>
      </w:pPr>
      <w:r w:rsidRPr="00CC7F76">
        <w:rPr>
          <w:rFonts w:ascii="Trebuchet MS" w:hAnsi="Trebuchet MS" w:cs="Trebuchet MS"/>
        </w:rPr>
        <w:t xml:space="preserve">Montgomery, C. A., J. R. Thompson, et al. (1979). Cognitive processes in intelligence </w:t>
      </w:r>
      <w:proofErr w:type="gramStart"/>
      <w:r w:rsidRPr="00CC7F76">
        <w:rPr>
          <w:rFonts w:ascii="Trebuchet MS" w:hAnsi="Trebuchet MS" w:cs="Trebuchet MS"/>
        </w:rPr>
        <w:t>analysis :</w:t>
      </w:r>
      <w:proofErr w:type="gramEnd"/>
      <w:r w:rsidRPr="00CC7F76">
        <w:rPr>
          <w:rFonts w:ascii="Trebuchet MS" w:hAnsi="Trebuchet MS" w:cs="Trebuchet MS"/>
        </w:rPr>
        <w:t xml:space="preserve"> a descriptive model and review of the literature. Alexandria, Va., U.S. Army Research Institute for the Behavioral and Social Sciences.</w:t>
      </w:r>
    </w:p>
    <w:p w:rsidR="00FD6520" w:rsidRPr="00CC7F76" w:rsidRDefault="00FD6520" w:rsidP="00CC7F76">
      <w:pPr>
        <w:spacing w:before="100" w:beforeAutospacing="1" w:line="300" w:lineRule="auto"/>
        <w:rPr>
          <w:rFonts w:ascii="Trebuchet MS" w:hAnsi="Trebuchet MS" w:cs="Trebuchet MS"/>
        </w:rPr>
      </w:pPr>
      <w:proofErr w:type="gramStart"/>
      <w:r w:rsidRPr="00CC7F76">
        <w:rPr>
          <w:rFonts w:ascii="Trebuchet MS" w:hAnsi="Trebuchet MS" w:cs="Trebuchet MS"/>
        </w:rPr>
        <w:t xml:space="preserve">Newell, B. and A. </w:t>
      </w:r>
      <w:proofErr w:type="spellStart"/>
      <w:r w:rsidRPr="00CC7F76">
        <w:rPr>
          <w:rFonts w:ascii="Trebuchet MS" w:hAnsi="Trebuchet MS" w:cs="Trebuchet MS"/>
        </w:rPr>
        <w:t>Bröder</w:t>
      </w:r>
      <w:proofErr w:type="spellEnd"/>
      <w:r w:rsidRPr="00CC7F76">
        <w:rPr>
          <w:rFonts w:ascii="Trebuchet MS" w:hAnsi="Trebuchet MS" w:cs="Trebuchet MS"/>
        </w:rPr>
        <w:t xml:space="preserve"> (2008).</w:t>
      </w:r>
      <w:proofErr w:type="gramEnd"/>
      <w:r w:rsidRPr="00CC7F76">
        <w:rPr>
          <w:rFonts w:ascii="Trebuchet MS" w:hAnsi="Trebuchet MS" w:cs="Trebuchet MS"/>
        </w:rPr>
        <w:t xml:space="preserve"> "Cognitive processes, models and metaphors in decision research." Judgment and Decision Making 3(3): 195-204.</w:t>
      </w:r>
    </w:p>
    <w:p w:rsidR="00FD6520" w:rsidRPr="00CC7F76" w:rsidRDefault="00FD6520" w:rsidP="00CC7F76">
      <w:pPr>
        <w:spacing w:before="100" w:beforeAutospacing="1" w:line="300" w:lineRule="auto"/>
        <w:rPr>
          <w:rFonts w:ascii="Trebuchet MS" w:hAnsi="Trebuchet MS" w:cs="Trebuchet MS"/>
        </w:rPr>
      </w:pPr>
      <w:r w:rsidRPr="00CC7F76">
        <w:rPr>
          <w:rFonts w:ascii="Trebuchet MS" w:hAnsi="Trebuchet MS" w:cs="Trebuchet MS"/>
        </w:rPr>
        <w:t xml:space="preserve">Norman, G., K. Eva, et al. (2006). </w:t>
      </w:r>
      <w:proofErr w:type="gramStart"/>
      <w:r w:rsidRPr="00CC7F76">
        <w:rPr>
          <w:rFonts w:ascii="Trebuchet MS" w:hAnsi="Trebuchet MS" w:cs="Trebuchet MS"/>
        </w:rPr>
        <w:t>Expertise in Medicine and Surgery.</w:t>
      </w:r>
      <w:proofErr w:type="gramEnd"/>
      <w:r w:rsidRPr="00CC7F76">
        <w:rPr>
          <w:rFonts w:ascii="Trebuchet MS" w:hAnsi="Trebuchet MS" w:cs="Trebuchet MS"/>
        </w:rPr>
        <w:t xml:space="preserve"> </w:t>
      </w:r>
      <w:proofErr w:type="gramStart"/>
      <w:r w:rsidRPr="00CC7F76">
        <w:rPr>
          <w:rFonts w:ascii="Trebuchet MS" w:hAnsi="Trebuchet MS" w:cs="Trebuchet MS"/>
        </w:rPr>
        <w:t>The Cambridge handbook on Expertise and Expert performance.</w:t>
      </w:r>
      <w:proofErr w:type="gramEnd"/>
      <w:r w:rsidRPr="00CC7F76">
        <w:rPr>
          <w:rFonts w:ascii="Trebuchet MS" w:hAnsi="Trebuchet MS" w:cs="Trebuchet MS"/>
        </w:rPr>
        <w:t xml:space="preserve"> K. A. Ericsson, Cambridge University Press: 339-353.</w:t>
      </w:r>
    </w:p>
    <w:p w:rsidR="00FD6520" w:rsidRDefault="00FD6520" w:rsidP="00CC7F76">
      <w:pPr>
        <w:spacing w:before="100" w:beforeAutospacing="1" w:line="300" w:lineRule="auto"/>
        <w:rPr>
          <w:rFonts w:ascii="Trebuchet MS" w:hAnsi="Trebuchet MS" w:cs="Trebuchet MS"/>
        </w:rPr>
      </w:pPr>
      <w:r w:rsidRPr="00CC7F76">
        <w:rPr>
          <w:rFonts w:ascii="Trebuchet MS" w:hAnsi="Trebuchet MS" w:cs="Trebuchet MS"/>
        </w:rPr>
        <w:t xml:space="preserve">Pace, S. (2004). "A grounded theory of the flow experiences of Web users." </w:t>
      </w:r>
      <w:proofErr w:type="gramStart"/>
      <w:r w:rsidRPr="00CC7F76">
        <w:rPr>
          <w:rFonts w:ascii="Trebuchet MS" w:hAnsi="Trebuchet MS" w:cs="Trebuchet MS"/>
        </w:rPr>
        <w:t>International journal of human-computer studies.</w:t>
      </w:r>
      <w:r w:rsidR="00A44E62">
        <w:rPr>
          <w:rFonts w:ascii="Trebuchet MS" w:hAnsi="Trebuchet MS" w:cs="Trebuchet MS"/>
        </w:rPr>
        <w:t>”</w:t>
      </w:r>
      <w:proofErr w:type="gramEnd"/>
      <w:r w:rsidRPr="00CC7F76">
        <w:rPr>
          <w:rFonts w:ascii="Trebuchet MS" w:hAnsi="Trebuchet MS" w:cs="Trebuchet MS"/>
        </w:rPr>
        <w:t xml:space="preserve"> 60(3): 327.</w:t>
      </w:r>
    </w:p>
    <w:p w:rsidR="00A44E62" w:rsidRPr="00CC7F76" w:rsidRDefault="00A44E62" w:rsidP="00A44E62">
      <w:pPr>
        <w:spacing w:before="100" w:beforeAutospacing="1" w:line="300" w:lineRule="auto"/>
        <w:rPr>
          <w:rFonts w:ascii="Trebuchet MS" w:hAnsi="Trebuchet MS" w:cs="Trebuchet MS"/>
        </w:rPr>
      </w:pPr>
      <w:proofErr w:type="spellStart"/>
      <w:proofErr w:type="gramStart"/>
      <w:r>
        <w:rPr>
          <w:rFonts w:ascii="Trebuchet MS" w:hAnsi="Trebuchet MS" w:cs="Trebuchet MS"/>
        </w:rPr>
        <w:t>Pirolli</w:t>
      </w:r>
      <w:proofErr w:type="spellEnd"/>
      <w:r>
        <w:rPr>
          <w:rFonts w:ascii="Trebuchet MS" w:hAnsi="Trebuchet MS" w:cs="Trebuchet MS"/>
        </w:rPr>
        <w:t>, P. and S. Card. (2005</w:t>
      </w:r>
      <w:r w:rsidRPr="00CC7F76">
        <w:rPr>
          <w:rFonts w:ascii="Trebuchet MS" w:hAnsi="Trebuchet MS" w:cs="Trebuchet MS"/>
        </w:rPr>
        <w:t>).</w:t>
      </w:r>
      <w:proofErr w:type="gramEnd"/>
      <w:r w:rsidRPr="00CC7F76">
        <w:rPr>
          <w:rFonts w:ascii="Trebuchet MS" w:hAnsi="Trebuchet MS" w:cs="Trebuchet MS"/>
        </w:rPr>
        <w:t xml:space="preserve"> </w:t>
      </w:r>
      <w:proofErr w:type="gramStart"/>
      <w:r w:rsidRPr="00CC7F76">
        <w:rPr>
          <w:rFonts w:ascii="Trebuchet MS" w:hAnsi="Trebuchet MS" w:cs="Trebuchet MS"/>
        </w:rPr>
        <w:t>"</w:t>
      </w:r>
      <w:r>
        <w:rPr>
          <w:rFonts w:ascii="Trebuchet MS" w:hAnsi="Trebuchet MS" w:cs="Trebuchet MS"/>
        </w:rPr>
        <w:t xml:space="preserve">The </w:t>
      </w:r>
      <w:proofErr w:type="spellStart"/>
      <w:r>
        <w:rPr>
          <w:rFonts w:ascii="Trebuchet MS" w:hAnsi="Trebuchet MS" w:cs="Trebuchet MS"/>
        </w:rPr>
        <w:t>Sensemaking</w:t>
      </w:r>
      <w:proofErr w:type="spellEnd"/>
      <w:r>
        <w:rPr>
          <w:rFonts w:ascii="Trebuchet MS" w:hAnsi="Trebuchet MS" w:cs="Trebuchet MS"/>
        </w:rPr>
        <w:t xml:space="preserve"> Process and Leverage Points for Analyst Technology as Identified Through Cognitive Task Analysis”</w:t>
      </w:r>
      <w:r w:rsidRPr="00CC7F76">
        <w:rPr>
          <w:rFonts w:ascii="Trebuchet MS" w:hAnsi="Trebuchet MS" w:cs="Trebuchet MS"/>
        </w:rPr>
        <w:t>.</w:t>
      </w:r>
      <w:proofErr w:type="gramEnd"/>
      <w:r w:rsidRPr="00CC7F76">
        <w:rPr>
          <w:rFonts w:ascii="Trebuchet MS" w:hAnsi="Trebuchet MS" w:cs="Trebuchet MS"/>
        </w:rPr>
        <w:t xml:space="preserve"> </w:t>
      </w:r>
      <w:r>
        <w:rPr>
          <w:rFonts w:ascii="Trebuchet MS" w:hAnsi="Trebuchet MS" w:cs="Trebuchet MS"/>
        </w:rPr>
        <w:t xml:space="preserve">In Proceedings of International Conference on Intelligence Analysis, MITRE Corporation, May 2-4, 2005, McLean, VA. </w:t>
      </w:r>
    </w:p>
    <w:p w:rsidR="00A44E62" w:rsidRPr="00CC7F76" w:rsidRDefault="00A44E62" w:rsidP="00CC7F76">
      <w:pPr>
        <w:spacing w:before="100" w:beforeAutospacing="1" w:line="300" w:lineRule="auto"/>
        <w:rPr>
          <w:rFonts w:ascii="Trebuchet MS" w:hAnsi="Trebuchet MS" w:cs="Trebuchet MS"/>
        </w:rPr>
      </w:pPr>
    </w:p>
    <w:p w:rsidR="00FD6520" w:rsidRPr="00CC7F76" w:rsidRDefault="00FD6520" w:rsidP="00CC7F76">
      <w:pPr>
        <w:spacing w:before="100" w:beforeAutospacing="1" w:line="300" w:lineRule="auto"/>
        <w:rPr>
          <w:rFonts w:ascii="Trebuchet MS" w:hAnsi="Trebuchet MS" w:cs="Trebuchet MS"/>
        </w:rPr>
      </w:pPr>
      <w:proofErr w:type="spellStart"/>
      <w:r w:rsidRPr="00CC7F76">
        <w:rPr>
          <w:rFonts w:ascii="Trebuchet MS" w:hAnsi="Trebuchet MS" w:cs="Trebuchet MS"/>
        </w:rPr>
        <w:t>Rotberg</w:t>
      </w:r>
      <w:proofErr w:type="spellEnd"/>
      <w:r w:rsidRPr="00CC7F76">
        <w:rPr>
          <w:rFonts w:ascii="Trebuchet MS" w:hAnsi="Trebuchet MS" w:cs="Trebuchet MS"/>
        </w:rPr>
        <w:t xml:space="preserve">, R. I. (2003). Failed </w:t>
      </w:r>
      <w:proofErr w:type="gramStart"/>
      <w:r w:rsidRPr="00CC7F76">
        <w:rPr>
          <w:rFonts w:ascii="Trebuchet MS" w:hAnsi="Trebuchet MS" w:cs="Trebuchet MS"/>
        </w:rPr>
        <w:t>States,</w:t>
      </w:r>
      <w:proofErr w:type="gramEnd"/>
      <w:r w:rsidRPr="00CC7F76">
        <w:rPr>
          <w:rFonts w:ascii="Trebuchet MS" w:hAnsi="Trebuchet MS" w:cs="Trebuchet MS"/>
        </w:rPr>
        <w:t xml:space="preserve"> Collapsed States, Weak States: Causes and Indicators. </w:t>
      </w:r>
      <w:proofErr w:type="gramStart"/>
      <w:r w:rsidRPr="00CC7F76">
        <w:rPr>
          <w:rFonts w:ascii="Trebuchet MS" w:hAnsi="Trebuchet MS" w:cs="Trebuchet MS"/>
        </w:rPr>
        <w:t>State failure and state weakness in a time of terror.</w:t>
      </w:r>
      <w:proofErr w:type="gramEnd"/>
      <w:r w:rsidRPr="00CC7F76">
        <w:rPr>
          <w:rFonts w:ascii="Trebuchet MS" w:hAnsi="Trebuchet MS" w:cs="Trebuchet MS"/>
        </w:rPr>
        <w:t xml:space="preserve"> Washington, D.C., Brookings Institution Press: 1-26.</w:t>
      </w:r>
    </w:p>
    <w:p w:rsidR="00FD6520" w:rsidRPr="00CC7F76" w:rsidRDefault="00FD6520" w:rsidP="00CC7F76">
      <w:pPr>
        <w:spacing w:before="100" w:beforeAutospacing="1" w:line="300" w:lineRule="auto"/>
        <w:rPr>
          <w:rFonts w:ascii="Trebuchet MS" w:hAnsi="Trebuchet MS" w:cs="Trebuchet MS"/>
        </w:rPr>
      </w:pPr>
      <w:proofErr w:type="spellStart"/>
      <w:r w:rsidRPr="00CC7F76">
        <w:rPr>
          <w:rFonts w:ascii="Trebuchet MS" w:hAnsi="Trebuchet MS" w:cs="Trebuchet MS"/>
        </w:rPr>
        <w:t>Rotberg</w:t>
      </w:r>
      <w:proofErr w:type="spellEnd"/>
      <w:r w:rsidRPr="00CC7F76">
        <w:rPr>
          <w:rFonts w:ascii="Trebuchet MS" w:hAnsi="Trebuchet MS" w:cs="Trebuchet MS"/>
        </w:rPr>
        <w:t xml:space="preserve">, R. I. (2003). </w:t>
      </w:r>
      <w:proofErr w:type="gramStart"/>
      <w:r w:rsidRPr="00CC7F76">
        <w:rPr>
          <w:rFonts w:ascii="Trebuchet MS" w:hAnsi="Trebuchet MS" w:cs="Trebuchet MS"/>
        </w:rPr>
        <w:t>State failure and state weakness in a time of terror.</w:t>
      </w:r>
      <w:proofErr w:type="gramEnd"/>
      <w:r w:rsidRPr="00CC7F76">
        <w:rPr>
          <w:rFonts w:ascii="Trebuchet MS" w:hAnsi="Trebuchet MS" w:cs="Trebuchet MS"/>
        </w:rPr>
        <w:t xml:space="preserve"> Cambridge, Mass.; Washington, D.C., World Peace </w:t>
      </w:r>
      <w:proofErr w:type="gramStart"/>
      <w:r w:rsidRPr="00CC7F76">
        <w:rPr>
          <w:rFonts w:ascii="Trebuchet MS" w:hAnsi="Trebuchet MS" w:cs="Trebuchet MS"/>
        </w:rPr>
        <w:t>Foundation ;</w:t>
      </w:r>
      <w:proofErr w:type="gramEnd"/>
      <w:r w:rsidRPr="00CC7F76">
        <w:rPr>
          <w:rFonts w:ascii="Trebuchet MS" w:hAnsi="Trebuchet MS" w:cs="Trebuchet MS"/>
        </w:rPr>
        <w:t xml:space="preserve"> Brookings Institution Press.</w:t>
      </w:r>
    </w:p>
    <w:p w:rsidR="00FD6520" w:rsidRDefault="00FD6520" w:rsidP="00CC7F76">
      <w:pPr>
        <w:spacing w:before="100" w:beforeAutospacing="1" w:line="300" w:lineRule="auto"/>
        <w:rPr>
          <w:rFonts w:ascii="Trebuchet MS" w:hAnsi="Trebuchet MS" w:cs="Trebuchet MS"/>
        </w:rPr>
      </w:pPr>
      <w:proofErr w:type="gramStart"/>
      <w:r w:rsidRPr="00CC7F76">
        <w:rPr>
          <w:rFonts w:ascii="Trebuchet MS" w:hAnsi="Trebuchet MS" w:cs="Trebuchet MS"/>
        </w:rPr>
        <w:t xml:space="preserve">Sternberg, R. J. and E. L. </w:t>
      </w:r>
      <w:proofErr w:type="spellStart"/>
      <w:r w:rsidRPr="00CC7F76">
        <w:rPr>
          <w:rFonts w:ascii="Trebuchet MS" w:hAnsi="Trebuchet MS" w:cs="Trebuchet MS"/>
        </w:rPr>
        <w:t>Grigorenko</w:t>
      </w:r>
      <w:proofErr w:type="spellEnd"/>
      <w:r w:rsidRPr="00CC7F76">
        <w:rPr>
          <w:rFonts w:ascii="Trebuchet MS" w:hAnsi="Trebuchet MS" w:cs="Trebuchet MS"/>
        </w:rPr>
        <w:t xml:space="preserve"> (2003).</w:t>
      </w:r>
      <w:proofErr w:type="gramEnd"/>
      <w:r w:rsidRPr="00CC7F76">
        <w:rPr>
          <w:rFonts w:ascii="Trebuchet MS" w:hAnsi="Trebuchet MS" w:cs="Trebuchet MS"/>
        </w:rPr>
        <w:t xml:space="preserve"> </w:t>
      </w:r>
      <w:proofErr w:type="gramStart"/>
      <w:r w:rsidRPr="00CC7F76">
        <w:rPr>
          <w:rFonts w:ascii="Trebuchet MS" w:hAnsi="Trebuchet MS" w:cs="Trebuchet MS"/>
        </w:rPr>
        <w:t>The psychology of abilities, competencies, and expertise.</w:t>
      </w:r>
      <w:proofErr w:type="gramEnd"/>
      <w:r w:rsidRPr="00CC7F76">
        <w:rPr>
          <w:rFonts w:ascii="Trebuchet MS" w:hAnsi="Trebuchet MS" w:cs="Trebuchet MS"/>
        </w:rPr>
        <w:t xml:space="preserve"> Cambridge, UK; New York, Cambridge University Press.</w:t>
      </w:r>
    </w:p>
    <w:p w:rsidR="00504E15" w:rsidRPr="00504E15" w:rsidRDefault="006D646F" w:rsidP="00CC7F76">
      <w:pPr>
        <w:spacing w:before="100" w:beforeAutospacing="1" w:line="300" w:lineRule="auto"/>
        <w:rPr>
          <w:rFonts w:ascii="Trebuchet MS" w:hAnsi="Trebuchet MS" w:cs="Trebuchet MS"/>
        </w:rPr>
      </w:pPr>
      <w:proofErr w:type="gramStart"/>
      <w:r w:rsidRPr="006D646F">
        <w:rPr>
          <w:rFonts w:ascii="Trebuchet MS" w:hAnsi="Trebuchet MS"/>
        </w:rPr>
        <w:t>Turner, C. W., Lewis, J. R., and Nielsen, J. (2006).</w:t>
      </w:r>
      <w:proofErr w:type="gramEnd"/>
      <w:r w:rsidRPr="006D646F">
        <w:rPr>
          <w:rFonts w:ascii="Trebuchet MS" w:hAnsi="Trebuchet MS"/>
        </w:rPr>
        <w:t xml:space="preserve"> </w:t>
      </w:r>
      <w:proofErr w:type="gramStart"/>
      <w:r w:rsidRPr="006D646F">
        <w:rPr>
          <w:rFonts w:ascii="Trebuchet MS" w:hAnsi="Trebuchet MS"/>
        </w:rPr>
        <w:t>Determining usability test sample size.</w:t>
      </w:r>
      <w:proofErr w:type="gramEnd"/>
      <w:r w:rsidRPr="006D646F">
        <w:rPr>
          <w:rFonts w:ascii="Trebuchet MS" w:hAnsi="Trebuchet MS"/>
        </w:rPr>
        <w:t xml:space="preserve"> </w:t>
      </w:r>
      <w:proofErr w:type="gramStart"/>
      <w:r w:rsidRPr="006D646F">
        <w:rPr>
          <w:rFonts w:ascii="Trebuchet MS" w:hAnsi="Trebuchet MS"/>
        </w:rPr>
        <w:t xml:space="preserve">In W. </w:t>
      </w:r>
      <w:proofErr w:type="spellStart"/>
      <w:r w:rsidRPr="006D646F">
        <w:rPr>
          <w:rFonts w:ascii="Trebuchet MS" w:hAnsi="Trebuchet MS"/>
        </w:rPr>
        <w:t>Karwowski</w:t>
      </w:r>
      <w:proofErr w:type="spellEnd"/>
      <w:r w:rsidRPr="006D646F">
        <w:rPr>
          <w:rFonts w:ascii="Trebuchet MS" w:hAnsi="Trebuchet MS"/>
        </w:rPr>
        <w:t xml:space="preserve"> (Ed.), International Encyclopedia of Ergonomics and Human Factors (pp. 3084-3088).</w:t>
      </w:r>
      <w:proofErr w:type="gramEnd"/>
      <w:r w:rsidRPr="006D646F">
        <w:rPr>
          <w:rFonts w:ascii="Trebuchet MS" w:hAnsi="Trebuchet MS"/>
        </w:rPr>
        <w:t xml:space="preserve"> Boca Raton, FL: CRC Press.</w:t>
      </w:r>
    </w:p>
    <w:p w:rsidR="00FD6520" w:rsidRDefault="00FD6520" w:rsidP="00CC7F76">
      <w:pPr>
        <w:spacing w:before="100" w:beforeAutospacing="1" w:line="300" w:lineRule="auto"/>
        <w:rPr>
          <w:rFonts w:ascii="Trebuchet MS" w:hAnsi="Trebuchet MS" w:cs="Trebuchet MS"/>
        </w:rPr>
      </w:pPr>
      <w:proofErr w:type="gramStart"/>
      <w:r w:rsidRPr="00CC7F76">
        <w:rPr>
          <w:rFonts w:ascii="Trebuchet MS" w:hAnsi="Trebuchet MS" w:cs="Trebuchet MS"/>
        </w:rPr>
        <w:t>Voss, J. F. and J. Wiley (2006).</w:t>
      </w:r>
      <w:proofErr w:type="gramEnd"/>
      <w:r w:rsidRPr="00CC7F76">
        <w:rPr>
          <w:rFonts w:ascii="Trebuchet MS" w:hAnsi="Trebuchet MS" w:cs="Trebuchet MS"/>
        </w:rPr>
        <w:t xml:space="preserve"> </w:t>
      </w:r>
      <w:proofErr w:type="gramStart"/>
      <w:r w:rsidRPr="00CC7F76">
        <w:rPr>
          <w:rFonts w:ascii="Trebuchet MS" w:hAnsi="Trebuchet MS" w:cs="Trebuchet MS"/>
        </w:rPr>
        <w:t>Expertise in History.</w:t>
      </w:r>
      <w:proofErr w:type="gramEnd"/>
      <w:r w:rsidRPr="00CC7F76">
        <w:rPr>
          <w:rFonts w:ascii="Trebuchet MS" w:hAnsi="Trebuchet MS" w:cs="Trebuchet MS"/>
        </w:rPr>
        <w:t xml:space="preserve"> </w:t>
      </w:r>
      <w:proofErr w:type="gramStart"/>
      <w:r w:rsidRPr="00CC7F76">
        <w:rPr>
          <w:rFonts w:ascii="Trebuchet MS" w:hAnsi="Trebuchet MS" w:cs="Trebuchet MS"/>
        </w:rPr>
        <w:t xml:space="preserve">The Cambridge </w:t>
      </w:r>
      <w:proofErr w:type="spellStart"/>
      <w:r w:rsidRPr="00CC7F76">
        <w:rPr>
          <w:rFonts w:ascii="Trebuchet MS" w:hAnsi="Trebuchet MS" w:cs="Trebuchet MS"/>
        </w:rPr>
        <w:t>hanbook</w:t>
      </w:r>
      <w:proofErr w:type="spellEnd"/>
      <w:r w:rsidRPr="00CC7F76">
        <w:rPr>
          <w:rFonts w:ascii="Trebuchet MS" w:hAnsi="Trebuchet MS" w:cs="Trebuchet MS"/>
        </w:rPr>
        <w:t xml:space="preserve"> of Expertise and Expert Performance.</w:t>
      </w:r>
      <w:proofErr w:type="gramEnd"/>
      <w:r w:rsidRPr="00CC7F76">
        <w:rPr>
          <w:rFonts w:ascii="Trebuchet MS" w:hAnsi="Trebuchet MS" w:cs="Trebuchet MS"/>
        </w:rPr>
        <w:t xml:space="preserve"> K. A. Ericsson, Cambridge University press.</w:t>
      </w:r>
    </w:p>
    <w:p w:rsidR="00FD6520" w:rsidRPr="00CC7F76" w:rsidRDefault="00FD6520" w:rsidP="00CC7F76">
      <w:pPr>
        <w:spacing w:before="100" w:beforeAutospacing="1" w:line="300" w:lineRule="auto"/>
        <w:rPr>
          <w:rFonts w:ascii="Trebuchet MS" w:hAnsi="Trebuchet MS" w:cs="Trebuchet MS"/>
        </w:rPr>
      </w:pPr>
      <w:r w:rsidRPr="00CC7F76">
        <w:rPr>
          <w:rFonts w:ascii="Trebuchet MS" w:hAnsi="Trebuchet MS" w:cs="Trebuchet MS"/>
        </w:rPr>
        <w:t xml:space="preserve">Wilson, J. V. "Project Argus ". </w:t>
      </w:r>
      <w:proofErr w:type="gramStart"/>
      <w:r w:rsidRPr="00CC7F76">
        <w:rPr>
          <w:rFonts w:ascii="Trebuchet MS" w:hAnsi="Trebuchet MS" w:cs="Trebuchet MS"/>
        </w:rPr>
        <w:t>Retrieved April 07, 2009, from http://www.galaxy.gmu.edu/Interface04/ABSTRACTS/abstract_03142.html.</w:t>
      </w:r>
      <w:proofErr w:type="gramEnd"/>
    </w:p>
    <w:p w:rsidR="00FD6520" w:rsidRDefault="00FD6520" w:rsidP="00D50618">
      <w:pPr>
        <w:spacing w:before="100" w:beforeAutospacing="1" w:line="300" w:lineRule="auto"/>
      </w:pPr>
      <w:proofErr w:type="gramStart"/>
      <w:r w:rsidRPr="00CC7F76">
        <w:rPr>
          <w:rFonts w:ascii="Trebuchet MS" w:hAnsi="Trebuchet MS" w:cs="Trebuchet MS"/>
        </w:rPr>
        <w:t xml:space="preserve">Wright, W., D. </w:t>
      </w:r>
      <w:proofErr w:type="spellStart"/>
      <w:r w:rsidRPr="00CC7F76">
        <w:rPr>
          <w:rFonts w:ascii="Trebuchet MS" w:hAnsi="Trebuchet MS" w:cs="Trebuchet MS"/>
        </w:rPr>
        <w:t>Schroh</w:t>
      </w:r>
      <w:proofErr w:type="spellEnd"/>
      <w:r w:rsidRPr="00CC7F76">
        <w:rPr>
          <w:rFonts w:ascii="Trebuchet MS" w:hAnsi="Trebuchet MS" w:cs="Trebuchet MS"/>
        </w:rPr>
        <w:t>, et al. (2006).</w:t>
      </w:r>
      <w:proofErr w:type="gramEnd"/>
      <w:r w:rsidRPr="00CC7F76">
        <w:rPr>
          <w:rFonts w:ascii="Trebuchet MS" w:hAnsi="Trebuchet MS" w:cs="Trebuchet MS"/>
        </w:rPr>
        <w:t xml:space="preserve"> The Sandbox for analysis: concepts and methods. </w:t>
      </w:r>
      <w:proofErr w:type="gramStart"/>
      <w:r w:rsidRPr="00CC7F76">
        <w:rPr>
          <w:rFonts w:ascii="Trebuchet MS" w:hAnsi="Trebuchet MS" w:cs="Trebuchet MS"/>
        </w:rPr>
        <w:t>Proceedings of the SIGCHI conference on Human Factors in computing systems.</w:t>
      </w:r>
      <w:proofErr w:type="gramEnd"/>
      <w:r w:rsidRPr="00CC7F76">
        <w:rPr>
          <w:rFonts w:ascii="Trebuchet MS" w:hAnsi="Trebuchet MS" w:cs="Trebuchet MS"/>
        </w:rPr>
        <w:t xml:space="preserve"> </w:t>
      </w:r>
      <w:proofErr w:type="gramStart"/>
      <w:r w:rsidRPr="00CC7F76">
        <w:rPr>
          <w:rFonts w:ascii="Trebuchet MS" w:hAnsi="Trebuchet MS" w:cs="Trebuchet MS"/>
        </w:rPr>
        <w:t>Montreal, Canada, ACM.</w:t>
      </w:r>
      <w:proofErr w:type="gramEnd"/>
    </w:p>
    <w:sectPr w:rsidR="00FD6520" w:rsidSect="006974EF">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B78" w:rsidRDefault="00A90B78" w:rsidP="00EF520D">
      <w:r>
        <w:separator/>
      </w:r>
    </w:p>
  </w:endnote>
  <w:endnote w:type="continuationSeparator" w:id="0">
    <w:p w:rsidR="00A90B78" w:rsidRDefault="00A90B78" w:rsidP="00EF52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793" w:rsidRDefault="00AF04AC">
    <w:pPr>
      <w:pStyle w:val="Footer"/>
      <w:jc w:val="right"/>
    </w:pPr>
    <w:fldSimple w:instr=" PAGE   \* MERGEFORMAT ">
      <w:r w:rsidR="00A44E62">
        <w:rPr>
          <w:noProof/>
        </w:rPr>
        <w:t>32</w:t>
      </w:r>
    </w:fldSimple>
  </w:p>
  <w:p w:rsidR="00924793" w:rsidRDefault="009247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B78" w:rsidRDefault="00A90B78" w:rsidP="00EF520D">
      <w:r>
        <w:separator/>
      </w:r>
    </w:p>
  </w:footnote>
  <w:footnote w:type="continuationSeparator" w:id="0">
    <w:p w:rsidR="00A90B78" w:rsidRDefault="00A90B78" w:rsidP="00EF520D">
      <w:r>
        <w:continuationSeparator/>
      </w:r>
    </w:p>
  </w:footnote>
  <w:footnote w:id="1">
    <w:p w:rsidR="00924793" w:rsidRDefault="00924793">
      <w:pPr>
        <w:pStyle w:val="FootnoteText"/>
      </w:pPr>
      <w:r>
        <w:rPr>
          <w:rStyle w:val="FootnoteReference"/>
        </w:rPr>
        <w:footnoteRef/>
      </w:r>
      <w:r>
        <w:t xml:space="preserve"> CIA </w:t>
      </w:r>
      <w:r w:rsidR="00CE1510">
        <w:t>Officer-in-Residence, timotrt@u</w:t>
      </w:r>
      <w:r>
        <w:t>w.edu</w:t>
      </w:r>
    </w:p>
  </w:footnote>
  <w:footnote w:id="2">
    <w:p w:rsidR="00924793" w:rsidRDefault="00924793">
      <w:pPr>
        <w:pStyle w:val="FootnoteText"/>
      </w:pPr>
      <w:r>
        <w:rPr>
          <w:rStyle w:val="FootnoteReference"/>
        </w:rPr>
        <w:footnoteRef/>
      </w:r>
      <w:r>
        <w:t xml:space="preserve"> Graduate Research Assistant, pallavi</w:t>
      </w:r>
      <w:r w:rsidR="00CE1510">
        <w:t>d</w:t>
      </w:r>
      <w:r>
        <w:t>@</w:t>
      </w:r>
      <w:r w:rsidR="00CE1510">
        <w:t>uw.edu</w:t>
      </w:r>
    </w:p>
  </w:footnote>
  <w:footnote w:id="3">
    <w:p w:rsidR="009E0B64" w:rsidRDefault="009E0B64">
      <w:pPr>
        <w:pStyle w:val="FootnoteText"/>
      </w:pPr>
      <w:r>
        <w:rPr>
          <w:rStyle w:val="FootnoteReference"/>
        </w:rPr>
        <w:footnoteRef/>
      </w:r>
      <w:r>
        <w:t xml:space="preserve"> Professor, School of Engineering, markh@uw.edu</w:t>
      </w:r>
    </w:p>
  </w:footnote>
  <w:footnote w:id="4">
    <w:p w:rsidR="00924793" w:rsidRDefault="00924793" w:rsidP="00EF520D">
      <w:pPr>
        <w:pStyle w:val="FootnoteText"/>
      </w:pPr>
      <w:r>
        <w:rPr>
          <w:rStyle w:val="FootnoteReference"/>
        </w:rPr>
        <w:footnoteRef/>
      </w:r>
      <w:r>
        <w:t xml:space="preserve"> It was interesting to note that the photograph hanging on the wall above the participant’s desk was of a </w:t>
      </w:r>
      <w:proofErr w:type="spellStart"/>
      <w:r>
        <w:t>Tuareg</w:t>
      </w:r>
      <w:proofErr w:type="spellEnd"/>
      <w:r>
        <w:t>—the tribe of Northern Niger.</w:t>
      </w:r>
    </w:p>
  </w:footnote>
  <w:footnote w:id="5">
    <w:p w:rsidR="0072451C" w:rsidRDefault="0072451C">
      <w:pPr>
        <w:pStyle w:val="FootnoteText"/>
      </w:pPr>
      <w:r>
        <w:rPr>
          <w:rStyle w:val="FootnoteReference"/>
        </w:rPr>
        <w:footnoteRef/>
      </w:r>
      <w:r>
        <w:t xml:space="preserve"> A tape of the session, along with the transcript, coding data, </w:t>
      </w:r>
      <w:r w:rsidR="0091735E">
        <w:t xml:space="preserve">an author’s version of this paper </w:t>
      </w:r>
      <w:r>
        <w:t xml:space="preserve">and </w:t>
      </w:r>
      <w:r w:rsidR="0091735E">
        <w:t xml:space="preserve">other </w:t>
      </w:r>
      <w:r>
        <w:t xml:space="preserve">relevant information is available from the Research Works section of the University of Washington Library. </w:t>
      </w:r>
    </w:p>
  </w:footnote>
  <w:footnote w:id="6">
    <w:p w:rsidR="00924793" w:rsidRDefault="00924793" w:rsidP="00EF520D">
      <w:pPr>
        <w:pStyle w:val="FootnoteText"/>
      </w:pPr>
      <w:r>
        <w:rPr>
          <w:rStyle w:val="FootnoteReference"/>
        </w:rPr>
        <w:footnoteRef/>
      </w:r>
      <w:r>
        <w:t xml:space="preserve"> Dr. Timothy Thomas, the CIA Officer in Residence at the University of Washington, 2008-2010, served as one coder.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B337D"/>
    <w:multiLevelType w:val="hybridMultilevel"/>
    <w:tmpl w:val="D37E33A6"/>
    <w:lvl w:ilvl="0" w:tplc="6D48DDA0">
      <w:start w:val="1"/>
      <w:numFmt w:val="decimal"/>
      <w:lvlText w:val="%1)"/>
      <w:lvlJc w:val="left"/>
      <w:pPr>
        <w:ind w:left="990" w:hanging="99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2EE40E4C"/>
    <w:multiLevelType w:val="hybridMultilevel"/>
    <w:tmpl w:val="6DD4EAB4"/>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475D76BF"/>
    <w:multiLevelType w:val="hybridMultilevel"/>
    <w:tmpl w:val="1632FEC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961511A"/>
    <w:multiLevelType w:val="hybridMultilevel"/>
    <w:tmpl w:val="568A81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4486CE1"/>
    <w:multiLevelType w:val="hybridMultilevel"/>
    <w:tmpl w:val="75D4C3AE"/>
    <w:lvl w:ilvl="0" w:tplc="04090011">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s>
  <w:rsids>
    <w:rsidRoot w:val="00EF520D"/>
    <w:rsid w:val="00013121"/>
    <w:rsid w:val="00025C69"/>
    <w:rsid w:val="00034358"/>
    <w:rsid w:val="0005263B"/>
    <w:rsid w:val="00076EA6"/>
    <w:rsid w:val="00093EDA"/>
    <w:rsid w:val="000C16DA"/>
    <w:rsid w:val="000D3E56"/>
    <w:rsid w:val="000D7B1C"/>
    <w:rsid w:val="000F025F"/>
    <w:rsid w:val="000F3956"/>
    <w:rsid w:val="000F431C"/>
    <w:rsid w:val="000F7442"/>
    <w:rsid w:val="00121461"/>
    <w:rsid w:val="001221FE"/>
    <w:rsid w:val="00154B2A"/>
    <w:rsid w:val="00161AE4"/>
    <w:rsid w:val="00161DF7"/>
    <w:rsid w:val="00163D72"/>
    <w:rsid w:val="00180F98"/>
    <w:rsid w:val="0019378E"/>
    <w:rsid w:val="001C21E1"/>
    <w:rsid w:val="001D10B0"/>
    <w:rsid w:val="001D19FD"/>
    <w:rsid w:val="001D2261"/>
    <w:rsid w:val="001D2C6F"/>
    <w:rsid w:val="001D4B95"/>
    <w:rsid w:val="00210213"/>
    <w:rsid w:val="00213D76"/>
    <w:rsid w:val="002210CA"/>
    <w:rsid w:val="002616DB"/>
    <w:rsid w:val="002658C0"/>
    <w:rsid w:val="00283B0E"/>
    <w:rsid w:val="002A662C"/>
    <w:rsid w:val="002B0759"/>
    <w:rsid w:val="002D3CB4"/>
    <w:rsid w:val="003320A2"/>
    <w:rsid w:val="00346882"/>
    <w:rsid w:val="003577DC"/>
    <w:rsid w:val="00357D4E"/>
    <w:rsid w:val="00366D87"/>
    <w:rsid w:val="003700F2"/>
    <w:rsid w:val="00387D81"/>
    <w:rsid w:val="003B1231"/>
    <w:rsid w:val="003C3668"/>
    <w:rsid w:val="003D03DD"/>
    <w:rsid w:val="003D5EBC"/>
    <w:rsid w:val="004304DF"/>
    <w:rsid w:val="00453590"/>
    <w:rsid w:val="004555E3"/>
    <w:rsid w:val="00466124"/>
    <w:rsid w:val="004736DC"/>
    <w:rsid w:val="004804EE"/>
    <w:rsid w:val="00486D94"/>
    <w:rsid w:val="00486FD3"/>
    <w:rsid w:val="004B08B0"/>
    <w:rsid w:val="004B1ED7"/>
    <w:rsid w:val="004C7BF9"/>
    <w:rsid w:val="004F6D06"/>
    <w:rsid w:val="00504E15"/>
    <w:rsid w:val="005428BC"/>
    <w:rsid w:val="00564F50"/>
    <w:rsid w:val="00566F5D"/>
    <w:rsid w:val="005839F4"/>
    <w:rsid w:val="0059241C"/>
    <w:rsid w:val="005C4619"/>
    <w:rsid w:val="005C4A8F"/>
    <w:rsid w:val="005C6D2C"/>
    <w:rsid w:val="005D588C"/>
    <w:rsid w:val="005F49DB"/>
    <w:rsid w:val="00600E5D"/>
    <w:rsid w:val="00602928"/>
    <w:rsid w:val="00626747"/>
    <w:rsid w:val="0062782E"/>
    <w:rsid w:val="006448C2"/>
    <w:rsid w:val="006453FA"/>
    <w:rsid w:val="00671B38"/>
    <w:rsid w:val="00673F53"/>
    <w:rsid w:val="00692296"/>
    <w:rsid w:val="0069343A"/>
    <w:rsid w:val="006946D9"/>
    <w:rsid w:val="006974EF"/>
    <w:rsid w:val="006A0313"/>
    <w:rsid w:val="006D5BDA"/>
    <w:rsid w:val="006D646F"/>
    <w:rsid w:val="00713304"/>
    <w:rsid w:val="0071569F"/>
    <w:rsid w:val="0072451C"/>
    <w:rsid w:val="007248D5"/>
    <w:rsid w:val="00733989"/>
    <w:rsid w:val="00760F6D"/>
    <w:rsid w:val="007649F4"/>
    <w:rsid w:val="007735B4"/>
    <w:rsid w:val="007859FC"/>
    <w:rsid w:val="00786139"/>
    <w:rsid w:val="007A784C"/>
    <w:rsid w:val="007C638A"/>
    <w:rsid w:val="007E0F28"/>
    <w:rsid w:val="0080358A"/>
    <w:rsid w:val="00807022"/>
    <w:rsid w:val="00810822"/>
    <w:rsid w:val="008518EE"/>
    <w:rsid w:val="008535DC"/>
    <w:rsid w:val="00883E8A"/>
    <w:rsid w:val="00885970"/>
    <w:rsid w:val="008C5B25"/>
    <w:rsid w:val="008C7E5F"/>
    <w:rsid w:val="008E2A8A"/>
    <w:rsid w:val="008E3F2D"/>
    <w:rsid w:val="0091735E"/>
    <w:rsid w:val="009219AF"/>
    <w:rsid w:val="00924793"/>
    <w:rsid w:val="0092504A"/>
    <w:rsid w:val="00925234"/>
    <w:rsid w:val="00967332"/>
    <w:rsid w:val="00967AAF"/>
    <w:rsid w:val="00973F1A"/>
    <w:rsid w:val="00975862"/>
    <w:rsid w:val="00977744"/>
    <w:rsid w:val="00977E53"/>
    <w:rsid w:val="009A03A2"/>
    <w:rsid w:val="009A1C9D"/>
    <w:rsid w:val="009A22E7"/>
    <w:rsid w:val="009C1ACB"/>
    <w:rsid w:val="009D50F4"/>
    <w:rsid w:val="009E0B64"/>
    <w:rsid w:val="009F76EC"/>
    <w:rsid w:val="00A11680"/>
    <w:rsid w:val="00A438D5"/>
    <w:rsid w:val="00A44E62"/>
    <w:rsid w:val="00A57B5B"/>
    <w:rsid w:val="00A659B9"/>
    <w:rsid w:val="00A8328E"/>
    <w:rsid w:val="00A90B78"/>
    <w:rsid w:val="00AC2AD8"/>
    <w:rsid w:val="00AC79EE"/>
    <w:rsid w:val="00AF04AC"/>
    <w:rsid w:val="00AF0FC2"/>
    <w:rsid w:val="00B34F0C"/>
    <w:rsid w:val="00B468EE"/>
    <w:rsid w:val="00B50587"/>
    <w:rsid w:val="00B553C6"/>
    <w:rsid w:val="00B5768A"/>
    <w:rsid w:val="00B714DA"/>
    <w:rsid w:val="00BA5A8E"/>
    <w:rsid w:val="00BC656D"/>
    <w:rsid w:val="00BC7C2F"/>
    <w:rsid w:val="00C0154F"/>
    <w:rsid w:val="00C17ECD"/>
    <w:rsid w:val="00C47A1F"/>
    <w:rsid w:val="00C5764E"/>
    <w:rsid w:val="00C57D30"/>
    <w:rsid w:val="00C850AD"/>
    <w:rsid w:val="00CB52D0"/>
    <w:rsid w:val="00CC1B59"/>
    <w:rsid w:val="00CC7F76"/>
    <w:rsid w:val="00CD4B97"/>
    <w:rsid w:val="00CE1510"/>
    <w:rsid w:val="00D1233A"/>
    <w:rsid w:val="00D13F4F"/>
    <w:rsid w:val="00D17554"/>
    <w:rsid w:val="00D34A03"/>
    <w:rsid w:val="00D50618"/>
    <w:rsid w:val="00D53B04"/>
    <w:rsid w:val="00D61649"/>
    <w:rsid w:val="00D63BA8"/>
    <w:rsid w:val="00D75EE7"/>
    <w:rsid w:val="00E02D43"/>
    <w:rsid w:val="00E45E92"/>
    <w:rsid w:val="00E564A9"/>
    <w:rsid w:val="00E91DBC"/>
    <w:rsid w:val="00EB0936"/>
    <w:rsid w:val="00EB5846"/>
    <w:rsid w:val="00EC17A0"/>
    <w:rsid w:val="00ED1ACC"/>
    <w:rsid w:val="00ED737B"/>
    <w:rsid w:val="00EF520D"/>
    <w:rsid w:val="00F17AD1"/>
    <w:rsid w:val="00F30B0E"/>
    <w:rsid w:val="00F32AEC"/>
    <w:rsid w:val="00F348C0"/>
    <w:rsid w:val="00FA1DD0"/>
    <w:rsid w:val="00FA594F"/>
    <w:rsid w:val="00FB2EAB"/>
    <w:rsid w:val="00FC4AD6"/>
    <w:rsid w:val="00FD09E7"/>
    <w:rsid w:val="00FD3211"/>
    <w:rsid w:val="00FD6520"/>
    <w:rsid w:val="00FE0300"/>
    <w:rsid w:val="00FF34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20D"/>
    <w:rPr>
      <w:rFonts w:ascii="Times New Roman" w:eastAsia="Times New Roman" w:hAnsi="Times New Roman"/>
      <w:sz w:val="24"/>
      <w:szCs w:val="24"/>
    </w:rPr>
  </w:style>
  <w:style w:type="paragraph" w:styleId="Heading1">
    <w:name w:val="heading 1"/>
    <w:basedOn w:val="Normal"/>
    <w:next w:val="Normal"/>
    <w:link w:val="Heading1Char"/>
    <w:uiPriority w:val="99"/>
    <w:qFormat/>
    <w:rsid w:val="00EF520D"/>
    <w:pPr>
      <w:keepNext/>
      <w:keepLines/>
      <w:spacing w:before="480"/>
      <w:outlineLvl w:val="0"/>
    </w:pPr>
    <w:rPr>
      <w:rFonts w:ascii="Cambria" w:hAnsi="Cambria"/>
      <w:b/>
      <w:bCs/>
      <w:color w:val="365F91"/>
      <w:sz w:val="28"/>
      <w:szCs w:val="28"/>
    </w:rPr>
  </w:style>
  <w:style w:type="paragraph" w:styleId="Heading2">
    <w:name w:val="heading 2"/>
    <w:basedOn w:val="Normal"/>
    <w:link w:val="Heading2Char"/>
    <w:uiPriority w:val="99"/>
    <w:qFormat/>
    <w:rsid w:val="00EF520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9"/>
    <w:qFormat/>
    <w:rsid w:val="00EF520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520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EF520D"/>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EF520D"/>
    <w:rPr>
      <w:rFonts w:ascii="Arial" w:hAnsi="Arial" w:cs="Arial"/>
      <w:b/>
      <w:bCs/>
      <w:sz w:val="26"/>
      <w:szCs w:val="26"/>
    </w:rPr>
  </w:style>
  <w:style w:type="character" w:styleId="CommentReference">
    <w:name w:val="annotation reference"/>
    <w:basedOn w:val="DefaultParagraphFont"/>
    <w:uiPriority w:val="99"/>
    <w:rsid w:val="00EF520D"/>
    <w:rPr>
      <w:rFonts w:ascii="Times New Roman" w:hAnsi="Times New Roman" w:cs="Times New Roman"/>
      <w:sz w:val="16"/>
      <w:szCs w:val="16"/>
    </w:rPr>
  </w:style>
  <w:style w:type="paragraph" w:styleId="CommentText">
    <w:name w:val="annotation text"/>
    <w:basedOn w:val="Normal"/>
    <w:link w:val="CommentTextChar"/>
    <w:uiPriority w:val="99"/>
    <w:rsid w:val="00EF520D"/>
    <w:rPr>
      <w:sz w:val="20"/>
      <w:szCs w:val="20"/>
    </w:rPr>
  </w:style>
  <w:style w:type="character" w:customStyle="1" w:styleId="CommentTextChar">
    <w:name w:val="Comment Text Char"/>
    <w:basedOn w:val="DefaultParagraphFont"/>
    <w:link w:val="CommentText"/>
    <w:uiPriority w:val="99"/>
    <w:locked/>
    <w:rsid w:val="00EF520D"/>
    <w:rPr>
      <w:rFonts w:ascii="Times New Roman" w:hAnsi="Times New Roman" w:cs="Times New Roman"/>
      <w:sz w:val="20"/>
      <w:szCs w:val="20"/>
    </w:rPr>
  </w:style>
  <w:style w:type="paragraph" w:styleId="FootnoteText">
    <w:name w:val="footnote text"/>
    <w:basedOn w:val="Normal"/>
    <w:link w:val="FootnoteTextChar"/>
    <w:uiPriority w:val="99"/>
    <w:rsid w:val="00EF520D"/>
    <w:rPr>
      <w:sz w:val="20"/>
      <w:szCs w:val="20"/>
    </w:rPr>
  </w:style>
  <w:style w:type="character" w:customStyle="1" w:styleId="FootnoteTextChar">
    <w:name w:val="Footnote Text Char"/>
    <w:basedOn w:val="DefaultParagraphFont"/>
    <w:link w:val="FootnoteText"/>
    <w:uiPriority w:val="99"/>
    <w:locked/>
    <w:rsid w:val="00EF520D"/>
    <w:rPr>
      <w:rFonts w:ascii="Times New Roman" w:hAnsi="Times New Roman" w:cs="Times New Roman"/>
      <w:sz w:val="20"/>
      <w:szCs w:val="20"/>
    </w:rPr>
  </w:style>
  <w:style w:type="character" w:styleId="FootnoteReference">
    <w:name w:val="footnote reference"/>
    <w:basedOn w:val="DefaultParagraphFont"/>
    <w:uiPriority w:val="99"/>
    <w:rsid w:val="00EF520D"/>
    <w:rPr>
      <w:rFonts w:ascii="Times New Roman" w:hAnsi="Times New Roman" w:cs="Times New Roman"/>
      <w:vertAlign w:val="superscript"/>
    </w:rPr>
  </w:style>
  <w:style w:type="paragraph" w:styleId="ListParagraph">
    <w:name w:val="List Paragraph"/>
    <w:basedOn w:val="Normal"/>
    <w:uiPriority w:val="99"/>
    <w:qFormat/>
    <w:rsid w:val="00EF520D"/>
    <w:pPr>
      <w:suppressAutoHyphens/>
      <w:ind w:left="720"/>
    </w:pPr>
    <w:rPr>
      <w:lang w:eastAsia="ar-SA"/>
    </w:rPr>
  </w:style>
  <w:style w:type="paragraph" w:styleId="BodyText">
    <w:name w:val="Body Text"/>
    <w:basedOn w:val="Normal"/>
    <w:link w:val="BodyTextChar"/>
    <w:uiPriority w:val="99"/>
    <w:rsid w:val="00EF520D"/>
    <w:rPr>
      <w:sz w:val="28"/>
      <w:szCs w:val="28"/>
    </w:rPr>
  </w:style>
  <w:style w:type="character" w:customStyle="1" w:styleId="BodyTextChar">
    <w:name w:val="Body Text Char"/>
    <w:basedOn w:val="DefaultParagraphFont"/>
    <w:link w:val="BodyText"/>
    <w:uiPriority w:val="99"/>
    <w:locked/>
    <w:rsid w:val="00EF520D"/>
    <w:rPr>
      <w:rFonts w:ascii="Times New Roman" w:hAnsi="Times New Roman" w:cs="Times New Roman"/>
      <w:sz w:val="28"/>
      <w:szCs w:val="28"/>
    </w:rPr>
  </w:style>
  <w:style w:type="paragraph" w:styleId="BalloonText">
    <w:name w:val="Balloon Text"/>
    <w:basedOn w:val="Normal"/>
    <w:link w:val="BalloonTextChar"/>
    <w:uiPriority w:val="99"/>
    <w:semiHidden/>
    <w:rsid w:val="00EF520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520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4B08B0"/>
    <w:rPr>
      <w:b/>
      <w:bCs/>
    </w:rPr>
  </w:style>
  <w:style w:type="character" w:customStyle="1" w:styleId="CommentSubjectChar">
    <w:name w:val="Comment Subject Char"/>
    <w:basedOn w:val="CommentTextChar"/>
    <w:link w:val="CommentSubject"/>
    <w:uiPriority w:val="99"/>
    <w:semiHidden/>
    <w:locked/>
    <w:rsid w:val="004B08B0"/>
    <w:rPr>
      <w:b/>
      <w:bCs/>
    </w:rPr>
  </w:style>
  <w:style w:type="character" w:styleId="Hyperlink">
    <w:name w:val="Hyperlink"/>
    <w:basedOn w:val="DefaultParagraphFont"/>
    <w:uiPriority w:val="99"/>
    <w:semiHidden/>
    <w:unhideWhenUsed/>
    <w:rsid w:val="00504E15"/>
    <w:rPr>
      <w:color w:val="0000FF"/>
      <w:u w:val="single"/>
    </w:rPr>
  </w:style>
  <w:style w:type="paragraph" w:styleId="Header">
    <w:name w:val="header"/>
    <w:basedOn w:val="Normal"/>
    <w:link w:val="HeaderChar"/>
    <w:uiPriority w:val="99"/>
    <w:semiHidden/>
    <w:unhideWhenUsed/>
    <w:rsid w:val="00F17AD1"/>
    <w:pPr>
      <w:tabs>
        <w:tab w:val="center" w:pos="4680"/>
        <w:tab w:val="right" w:pos="9360"/>
      </w:tabs>
    </w:pPr>
  </w:style>
  <w:style w:type="character" w:customStyle="1" w:styleId="HeaderChar">
    <w:name w:val="Header Char"/>
    <w:basedOn w:val="DefaultParagraphFont"/>
    <w:link w:val="Header"/>
    <w:uiPriority w:val="99"/>
    <w:semiHidden/>
    <w:rsid w:val="00F17AD1"/>
    <w:rPr>
      <w:rFonts w:ascii="Times New Roman" w:eastAsia="Times New Roman" w:hAnsi="Times New Roman"/>
      <w:sz w:val="24"/>
      <w:szCs w:val="24"/>
    </w:rPr>
  </w:style>
  <w:style w:type="paragraph" w:styleId="Footer">
    <w:name w:val="footer"/>
    <w:basedOn w:val="Normal"/>
    <w:link w:val="FooterChar"/>
    <w:uiPriority w:val="99"/>
    <w:unhideWhenUsed/>
    <w:rsid w:val="00F17AD1"/>
    <w:pPr>
      <w:tabs>
        <w:tab w:val="center" w:pos="4680"/>
        <w:tab w:val="right" w:pos="9360"/>
      </w:tabs>
    </w:pPr>
  </w:style>
  <w:style w:type="character" w:customStyle="1" w:styleId="FooterChar">
    <w:name w:val="Footer Char"/>
    <w:basedOn w:val="DefaultParagraphFont"/>
    <w:link w:val="Footer"/>
    <w:uiPriority w:val="99"/>
    <w:rsid w:val="00F17AD1"/>
    <w:rPr>
      <w:rFonts w:ascii="Times New Roman" w:eastAsia="Times New Roman" w:hAnsi="Times New Roman"/>
      <w:sz w:val="24"/>
      <w:szCs w:val="24"/>
    </w:rPr>
  </w:style>
  <w:style w:type="character" w:styleId="Strong">
    <w:name w:val="Strong"/>
    <w:basedOn w:val="DefaultParagraphFont"/>
    <w:qFormat/>
    <w:locked/>
    <w:rsid w:val="00924793"/>
    <w:rPr>
      <w:b/>
      <w:bCs/>
    </w:rPr>
  </w:style>
  <w:style w:type="paragraph" w:styleId="Subtitle">
    <w:name w:val="Subtitle"/>
    <w:basedOn w:val="Normal"/>
    <w:next w:val="Normal"/>
    <w:link w:val="SubtitleChar"/>
    <w:qFormat/>
    <w:locked/>
    <w:rsid w:val="0092479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24793"/>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oleObject" Target="embeddings/Microsoft_Office_PowerPoint_97-2003_Presentation1.ppt"/><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F906AB-C72A-4CAE-B6DA-8FEBFDA1C066}" type="doc">
      <dgm:prSet loTypeId="urn:microsoft.com/office/officeart/2005/8/layout/radial6" loCatId="cycle" qsTypeId="urn:microsoft.com/office/officeart/2005/8/quickstyle/simple1#1" qsCatId="simple" csTypeId="urn:microsoft.com/office/officeart/2005/8/colors/accent0_1" csCatId="mainScheme" phldr="1"/>
      <dgm:spPr/>
      <dgm:t>
        <a:bodyPr/>
        <a:lstStyle/>
        <a:p>
          <a:endParaRPr lang="en-US"/>
        </a:p>
      </dgm:t>
    </dgm:pt>
    <dgm:pt modelId="{D1A6E0D3-E0FE-4ED3-87B4-63ABB27DE94C}">
      <dgm:prSet phldrT="[Text]"/>
      <dgm:spPr/>
      <dgm:t>
        <a:bodyPr/>
        <a:lstStyle/>
        <a:p>
          <a:r>
            <a:rPr lang="en-US"/>
            <a:t>Analytical Judgment</a:t>
          </a:r>
        </a:p>
      </dgm:t>
    </dgm:pt>
    <dgm:pt modelId="{772D1D88-9BD8-45E1-B735-0A6ABF760204}" type="parTrans" cxnId="{7F63737D-0621-442C-9F34-9A983CFBC7D5}">
      <dgm:prSet/>
      <dgm:spPr/>
      <dgm:t>
        <a:bodyPr/>
        <a:lstStyle/>
        <a:p>
          <a:endParaRPr lang="en-US"/>
        </a:p>
      </dgm:t>
    </dgm:pt>
    <dgm:pt modelId="{4C5D0126-85F1-4827-BEA8-1B3CBE8AC641}" type="sibTrans" cxnId="{7F63737D-0621-442C-9F34-9A983CFBC7D5}">
      <dgm:prSet/>
      <dgm:spPr/>
      <dgm:t>
        <a:bodyPr/>
        <a:lstStyle/>
        <a:p>
          <a:endParaRPr lang="en-US"/>
        </a:p>
      </dgm:t>
    </dgm:pt>
    <dgm:pt modelId="{ACAE290D-746E-45F2-82AA-7227E3099BBE}">
      <dgm:prSet phldrT="[Text]"/>
      <dgm:spPr/>
      <dgm:t>
        <a:bodyPr/>
        <a:lstStyle/>
        <a:p>
          <a:r>
            <a:rPr lang="en-US"/>
            <a:t>Theory</a:t>
          </a:r>
        </a:p>
      </dgm:t>
    </dgm:pt>
    <dgm:pt modelId="{86711C10-6461-4608-934C-4929E426ADFA}" type="parTrans" cxnId="{4A7B94A2-0E30-4FBF-B726-B8819F3CDCC0}">
      <dgm:prSet/>
      <dgm:spPr/>
      <dgm:t>
        <a:bodyPr/>
        <a:lstStyle/>
        <a:p>
          <a:endParaRPr lang="en-US"/>
        </a:p>
      </dgm:t>
    </dgm:pt>
    <dgm:pt modelId="{03E5CE9F-033B-4538-99D3-A4AB2C977669}" type="sibTrans" cxnId="{4A7B94A2-0E30-4FBF-B726-B8819F3CDCC0}">
      <dgm:prSet/>
      <dgm:spPr/>
      <dgm:t>
        <a:bodyPr/>
        <a:lstStyle/>
        <a:p>
          <a:endParaRPr lang="en-US"/>
        </a:p>
      </dgm:t>
    </dgm:pt>
    <dgm:pt modelId="{268E2C59-B684-4E1C-A657-B201213C42B4}">
      <dgm:prSet phldrT="[Text]"/>
      <dgm:spPr/>
      <dgm:t>
        <a:bodyPr/>
        <a:lstStyle/>
        <a:p>
          <a:r>
            <a:rPr lang="en-US"/>
            <a:t>What ifs -context specific scenarios</a:t>
          </a:r>
        </a:p>
      </dgm:t>
    </dgm:pt>
    <dgm:pt modelId="{F072B962-F289-4962-9F81-462D831938F3}" type="parTrans" cxnId="{E2319A09-1F6C-4856-8C59-4BEAF94EEB6D}">
      <dgm:prSet/>
      <dgm:spPr/>
      <dgm:t>
        <a:bodyPr/>
        <a:lstStyle/>
        <a:p>
          <a:endParaRPr lang="en-US"/>
        </a:p>
      </dgm:t>
    </dgm:pt>
    <dgm:pt modelId="{EB60B7C2-6804-488F-9CCB-929D6D61B413}" type="sibTrans" cxnId="{E2319A09-1F6C-4856-8C59-4BEAF94EEB6D}">
      <dgm:prSet/>
      <dgm:spPr/>
      <dgm:t>
        <a:bodyPr/>
        <a:lstStyle/>
        <a:p>
          <a:endParaRPr lang="en-US"/>
        </a:p>
      </dgm:t>
    </dgm:pt>
    <dgm:pt modelId="{76726F2A-9C2D-44A8-981C-4EF1B908D11E}">
      <dgm:prSet phldrT="[Text]"/>
      <dgm:spPr/>
      <dgm:t>
        <a:bodyPr/>
        <a:lstStyle/>
        <a:p>
          <a:r>
            <a:rPr lang="en-US"/>
            <a:t>Implications of specific events</a:t>
          </a:r>
        </a:p>
      </dgm:t>
    </dgm:pt>
    <dgm:pt modelId="{8A300D89-44B3-4EE2-A831-D2DF09837E6E}" type="parTrans" cxnId="{D5DEA035-DA80-4B22-B166-6882940635DF}">
      <dgm:prSet/>
      <dgm:spPr/>
      <dgm:t>
        <a:bodyPr/>
        <a:lstStyle/>
        <a:p>
          <a:endParaRPr lang="en-US"/>
        </a:p>
      </dgm:t>
    </dgm:pt>
    <dgm:pt modelId="{4DEF8963-20BC-4851-ADDA-0D712B765443}" type="sibTrans" cxnId="{D5DEA035-DA80-4B22-B166-6882940635DF}">
      <dgm:prSet/>
      <dgm:spPr/>
      <dgm:t>
        <a:bodyPr/>
        <a:lstStyle/>
        <a:p>
          <a:endParaRPr lang="en-US"/>
        </a:p>
      </dgm:t>
    </dgm:pt>
    <dgm:pt modelId="{815B1D0D-63FC-43AA-BA77-7E6680767696}">
      <dgm:prSet phldrT="[Text]"/>
      <dgm:spPr/>
      <dgm:t>
        <a:bodyPr/>
        <a:lstStyle/>
        <a:p>
          <a:r>
            <a:rPr lang="en-US"/>
            <a:t>Extrapolation from vaule system</a:t>
          </a:r>
        </a:p>
      </dgm:t>
    </dgm:pt>
    <dgm:pt modelId="{5827E2A8-B02E-4FDA-A54D-BE0BD0C2B99F}" type="parTrans" cxnId="{90020642-946A-45F2-9028-9D1CA8CAA824}">
      <dgm:prSet/>
      <dgm:spPr/>
      <dgm:t>
        <a:bodyPr/>
        <a:lstStyle/>
        <a:p>
          <a:endParaRPr lang="en-US"/>
        </a:p>
      </dgm:t>
    </dgm:pt>
    <dgm:pt modelId="{017215AE-03C4-46F4-8D27-1D4348D48F28}" type="sibTrans" cxnId="{90020642-946A-45F2-9028-9D1CA8CAA824}">
      <dgm:prSet/>
      <dgm:spPr/>
      <dgm:t>
        <a:bodyPr/>
        <a:lstStyle/>
        <a:p>
          <a:endParaRPr lang="en-US"/>
        </a:p>
      </dgm:t>
    </dgm:pt>
    <dgm:pt modelId="{C27D153F-BFE4-4B79-8E06-1311D1094BD5}">
      <dgm:prSet phldrT="[Text]"/>
      <dgm:spPr/>
      <dgm:t>
        <a:bodyPr/>
        <a:lstStyle/>
        <a:p>
          <a:r>
            <a:rPr lang="en-US"/>
            <a:t>Examples: similar situations</a:t>
          </a:r>
        </a:p>
      </dgm:t>
    </dgm:pt>
    <dgm:pt modelId="{8F59220F-3E6D-4851-8C6A-43577C317600}" type="parTrans" cxnId="{188026D7-3AAB-4725-A2FE-749D3A51E0D4}">
      <dgm:prSet/>
      <dgm:spPr/>
      <dgm:t>
        <a:bodyPr/>
        <a:lstStyle/>
        <a:p>
          <a:endParaRPr lang="en-US"/>
        </a:p>
      </dgm:t>
    </dgm:pt>
    <dgm:pt modelId="{4135B0A3-D335-41B1-801F-557335579A39}" type="sibTrans" cxnId="{188026D7-3AAB-4725-A2FE-749D3A51E0D4}">
      <dgm:prSet/>
      <dgm:spPr/>
      <dgm:t>
        <a:bodyPr/>
        <a:lstStyle/>
        <a:p>
          <a:endParaRPr lang="en-US"/>
        </a:p>
      </dgm:t>
    </dgm:pt>
    <dgm:pt modelId="{22856200-9B25-4424-AA0B-44A8EB57CB93}" type="pres">
      <dgm:prSet presAssocID="{A8F906AB-C72A-4CAE-B6DA-8FEBFDA1C066}" presName="Name0" presStyleCnt="0">
        <dgm:presLayoutVars>
          <dgm:chMax val="1"/>
          <dgm:dir/>
          <dgm:animLvl val="ctr"/>
          <dgm:resizeHandles val="exact"/>
        </dgm:presLayoutVars>
      </dgm:prSet>
      <dgm:spPr/>
      <dgm:t>
        <a:bodyPr/>
        <a:lstStyle/>
        <a:p>
          <a:endParaRPr lang="en-US"/>
        </a:p>
      </dgm:t>
    </dgm:pt>
    <dgm:pt modelId="{4B3058C3-037A-4824-AA9F-950CA45D4A5E}" type="pres">
      <dgm:prSet presAssocID="{D1A6E0D3-E0FE-4ED3-87B4-63ABB27DE94C}" presName="centerShape" presStyleLbl="node0" presStyleIdx="0" presStyleCnt="1"/>
      <dgm:spPr/>
      <dgm:t>
        <a:bodyPr/>
        <a:lstStyle/>
        <a:p>
          <a:endParaRPr lang="en-US"/>
        </a:p>
      </dgm:t>
    </dgm:pt>
    <dgm:pt modelId="{DDA6E7D6-977A-47C8-9CF7-F3ED8CC49804}" type="pres">
      <dgm:prSet presAssocID="{ACAE290D-746E-45F2-82AA-7227E3099BBE}" presName="node" presStyleLbl="node1" presStyleIdx="0" presStyleCnt="5">
        <dgm:presLayoutVars>
          <dgm:bulletEnabled val="1"/>
        </dgm:presLayoutVars>
      </dgm:prSet>
      <dgm:spPr/>
      <dgm:t>
        <a:bodyPr/>
        <a:lstStyle/>
        <a:p>
          <a:endParaRPr lang="en-US"/>
        </a:p>
      </dgm:t>
    </dgm:pt>
    <dgm:pt modelId="{22873A51-DC20-4013-9F69-7CFE1AFA0501}" type="pres">
      <dgm:prSet presAssocID="{ACAE290D-746E-45F2-82AA-7227E3099BBE}" presName="dummy" presStyleCnt="0"/>
      <dgm:spPr/>
    </dgm:pt>
    <dgm:pt modelId="{C3B1EADE-1B69-4118-AAD7-FCF940900174}" type="pres">
      <dgm:prSet presAssocID="{03E5CE9F-033B-4538-99D3-A4AB2C977669}" presName="sibTrans" presStyleLbl="sibTrans2D1" presStyleIdx="0" presStyleCnt="5"/>
      <dgm:spPr/>
      <dgm:t>
        <a:bodyPr/>
        <a:lstStyle/>
        <a:p>
          <a:endParaRPr lang="en-US"/>
        </a:p>
      </dgm:t>
    </dgm:pt>
    <dgm:pt modelId="{540CC08C-7AF3-44DE-A893-EB69C52ED979}" type="pres">
      <dgm:prSet presAssocID="{268E2C59-B684-4E1C-A657-B201213C42B4}" presName="node" presStyleLbl="node1" presStyleIdx="1" presStyleCnt="5">
        <dgm:presLayoutVars>
          <dgm:bulletEnabled val="1"/>
        </dgm:presLayoutVars>
      </dgm:prSet>
      <dgm:spPr/>
      <dgm:t>
        <a:bodyPr/>
        <a:lstStyle/>
        <a:p>
          <a:endParaRPr lang="en-US"/>
        </a:p>
      </dgm:t>
    </dgm:pt>
    <dgm:pt modelId="{DE79F3EA-F57E-467D-9BA1-079A1A1AF672}" type="pres">
      <dgm:prSet presAssocID="{268E2C59-B684-4E1C-A657-B201213C42B4}" presName="dummy" presStyleCnt="0"/>
      <dgm:spPr/>
    </dgm:pt>
    <dgm:pt modelId="{35737177-8DD3-4267-8F5D-7C4F1FC4265B}" type="pres">
      <dgm:prSet presAssocID="{EB60B7C2-6804-488F-9CCB-929D6D61B413}" presName="sibTrans" presStyleLbl="sibTrans2D1" presStyleIdx="1" presStyleCnt="5"/>
      <dgm:spPr/>
      <dgm:t>
        <a:bodyPr/>
        <a:lstStyle/>
        <a:p>
          <a:endParaRPr lang="en-US"/>
        </a:p>
      </dgm:t>
    </dgm:pt>
    <dgm:pt modelId="{45DE5B14-8E7D-4D61-A2B4-11C3C87AE7AD}" type="pres">
      <dgm:prSet presAssocID="{C27D153F-BFE4-4B79-8E06-1311D1094BD5}" presName="node" presStyleLbl="node1" presStyleIdx="2" presStyleCnt="5">
        <dgm:presLayoutVars>
          <dgm:bulletEnabled val="1"/>
        </dgm:presLayoutVars>
      </dgm:prSet>
      <dgm:spPr/>
      <dgm:t>
        <a:bodyPr/>
        <a:lstStyle/>
        <a:p>
          <a:endParaRPr lang="en-US"/>
        </a:p>
      </dgm:t>
    </dgm:pt>
    <dgm:pt modelId="{81AEC418-965B-4B9A-8F91-80F5299D5930}" type="pres">
      <dgm:prSet presAssocID="{C27D153F-BFE4-4B79-8E06-1311D1094BD5}" presName="dummy" presStyleCnt="0"/>
      <dgm:spPr/>
    </dgm:pt>
    <dgm:pt modelId="{A95EEAB4-0FEC-4022-932C-F08CFA302F72}" type="pres">
      <dgm:prSet presAssocID="{4135B0A3-D335-41B1-801F-557335579A39}" presName="sibTrans" presStyleLbl="sibTrans2D1" presStyleIdx="2" presStyleCnt="5"/>
      <dgm:spPr/>
      <dgm:t>
        <a:bodyPr/>
        <a:lstStyle/>
        <a:p>
          <a:endParaRPr lang="en-US"/>
        </a:p>
      </dgm:t>
    </dgm:pt>
    <dgm:pt modelId="{AC2B0E89-DF27-4633-A49E-67EEF7DC726D}" type="pres">
      <dgm:prSet presAssocID="{76726F2A-9C2D-44A8-981C-4EF1B908D11E}" presName="node" presStyleLbl="node1" presStyleIdx="3" presStyleCnt="5">
        <dgm:presLayoutVars>
          <dgm:bulletEnabled val="1"/>
        </dgm:presLayoutVars>
      </dgm:prSet>
      <dgm:spPr/>
      <dgm:t>
        <a:bodyPr/>
        <a:lstStyle/>
        <a:p>
          <a:endParaRPr lang="en-US"/>
        </a:p>
      </dgm:t>
    </dgm:pt>
    <dgm:pt modelId="{58629CD3-D178-411E-AA08-D5E93DFCD52D}" type="pres">
      <dgm:prSet presAssocID="{76726F2A-9C2D-44A8-981C-4EF1B908D11E}" presName="dummy" presStyleCnt="0"/>
      <dgm:spPr/>
    </dgm:pt>
    <dgm:pt modelId="{C1245187-8096-4F16-9F11-6A1D5EC297BB}" type="pres">
      <dgm:prSet presAssocID="{4DEF8963-20BC-4851-ADDA-0D712B765443}" presName="sibTrans" presStyleLbl="sibTrans2D1" presStyleIdx="3" presStyleCnt="5"/>
      <dgm:spPr/>
      <dgm:t>
        <a:bodyPr/>
        <a:lstStyle/>
        <a:p>
          <a:endParaRPr lang="en-US"/>
        </a:p>
      </dgm:t>
    </dgm:pt>
    <dgm:pt modelId="{DD58D4C3-7D32-46EE-809E-20A92C1FCC3B}" type="pres">
      <dgm:prSet presAssocID="{815B1D0D-63FC-43AA-BA77-7E6680767696}" presName="node" presStyleLbl="node1" presStyleIdx="4" presStyleCnt="5">
        <dgm:presLayoutVars>
          <dgm:bulletEnabled val="1"/>
        </dgm:presLayoutVars>
      </dgm:prSet>
      <dgm:spPr/>
      <dgm:t>
        <a:bodyPr/>
        <a:lstStyle/>
        <a:p>
          <a:endParaRPr lang="en-US"/>
        </a:p>
      </dgm:t>
    </dgm:pt>
    <dgm:pt modelId="{13D4E28A-6F51-469D-B9E6-71807465B204}" type="pres">
      <dgm:prSet presAssocID="{815B1D0D-63FC-43AA-BA77-7E6680767696}" presName="dummy" presStyleCnt="0"/>
      <dgm:spPr/>
    </dgm:pt>
    <dgm:pt modelId="{00004BB8-161F-4010-A098-DBDE40C029D6}" type="pres">
      <dgm:prSet presAssocID="{017215AE-03C4-46F4-8D27-1D4348D48F28}" presName="sibTrans" presStyleLbl="sibTrans2D1" presStyleIdx="4" presStyleCnt="5"/>
      <dgm:spPr/>
      <dgm:t>
        <a:bodyPr/>
        <a:lstStyle/>
        <a:p>
          <a:endParaRPr lang="en-US"/>
        </a:p>
      </dgm:t>
    </dgm:pt>
  </dgm:ptLst>
  <dgm:cxnLst>
    <dgm:cxn modelId="{188026D7-3AAB-4725-A2FE-749D3A51E0D4}" srcId="{D1A6E0D3-E0FE-4ED3-87B4-63ABB27DE94C}" destId="{C27D153F-BFE4-4B79-8E06-1311D1094BD5}" srcOrd="2" destOrd="0" parTransId="{8F59220F-3E6D-4851-8C6A-43577C317600}" sibTransId="{4135B0A3-D335-41B1-801F-557335579A39}"/>
    <dgm:cxn modelId="{48E217AB-5799-4D33-932E-241635668CBC}" type="presOf" srcId="{76726F2A-9C2D-44A8-981C-4EF1B908D11E}" destId="{AC2B0E89-DF27-4633-A49E-67EEF7DC726D}" srcOrd="0" destOrd="0" presId="urn:microsoft.com/office/officeart/2005/8/layout/radial6"/>
    <dgm:cxn modelId="{32AEF327-47F8-43DE-ACB2-2B4ABE953234}" type="presOf" srcId="{EB60B7C2-6804-488F-9CCB-929D6D61B413}" destId="{35737177-8DD3-4267-8F5D-7C4F1FC4265B}" srcOrd="0" destOrd="0" presId="urn:microsoft.com/office/officeart/2005/8/layout/radial6"/>
    <dgm:cxn modelId="{235C329F-0AA4-4BF4-84F8-09367B236CA4}" type="presOf" srcId="{03E5CE9F-033B-4538-99D3-A4AB2C977669}" destId="{C3B1EADE-1B69-4118-AAD7-FCF940900174}" srcOrd="0" destOrd="0" presId="urn:microsoft.com/office/officeart/2005/8/layout/radial6"/>
    <dgm:cxn modelId="{7F63737D-0621-442C-9F34-9A983CFBC7D5}" srcId="{A8F906AB-C72A-4CAE-B6DA-8FEBFDA1C066}" destId="{D1A6E0D3-E0FE-4ED3-87B4-63ABB27DE94C}" srcOrd="0" destOrd="0" parTransId="{772D1D88-9BD8-45E1-B735-0A6ABF760204}" sibTransId="{4C5D0126-85F1-4827-BEA8-1B3CBE8AC641}"/>
    <dgm:cxn modelId="{90020642-946A-45F2-9028-9D1CA8CAA824}" srcId="{D1A6E0D3-E0FE-4ED3-87B4-63ABB27DE94C}" destId="{815B1D0D-63FC-43AA-BA77-7E6680767696}" srcOrd="4" destOrd="0" parTransId="{5827E2A8-B02E-4FDA-A54D-BE0BD0C2B99F}" sibTransId="{017215AE-03C4-46F4-8D27-1D4348D48F28}"/>
    <dgm:cxn modelId="{A7923BE2-11B5-424A-B3F5-4E4600A5CB6F}" type="presOf" srcId="{ACAE290D-746E-45F2-82AA-7227E3099BBE}" destId="{DDA6E7D6-977A-47C8-9CF7-F3ED8CC49804}" srcOrd="0" destOrd="0" presId="urn:microsoft.com/office/officeart/2005/8/layout/radial6"/>
    <dgm:cxn modelId="{8812D587-9419-4279-B497-55E13DF33721}" type="presOf" srcId="{C27D153F-BFE4-4B79-8E06-1311D1094BD5}" destId="{45DE5B14-8E7D-4D61-A2B4-11C3C87AE7AD}" srcOrd="0" destOrd="0" presId="urn:microsoft.com/office/officeart/2005/8/layout/radial6"/>
    <dgm:cxn modelId="{D0394D87-E252-4040-B192-CEA73A30E9AF}" type="presOf" srcId="{4DEF8963-20BC-4851-ADDA-0D712B765443}" destId="{C1245187-8096-4F16-9F11-6A1D5EC297BB}" srcOrd="0" destOrd="0" presId="urn:microsoft.com/office/officeart/2005/8/layout/radial6"/>
    <dgm:cxn modelId="{3E6651C2-B300-42B1-8058-6E5AF33C5D43}" type="presOf" srcId="{4135B0A3-D335-41B1-801F-557335579A39}" destId="{A95EEAB4-0FEC-4022-932C-F08CFA302F72}" srcOrd="0" destOrd="0" presId="urn:microsoft.com/office/officeart/2005/8/layout/radial6"/>
    <dgm:cxn modelId="{E2319A09-1F6C-4856-8C59-4BEAF94EEB6D}" srcId="{D1A6E0D3-E0FE-4ED3-87B4-63ABB27DE94C}" destId="{268E2C59-B684-4E1C-A657-B201213C42B4}" srcOrd="1" destOrd="0" parTransId="{F072B962-F289-4962-9F81-462D831938F3}" sibTransId="{EB60B7C2-6804-488F-9CCB-929D6D61B413}"/>
    <dgm:cxn modelId="{1706C3DC-0A3D-4BFF-B04D-AB42A3A5A266}" type="presOf" srcId="{815B1D0D-63FC-43AA-BA77-7E6680767696}" destId="{DD58D4C3-7D32-46EE-809E-20A92C1FCC3B}" srcOrd="0" destOrd="0" presId="urn:microsoft.com/office/officeart/2005/8/layout/radial6"/>
    <dgm:cxn modelId="{E502C756-0414-4F8D-B349-ED13867807C0}" type="presOf" srcId="{A8F906AB-C72A-4CAE-B6DA-8FEBFDA1C066}" destId="{22856200-9B25-4424-AA0B-44A8EB57CB93}" srcOrd="0" destOrd="0" presId="urn:microsoft.com/office/officeart/2005/8/layout/radial6"/>
    <dgm:cxn modelId="{D5DEA035-DA80-4B22-B166-6882940635DF}" srcId="{D1A6E0D3-E0FE-4ED3-87B4-63ABB27DE94C}" destId="{76726F2A-9C2D-44A8-981C-4EF1B908D11E}" srcOrd="3" destOrd="0" parTransId="{8A300D89-44B3-4EE2-A831-D2DF09837E6E}" sibTransId="{4DEF8963-20BC-4851-ADDA-0D712B765443}"/>
    <dgm:cxn modelId="{4A7B94A2-0E30-4FBF-B726-B8819F3CDCC0}" srcId="{D1A6E0D3-E0FE-4ED3-87B4-63ABB27DE94C}" destId="{ACAE290D-746E-45F2-82AA-7227E3099BBE}" srcOrd="0" destOrd="0" parTransId="{86711C10-6461-4608-934C-4929E426ADFA}" sibTransId="{03E5CE9F-033B-4538-99D3-A4AB2C977669}"/>
    <dgm:cxn modelId="{99639D8F-398C-4A34-8085-63D8434C4F67}" type="presOf" srcId="{D1A6E0D3-E0FE-4ED3-87B4-63ABB27DE94C}" destId="{4B3058C3-037A-4824-AA9F-950CA45D4A5E}" srcOrd="0" destOrd="0" presId="urn:microsoft.com/office/officeart/2005/8/layout/radial6"/>
    <dgm:cxn modelId="{CCBE4862-FD60-4E9F-8D14-19EDF086E409}" type="presOf" srcId="{268E2C59-B684-4E1C-A657-B201213C42B4}" destId="{540CC08C-7AF3-44DE-A893-EB69C52ED979}" srcOrd="0" destOrd="0" presId="urn:microsoft.com/office/officeart/2005/8/layout/radial6"/>
    <dgm:cxn modelId="{E2F2C447-B396-4D2C-942C-828F0F5959C2}" type="presOf" srcId="{017215AE-03C4-46F4-8D27-1D4348D48F28}" destId="{00004BB8-161F-4010-A098-DBDE40C029D6}" srcOrd="0" destOrd="0" presId="urn:microsoft.com/office/officeart/2005/8/layout/radial6"/>
    <dgm:cxn modelId="{03378DA1-2D36-4A41-BC5B-F1F8C3910506}" type="presParOf" srcId="{22856200-9B25-4424-AA0B-44A8EB57CB93}" destId="{4B3058C3-037A-4824-AA9F-950CA45D4A5E}" srcOrd="0" destOrd="0" presId="urn:microsoft.com/office/officeart/2005/8/layout/radial6"/>
    <dgm:cxn modelId="{5FECE794-BE22-40A0-85EA-69155B222FE8}" type="presParOf" srcId="{22856200-9B25-4424-AA0B-44A8EB57CB93}" destId="{DDA6E7D6-977A-47C8-9CF7-F3ED8CC49804}" srcOrd="1" destOrd="0" presId="urn:microsoft.com/office/officeart/2005/8/layout/radial6"/>
    <dgm:cxn modelId="{A08EC14B-74B5-40F6-B708-C0288AAD331F}" type="presParOf" srcId="{22856200-9B25-4424-AA0B-44A8EB57CB93}" destId="{22873A51-DC20-4013-9F69-7CFE1AFA0501}" srcOrd="2" destOrd="0" presId="urn:microsoft.com/office/officeart/2005/8/layout/radial6"/>
    <dgm:cxn modelId="{6F415D0A-AE81-4DC5-9802-B94EC026882E}" type="presParOf" srcId="{22856200-9B25-4424-AA0B-44A8EB57CB93}" destId="{C3B1EADE-1B69-4118-AAD7-FCF940900174}" srcOrd="3" destOrd="0" presId="urn:microsoft.com/office/officeart/2005/8/layout/radial6"/>
    <dgm:cxn modelId="{82ADEA91-9F24-4417-8C00-C8F715D70581}" type="presParOf" srcId="{22856200-9B25-4424-AA0B-44A8EB57CB93}" destId="{540CC08C-7AF3-44DE-A893-EB69C52ED979}" srcOrd="4" destOrd="0" presId="urn:microsoft.com/office/officeart/2005/8/layout/radial6"/>
    <dgm:cxn modelId="{C133BD14-6FC6-4764-AB50-FE1370657DA1}" type="presParOf" srcId="{22856200-9B25-4424-AA0B-44A8EB57CB93}" destId="{DE79F3EA-F57E-467D-9BA1-079A1A1AF672}" srcOrd="5" destOrd="0" presId="urn:microsoft.com/office/officeart/2005/8/layout/radial6"/>
    <dgm:cxn modelId="{B884F651-7065-42C4-9E88-F582DEBFC07D}" type="presParOf" srcId="{22856200-9B25-4424-AA0B-44A8EB57CB93}" destId="{35737177-8DD3-4267-8F5D-7C4F1FC4265B}" srcOrd="6" destOrd="0" presId="urn:microsoft.com/office/officeart/2005/8/layout/radial6"/>
    <dgm:cxn modelId="{0981315B-1C05-46F4-8CD9-5721F0EC751B}" type="presParOf" srcId="{22856200-9B25-4424-AA0B-44A8EB57CB93}" destId="{45DE5B14-8E7D-4D61-A2B4-11C3C87AE7AD}" srcOrd="7" destOrd="0" presId="urn:microsoft.com/office/officeart/2005/8/layout/radial6"/>
    <dgm:cxn modelId="{A3B2BCF2-54C8-4FBA-A039-B3103E14A26F}" type="presParOf" srcId="{22856200-9B25-4424-AA0B-44A8EB57CB93}" destId="{81AEC418-965B-4B9A-8F91-80F5299D5930}" srcOrd="8" destOrd="0" presId="urn:microsoft.com/office/officeart/2005/8/layout/radial6"/>
    <dgm:cxn modelId="{464227B0-C589-4705-8268-0EA493041150}" type="presParOf" srcId="{22856200-9B25-4424-AA0B-44A8EB57CB93}" destId="{A95EEAB4-0FEC-4022-932C-F08CFA302F72}" srcOrd="9" destOrd="0" presId="urn:microsoft.com/office/officeart/2005/8/layout/radial6"/>
    <dgm:cxn modelId="{D1005B5A-D968-452C-B489-049F9E746A36}" type="presParOf" srcId="{22856200-9B25-4424-AA0B-44A8EB57CB93}" destId="{AC2B0E89-DF27-4633-A49E-67EEF7DC726D}" srcOrd="10" destOrd="0" presId="urn:microsoft.com/office/officeart/2005/8/layout/radial6"/>
    <dgm:cxn modelId="{EE12C8B1-3BFC-4F4E-92E9-36B2D7EFAB9B}" type="presParOf" srcId="{22856200-9B25-4424-AA0B-44A8EB57CB93}" destId="{58629CD3-D178-411E-AA08-D5E93DFCD52D}" srcOrd="11" destOrd="0" presId="urn:microsoft.com/office/officeart/2005/8/layout/radial6"/>
    <dgm:cxn modelId="{3432CCC5-0F99-4D7D-8C5F-7ABFC344725C}" type="presParOf" srcId="{22856200-9B25-4424-AA0B-44A8EB57CB93}" destId="{C1245187-8096-4F16-9F11-6A1D5EC297BB}" srcOrd="12" destOrd="0" presId="urn:microsoft.com/office/officeart/2005/8/layout/radial6"/>
    <dgm:cxn modelId="{06CF6C1A-AA01-49F0-992D-05583451CD6C}" type="presParOf" srcId="{22856200-9B25-4424-AA0B-44A8EB57CB93}" destId="{DD58D4C3-7D32-46EE-809E-20A92C1FCC3B}" srcOrd="13" destOrd="0" presId="urn:microsoft.com/office/officeart/2005/8/layout/radial6"/>
    <dgm:cxn modelId="{C9F89DD3-D8B0-4A71-9F21-82C2156FE400}" type="presParOf" srcId="{22856200-9B25-4424-AA0B-44A8EB57CB93}" destId="{13D4E28A-6F51-469D-B9E6-71807465B204}" srcOrd="14" destOrd="0" presId="urn:microsoft.com/office/officeart/2005/8/layout/radial6"/>
    <dgm:cxn modelId="{DCB93CAA-B71C-4F8E-AE01-167B71CDA20C}" type="presParOf" srcId="{22856200-9B25-4424-AA0B-44A8EB57CB93}" destId="{00004BB8-161F-4010-A098-DBDE40C029D6}" srcOrd="15" destOrd="0" presId="urn:microsoft.com/office/officeart/2005/8/layout/radial6"/>
  </dgm:cxnLst>
  <dgm:bg/>
  <dgm:whole/>
  <dgm:extLst>
    <a:ext uri="http://schemas.microsoft.com/office/drawing/2008/diagram">
      <dsp:dataModelExt xmlns=""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0004BB8-161F-4010-A098-DBDE40C029D6}">
      <dsp:nvSpPr>
        <dsp:cNvPr id="0" name=""/>
        <dsp:cNvSpPr/>
      </dsp:nvSpPr>
      <dsp:spPr>
        <a:xfrm>
          <a:off x="922243" y="437098"/>
          <a:ext cx="2917377" cy="2917377"/>
        </a:xfrm>
        <a:prstGeom prst="blockArc">
          <a:avLst>
            <a:gd name="adj1" fmla="val 11880000"/>
            <a:gd name="adj2" fmla="val 16200000"/>
            <a:gd name="adj3" fmla="val 4643"/>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1245187-8096-4F16-9F11-6A1D5EC297BB}">
      <dsp:nvSpPr>
        <dsp:cNvPr id="0" name=""/>
        <dsp:cNvSpPr/>
      </dsp:nvSpPr>
      <dsp:spPr>
        <a:xfrm>
          <a:off x="922243" y="437098"/>
          <a:ext cx="2917377" cy="2917377"/>
        </a:xfrm>
        <a:prstGeom prst="blockArc">
          <a:avLst>
            <a:gd name="adj1" fmla="val 7560000"/>
            <a:gd name="adj2" fmla="val 11880000"/>
            <a:gd name="adj3" fmla="val 4643"/>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95EEAB4-0FEC-4022-932C-F08CFA302F72}">
      <dsp:nvSpPr>
        <dsp:cNvPr id="0" name=""/>
        <dsp:cNvSpPr/>
      </dsp:nvSpPr>
      <dsp:spPr>
        <a:xfrm>
          <a:off x="922243" y="437098"/>
          <a:ext cx="2917377" cy="2917377"/>
        </a:xfrm>
        <a:prstGeom prst="blockArc">
          <a:avLst>
            <a:gd name="adj1" fmla="val 3240000"/>
            <a:gd name="adj2" fmla="val 7560000"/>
            <a:gd name="adj3" fmla="val 4643"/>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5737177-8DD3-4267-8F5D-7C4F1FC4265B}">
      <dsp:nvSpPr>
        <dsp:cNvPr id="0" name=""/>
        <dsp:cNvSpPr/>
      </dsp:nvSpPr>
      <dsp:spPr>
        <a:xfrm>
          <a:off x="922243" y="437098"/>
          <a:ext cx="2917377" cy="2917377"/>
        </a:xfrm>
        <a:prstGeom prst="blockArc">
          <a:avLst>
            <a:gd name="adj1" fmla="val 20520000"/>
            <a:gd name="adj2" fmla="val 3240000"/>
            <a:gd name="adj3" fmla="val 4643"/>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3B1EADE-1B69-4118-AAD7-FCF940900174}">
      <dsp:nvSpPr>
        <dsp:cNvPr id="0" name=""/>
        <dsp:cNvSpPr/>
      </dsp:nvSpPr>
      <dsp:spPr>
        <a:xfrm>
          <a:off x="922243" y="437098"/>
          <a:ext cx="2917377" cy="2917377"/>
        </a:xfrm>
        <a:prstGeom prst="blockArc">
          <a:avLst>
            <a:gd name="adj1" fmla="val 16200000"/>
            <a:gd name="adj2" fmla="val 20520000"/>
            <a:gd name="adj3" fmla="val 4643"/>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B3058C3-037A-4824-AA9F-950CA45D4A5E}">
      <dsp:nvSpPr>
        <dsp:cNvPr id="0" name=""/>
        <dsp:cNvSpPr/>
      </dsp:nvSpPr>
      <dsp:spPr>
        <a:xfrm>
          <a:off x="1708970" y="1223824"/>
          <a:ext cx="1343924" cy="1343924"/>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r>
            <a:rPr lang="en-US" sz="1700" kern="1200"/>
            <a:t>Analytical Judgment</a:t>
          </a:r>
        </a:p>
      </dsp:txBody>
      <dsp:txXfrm>
        <a:off x="1708970" y="1223824"/>
        <a:ext cx="1343924" cy="1343924"/>
      </dsp:txXfrm>
    </dsp:sp>
    <dsp:sp modelId="{DDA6E7D6-977A-47C8-9CF7-F3ED8CC49804}">
      <dsp:nvSpPr>
        <dsp:cNvPr id="0" name=""/>
        <dsp:cNvSpPr/>
      </dsp:nvSpPr>
      <dsp:spPr>
        <a:xfrm>
          <a:off x="1910558" y="591"/>
          <a:ext cx="940747" cy="94074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Theory</a:t>
          </a:r>
        </a:p>
      </dsp:txBody>
      <dsp:txXfrm>
        <a:off x="1910558" y="591"/>
        <a:ext cx="940747" cy="940747"/>
      </dsp:txXfrm>
    </dsp:sp>
    <dsp:sp modelId="{540CC08C-7AF3-44DE-A893-EB69C52ED979}">
      <dsp:nvSpPr>
        <dsp:cNvPr id="0" name=""/>
        <dsp:cNvSpPr/>
      </dsp:nvSpPr>
      <dsp:spPr>
        <a:xfrm>
          <a:off x="3265644" y="985118"/>
          <a:ext cx="940747" cy="94074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What ifs -context specific scenarios</a:t>
          </a:r>
        </a:p>
      </dsp:txBody>
      <dsp:txXfrm>
        <a:off x="3265644" y="985118"/>
        <a:ext cx="940747" cy="940747"/>
      </dsp:txXfrm>
    </dsp:sp>
    <dsp:sp modelId="{45DE5B14-8E7D-4D61-A2B4-11C3C87AE7AD}">
      <dsp:nvSpPr>
        <dsp:cNvPr id="0" name=""/>
        <dsp:cNvSpPr/>
      </dsp:nvSpPr>
      <dsp:spPr>
        <a:xfrm>
          <a:off x="2748047" y="2578117"/>
          <a:ext cx="940747" cy="94074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Examples: similar situations</a:t>
          </a:r>
        </a:p>
      </dsp:txBody>
      <dsp:txXfrm>
        <a:off x="2748047" y="2578117"/>
        <a:ext cx="940747" cy="940747"/>
      </dsp:txXfrm>
    </dsp:sp>
    <dsp:sp modelId="{AC2B0E89-DF27-4633-A49E-67EEF7DC726D}">
      <dsp:nvSpPr>
        <dsp:cNvPr id="0" name=""/>
        <dsp:cNvSpPr/>
      </dsp:nvSpPr>
      <dsp:spPr>
        <a:xfrm>
          <a:off x="1073069" y="2578117"/>
          <a:ext cx="940747" cy="94074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Implications of specific events</a:t>
          </a:r>
        </a:p>
      </dsp:txBody>
      <dsp:txXfrm>
        <a:off x="1073069" y="2578117"/>
        <a:ext cx="940747" cy="940747"/>
      </dsp:txXfrm>
    </dsp:sp>
    <dsp:sp modelId="{DD58D4C3-7D32-46EE-809E-20A92C1FCC3B}">
      <dsp:nvSpPr>
        <dsp:cNvPr id="0" name=""/>
        <dsp:cNvSpPr/>
      </dsp:nvSpPr>
      <dsp:spPr>
        <a:xfrm>
          <a:off x="555472" y="985118"/>
          <a:ext cx="940747" cy="94074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Extrapolation from vaule system</a:t>
          </a:r>
        </a:p>
      </dsp:txBody>
      <dsp:txXfrm>
        <a:off x="555472" y="985118"/>
        <a:ext cx="940747" cy="940747"/>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6B60A53-12F7-4B9D-9628-863D07E37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10891</Words>
  <Characters>59402</Characters>
  <Application>Microsoft Office Word</Application>
  <DocSecurity>0</DocSecurity>
  <Lines>495</Lines>
  <Paragraphs>140</Paragraphs>
  <ScaleCrop>false</ScaleCrop>
  <HeadingPairs>
    <vt:vector size="2" baseType="variant">
      <vt:variant>
        <vt:lpstr>Title</vt:lpstr>
      </vt:variant>
      <vt:variant>
        <vt:i4>1</vt:i4>
      </vt:variant>
    </vt:vector>
  </HeadingPairs>
  <TitlesOfParts>
    <vt:vector size="1" baseType="lpstr">
      <vt:lpstr>The Role of Automated Open Source Systems in the Intelligence Analysis of a High-Level Domain Expert</vt:lpstr>
    </vt:vector>
  </TitlesOfParts>
  <Company>Hewlett-Packard</Company>
  <LinksUpToDate>false</LinksUpToDate>
  <CharactersWithSpaces>70153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Automated Open Source Systems in the Intelligence Analysis of a High-Level Domain Expert</dc:title>
  <dc:creator>Pallavi Damera</dc:creator>
  <cp:lastModifiedBy>Tim Thomas</cp:lastModifiedBy>
  <cp:revision>3</cp:revision>
  <cp:lastPrinted>2010-01-12T23:59:00Z</cp:lastPrinted>
  <dcterms:created xsi:type="dcterms:W3CDTF">2010-02-15T21:11:00Z</dcterms:created>
  <dcterms:modified xsi:type="dcterms:W3CDTF">2010-02-15T21:23:00Z</dcterms:modified>
</cp:coreProperties>
</file>