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5B" w:rsidRPr="00973F5B" w:rsidRDefault="00973F5B">
      <w:pPr>
        <w:rPr>
          <w:b/>
          <w:sz w:val="24"/>
          <w:szCs w:val="24"/>
        </w:rPr>
      </w:pPr>
      <w:r w:rsidRPr="00973F5B">
        <w:rPr>
          <w:b/>
          <w:sz w:val="24"/>
          <w:szCs w:val="24"/>
        </w:rPr>
        <w:t>Non-user Survey Household Sample Selection</w:t>
      </w:r>
    </w:p>
    <w:p w:rsidR="00973F5B" w:rsidRDefault="00973F5B"/>
    <w:p w:rsidR="00296DC0" w:rsidRDefault="00296DC0">
      <w:r>
        <w:t>The following describes the methodology for selecting households to be sampled for the Global Impact Study non-user survey.</w:t>
      </w:r>
    </w:p>
    <w:p w:rsidR="00296DC0" w:rsidRDefault="00296DC0"/>
    <w:p w:rsidR="00113ED4" w:rsidRDefault="00113ED4"/>
    <w:p w:rsidR="00296DC0" w:rsidRPr="00296DC0" w:rsidRDefault="00296DC0">
      <w:pPr>
        <w:rPr>
          <w:b/>
        </w:rPr>
      </w:pPr>
      <w:r w:rsidRPr="00296DC0">
        <w:rPr>
          <w:b/>
        </w:rPr>
        <w:t>Overview</w:t>
      </w:r>
    </w:p>
    <w:p w:rsidR="00973F5B" w:rsidRDefault="00296DC0">
      <w:r>
        <w:t>The s</w:t>
      </w:r>
      <w:r w:rsidR="00973F5B">
        <w:t>election of households for the non-user survey consists of 3 parts:</w:t>
      </w:r>
    </w:p>
    <w:p w:rsidR="00973F5B" w:rsidRDefault="00973F5B" w:rsidP="00973F5B">
      <w:pPr>
        <w:pStyle w:val="ListParagraph"/>
        <w:numPr>
          <w:ilvl w:val="0"/>
          <w:numId w:val="1"/>
        </w:numPr>
      </w:pPr>
      <w:r>
        <w:t>Selecting 8-10 cities in which to sample</w:t>
      </w:r>
    </w:p>
    <w:p w:rsidR="00973F5B" w:rsidRDefault="00973F5B" w:rsidP="00973F5B">
      <w:pPr>
        <w:pStyle w:val="ListParagraph"/>
        <w:numPr>
          <w:ilvl w:val="0"/>
          <w:numId w:val="1"/>
        </w:numPr>
      </w:pPr>
      <w:r>
        <w:t>Selecting 2 areas in each city to sample</w:t>
      </w:r>
    </w:p>
    <w:p w:rsidR="00973F5B" w:rsidRDefault="00973F5B" w:rsidP="00973F5B">
      <w:pPr>
        <w:pStyle w:val="ListParagraph"/>
        <w:numPr>
          <w:ilvl w:val="0"/>
          <w:numId w:val="1"/>
        </w:numPr>
      </w:pPr>
      <w:r>
        <w:t>Selecting rural areas for sampling</w:t>
      </w:r>
    </w:p>
    <w:p w:rsidR="00973F5B" w:rsidRDefault="00973F5B" w:rsidP="00973F5B"/>
    <w:p w:rsidR="00973F5B" w:rsidRDefault="00973F5B" w:rsidP="00973F5B">
      <w:bookmarkStart w:id="0" w:name="_GoBack"/>
      <w:r>
        <w:t>The discussion below describes each step.</w:t>
      </w:r>
    </w:p>
    <w:bookmarkEnd w:id="0"/>
    <w:p w:rsidR="00973F5B" w:rsidRDefault="00973F5B" w:rsidP="00973F5B"/>
    <w:p w:rsidR="00973F5B" w:rsidRPr="00973F5B" w:rsidRDefault="00973F5B" w:rsidP="00973F5B">
      <w:pPr>
        <w:pStyle w:val="ListParagraph"/>
        <w:numPr>
          <w:ilvl w:val="0"/>
          <w:numId w:val="2"/>
        </w:numPr>
        <w:rPr>
          <w:b/>
        </w:rPr>
      </w:pPr>
      <w:r w:rsidRPr="00973F5B">
        <w:rPr>
          <w:b/>
        </w:rPr>
        <w:t>Selection of Cities</w:t>
      </w:r>
    </w:p>
    <w:p w:rsidR="008840F7" w:rsidRDefault="007122AC">
      <w:r w:rsidRPr="001267EA">
        <w:t>Select 8-10 cities that reflect a representation of the country</w:t>
      </w:r>
      <w:r w:rsidR="00772400" w:rsidRPr="001267EA">
        <w:t xml:space="preserve">. </w:t>
      </w:r>
      <w:r w:rsidR="00936F8C" w:rsidRPr="00936F8C">
        <w:rPr>
          <w:szCs w:val="24"/>
        </w:rPr>
        <w:t>The selection of the cities should be drawn from the list of cities in the venue and user surveys (which effectively becomes the frame).  In addition, the selection of cities should follow the regional patterns already established for the user and venue survey sampling: for each region the largest city must be selected, while the second must be drawn randomly from all other ones within each region. </w:t>
      </w:r>
    </w:p>
    <w:p w:rsidR="00885AE3" w:rsidRDefault="00885AE3"/>
    <w:p w:rsidR="00973F5B" w:rsidRPr="00973F5B" w:rsidRDefault="00973F5B" w:rsidP="00973F5B">
      <w:pPr>
        <w:pStyle w:val="ListParagraph"/>
        <w:numPr>
          <w:ilvl w:val="0"/>
          <w:numId w:val="2"/>
        </w:numPr>
        <w:rPr>
          <w:b/>
        </w:rPr>
      </w:pPr>
      <w:r w:rsidRPr="00973F5B">
        <w:rPr>
          <w:b/>
        </w:rPr>
        <w:t>Select 2 areas in each city to sample</w:t>
      </w:r>
    </w:p>
    <w:p w:rsidR="00FA13DA" w:rsidRPr="00936F8C" w:rsidRDefault="007122AC" w:rsidP="00FA13DA">
      <w:pPr>
        <w:rPr>
          <w:color w:val="FF0000"/>
          <w:szCs w:val="28"/>
        </w:rPr>
      </w:pPr>
      <w:r>
        <w:t>Within each city</w:t>
      </w:r>
      <w:r w:rsidR="00936F8C">
        <w:t xml:space="preserve">, randomly </w:t>
      </w:r>
      <w:r>
        <w:t xml:space="preserve">select </w:t>
      </w:r>
      <w:r w:rsidR="00AC3321">
        <w:t xml:space="preserve">1) </w:t>
      </w:r>
      <w:r>
        <w:t>one area that has a relatively dense distribution of public access venues</w:t>
      </w:r>
      <w:r w:rsidR="00772400">
        <w:t xml:space="preserve"> (4-5 close together)</w:t>
      </w:r>
      <w:r>
        <w:t xml:space="preserve">, and </w:t>
      </w:r>
      <w:r w:rsidR="00AC3321">
        <w:t xml:space="preserve">2) </w:t>
      </w:r>
      <w:r>
        <w:t>one area that has a relatively light distribution of public access venues</w:t>
      </w:r>
      <w:r w:rsidR="00973F5B">
        <w:t xml:space="preserve"> (just one or 2 venues</w:t>
      </w:r>
      <w:r w:rsidR="00772400">
        <w:t>)</w:t>
      </w:r>
      <w:r>
        <w:t>.</w:t>
      </w:r>
      <w:r w:rsidR="00772400">
        <w:t xml:space="preserve"> </w:t>
      </w:r>
      <w:r w:rsidR="00936F8C" w:rsidRPr="00936F8C">
        <w:t xml:space="preserve">To achieve this random selection, the team must first </w:t>
      </w:r>
      <w:r w:rsidR="00936F8C" w:rsidRPr="00936F8C">
        <w:rPr>
          <w:szCs w:val="24"/>
        </w:rPr>
        <w:t>group all locations sampled in the user and venue surveys as PAV-dense or PAV-light, then randomly draw one PAV-dense and one PAV-light area. </w:t>
      </w:r>
    </w:p>
    <w:p w:rsidR="00FA13DA" w:rsidRDefault="00FA13DA"/>
    <w:p w:rsidR="00754757" w:rsidRPr="00936F8C" w:rsidRDefault="00936F8C">
      <w:r>
        <w:t>Each</w:t>
      </w:r>
      <w:r w:rsidR="00772400">
        <w:t xml:space="preserve"> area</w:t>
      </w:r>
      <w:r>
        <w:t xml:space="preserve"> </w:t>
      </w:r>
      <w:r w:rsidR="00772400">
        <w:t>should be approximately 10 blocks x 10 blocks in size</w:t>
      </w:r>
      <w:r w:rsidR="00973F5B">
        <w:t>, with the public access venues located in the center</w:t>
      </w:r>
      <w:r w:rsidR="00772400">
        <w:t>. The actual</w:t>
      </w:r>
      <w:r w:rsidR="00885AE3">
        <w:t xml:space="preserve"> strategy for creating this area and selecting</w:t>
      </w:r>
      <w:r w:rsidR="00772400">
        <w:t xml:space="preserve"> </w:t>
      </w:r>
      <w:r w:rsidR="00AC3321">
        <w:t>household</w:t>
      </w:r>
      <w:r>
        <w:t>s</w:t>
      </w:r>
      <w:r w:rsidR="00885AE3">
        <w:t xml:space="preserve"> will be done in conjunction with the team based on local contexts. Therefore, we cannot prescribe at this point in time a static definition of the size and shape of the areas.</w:t>
      </w:r>
      <w:r>
        <w:t xml:space="preserve"> However, you will be working with the Global Impact Study survey team to develop a plan for sampling households within each area.</w:t>
      </w:r>
    </w:p>
    <w:p w:rsidR="00885AE3" w:rsidRDefault="00885AE3"/>
    <w:p w:rsidR="00FA13DA" w:rsidRDefault="007122AC">
      <w:r>
        <w:t xml:space="preserve">From each of the two areas selected in each city, conduct an interview of one individual </w:t>
      </w:r>
      <w:r w:rsidR="00885AE3">
        <w:t xml:space="preserve">each </w:t>
      </w:r>
      <w:r>
        <w:t>at 18 households. That will total 36 interviews per city.</w:t>
      </w:r>
      <w:r w:rsidR="00885AE3">
        <w:t xml:space="preserve"> </w:t>
      </w:r>
    </w:p>
    <w:p w:rsidR="00FA13DA" w:rsidRDefault="00FA13DA"/>
    <w:p w:rsidR="006B6061" w:rsidRPr="006B6061" w:rsidRDefault="006B6061" w:rsidP="006B6061">
      <w:r w:rsidRPr="006B6061">
        <w:t xml:space="preserve">For additional reading on this </w:t>
      </w:r>
      <w:r>
        <w:t xml:space="preserve">type of </w:t>
      </w:r>
      <w:r w:rsidRPr="006B6061">
        <w:t>methodology, see:</w:t>
      </w:r>
    </w:p>
    <w:p w:rsidR="006B6061" w:rsidRPr="006B6061" w:rsidRDefault="006B6061" w:rsidP="006B6061">
      <w:pPr>
        <w:widowControl w:val="0"/>
        <w:autoSpaceDE w:val="0"/>
        <w:autoSpaceDN w:val="0"/>
        <w:adjustRightInd w:val="0"/>
      </w:pPr>
      <w:r w:rsidRPr="006B6061">
        <w:rPr>
          <w:rFonts w:cs="Times-Roman"/>
          <w:szCs w:val="18"/>
        </w:rPr>
        <w:t xml:space="preserve">Bennett S, Woods T, </w:t>
      </w:r>
      <w:proofErr w:type="spellStart"/>
      <w:r w:rsidRPr="006B6061">
        <w:rPr>
          <w:rFonts w:cs="Times-Roman"/>
          <w:szCs w:val="18"/>
        </w:rPr>
        <w:t>Liyanage</w:t>
      </w:r>
      <w:proofErr w:type="spellEnd"/>
      <w:r w:rsidRPr="006B6061">
        <w:rPr>
          <w:rFonts w:cs="Times-Roman"/>
          <w:szCs w:val="18"/>
        </w:rPr>
        <w:t xml:space="preserve"> WM, Smith DL. 1991. A simplified general method for cluster-sample surveys of health in developing countries. </w:t>
      </w:r>
      <w:r w:rsidRPr="006B6061">
        <w:rPr>
          <w:rFonts w:cs="Times-Roman"/>
          <w:i/>
          <w:iCs/>
          <w:szCs w:val="18"/>
        </w:rPr>
        <w:t xml:space="preserve">World Health Stat. Q. </w:t>
      </w:r>
      <w:r w:rsidRPr="006B6061">
        <w:rPr>
          <w:rFonts w:cs="Times-Roman"/>
          <w:szCs w:val="18"/>
        </w:rPr>
        <w:t xml:space="preserve">44(3):98–106. </w:t>
      </w:r>
    </w:p>
    <w:p w:rsidR="00885AE3" w:rsidRDefault="00885AE3"/>
    <w:p w:rsidR="00973F5B" w:rsidRPr="00973F5B" w:rsidRDefault="00973F5B" w:rsidP="00973F5B">
      <w:pPr>
        <w:pStyle w:val="ListParagraph"/>
        <w:numPr>
          <w:ilvl w:val="0"/>
          <w:numId w:val="2"/>
        </w:numPr>
        <w:rPr>
          <w:b/>
        </w:rPr>
      </w:pPr>
      <w:r>
        <w:rPr>
          <w:b/>
        </w:rPr>
        <w:t>Selection of Rural Areas</w:t>
      </w:r>
    </w:p>
    <w:p w:rsidR="007122AC" w:rsidRDefault="007122AC">
      <w:r>
        <w:t>Select one rural area near each city</w:t>
      </w:r>
      <w:r w:rsidR="00D95AA5">
        <w:t xml:space="preserve"> randomly from </w:t>
      </w:r>
      <w:r w:rsidR="00D95AA5">
        <w:rPr>
          <w:szCs w:val="24"/>
        </w:rPr>
        <w:t>the approximately</w:t>
      </w:r>
      <w:r w:rsidR="00D95AA5" w:rsidRPr="00D95AA5">
        <w:rPr>
          <w:szCs w:val="24"/>
        </w:rPr>
        <w:t xml:space="preserve"> </w:t>
      </w:r>
      <w:r w:rsidR="00D95AA5">
        <w:rPr>
          <w:szCs w:val="24"/>
        </w:rPr>
        <w:t>five rural areas</w:t>
      </w:r>
      <w:r w:rsidR="00D95AA5" w:rsidRPr="00D95AA5">
        <w:rPr>
          <w:szCs w:val="24"/>
        </w:rPr>
        <w:t xml:space="preserve"> selected in the </w:t>
      </w:r>
      <w:r w:rsidR="00D95AA5">
        <w:rPr>
          <w:szCs w:val="24"/>
        </w:rPr>
        <w:t>venue and user</w:t>
      </w:r>
      <w:r w:rsidR="00D95AA5" w:rsidRPr="00D95AA5">
        <w:rPr>
          <w:szCs w:val="24"/>
        </w:rPr>
        <w:t xml:space="preserve"> surveys</w:t>
      </w:r>
      <w:r>
        <w:t>. The rural areas should be close enough that it takes no more than one day to drive there and back</w:t>
      </w:r>
      <w:r w:rsidR="007F103F">
        <w:t xml:space="preserve"> from the city</w:t>
      </w:r>
      <w:r>
        <w:t>. Additionally, the rural area</w:t>
      </w:r>
      <w:r w:rsidR="00885AE3">
        <w:t>s</w:t>
      </w:r>
      <w:r>
        <w:t xml:space="preserve"> should have been sampled in the user and venue survey.</w:t>
      </w:r>
    </w:p>
    <w:p w:rsidR="00885AE3" w:rsidRDefault="00885AE3"/>
    <w:p w:rsidR="007122AC" w:rsidRDefault="007122AC">
      <w:r>
        <w:lastRenderedPageBreak/>
        <w:t xml:space="preserve">At each rural area, interview one individual </w:t>
      </w:r>
      <w:r w:rsidR="007F103F">
        <w:t xml:space="preserve">each </w:t>
      </w:r>
      <w:r>
        <w:t>at 4 households. That will total 4 interviews per rural area.</w:t>
      </w:r>
      <w:r w:rsidR="002C32CD">
        <w:t xml:space="preserve"> See Option 1 below.</w:t>
      </w:r>
    </w:p>
    <w:p w:rsidR="00885AE3" w:rsidRDefault="00885AE3"/>
    <w:p w:rsidR="00885AE3" w:rsidRPr="00885AE3" w:rsidRDefault="00885AE3" w:rsidP="00885AE3">
      <w:pPr>
        <w:rPr>
          <w:rFonts w:cstheme="minorHAnsi"/>
        </w:rPr>
      </w:pPr>
      <w:r w:rsidRPr="00885AE3">
        <w:rPr>
          <w:rFonts w:cstheme="minorHAnsi"/>
        </w:rPr>
        <w:t xml:space="preserve">If for costs, timing and other operational efficiencies a country wishes to select randomly 5 of the 10 rural areas and double the sample (from 4 to 8) in each, </w:t>
      </w:r>
      <w:r>
        <w:rPr>
          <w:rFonts w:cstheme="minorHAnsi"/>
        </w:rPr>
        <w:t xml:space="preserve">that is acceptable. </w:t>
      </w:r>
      <w:r w:rsidRPr="00885AE3">
        <w:rPr>
          <w:rFonts w:cstheme="minorHAnsi"/>
        </w:rPr>
        <w:t>The key requirement is to have the sample sufficiently distributed – and it will be – and around the venues surveyed.</w:t>
      </w:r>
      <w:r w:rsidR="002C32CD">
        <w:rPr>
          <w:rFonts w:cstheme="minorHAnsi"/>
        </w:rPr>
        <w:t xml:space="preserve"> See Option 2 below.</w:t>
      </w:r>
    </w:p>
    <w:p w:rsidR="00885AE3" w:rsidRDefault="00885AE3"/>
    <w:p w:rsidR="00B73A9E" w:rsidRDefault="00B73A9E">
      <w:pPr>
        <w:rPr>
          <w:b/>
        </w:rPr>
      </w:pPr>
      <w:r>
        <w:rPr>
          <w:b/>
        </w:rPr>
        <w:br w:type="page"/>
      </w:r>
    </w:p>
    <w:p w:rsidR="002C32CD" w:rsidRDefault="002C32CD">
      <w:pPr>
        <w:rPr>
          <w:b/>
        </w:rPr>
      </w:pPr>
    </w:p>
    <w:p w:rsidR="00B73A9E" w:rsidRPr="00B73A9E" w:rsidRDefault="00B73A9E">
      <w:pPr>
        <w:rPr>
          <w:b/>
        </w:rPr>
      </w:pPr>
      <w:r w:rsidRPr="00B73A9E">
        <w:rPr>
          <w:b/>
        </w:rPr>
        <w:t>Non-user Sample Distribution –</w:t>
      </w:r>
      <w:r w:rsidR="002C32CD">
        <w:rPr>
          <w:b/>
        </w:rPr>
        <w:t xml:space="preserve"> Options 1 and 2</w:t>
      </w:r>
    </w:p>
    <w:tbl>
      <w:tblPr>
        <w:tblStyle w:val="TableGrid"/>
        <w:tblW w:w="0" w:type="auto"/>
        <w:tblLook w:val="04A0" w:firstRow="1" w:lastRow="0" w:firstColumn="1" w:lastColumn="0" w:noHBand="0" w:noVBand="1"/>
      </w:tblPr>
      <w:tblGrid>
        <w:gridCol w:w="1243"/>
        <w:gridCol w:w="1786"/>
        <w:gridCol w:w="1705"/>
        <w:gridCol w:w="1626"/>
        <w:gridCol w:w="1608"/>
        <w:gridCol w:w="1608"/>
      </w:tblGrid>
      <w:tr w:rsidR="00B73A9E">
        <w:tc>
          <w:tcPr>
            <w:tcW w:w="3131" w:type="dxa"/>
            <w:gridSpan w:val="2"/>
            <w:vMerge w:val="restart"/>
            <w:vAlign w:val="bottom"/>
          </w:tcPr>
          <w:p w:rsidR="00B73A9E" w:rsidRPr="00772400" w:rsidRDefault="00B73A9E" w:rsidP="00B73A9E">
            <w:pPr>
              <w:jc w:val="center"/>
              <w:rPr>
                <w:b/>
              </w:rPr>
            </w:pPr>
            <w:r w:rsidRPr="00772400">
              <w:rPr>
                <w:b/>
              </w:rPr>
              <w:t>Location</w:t>
            </w:r>
          </w:p>
        </w:tc>
        <w:tc>
          <w:tcPr>
            <w:tcW w:w="3339" w:type="dxa"/>
            <w:gridSpan w:val="2"/>
          </w:tcPr>
          <w:p w:rsidR="00B73A9E" w:rsidRPr="007122AC" w:rsidRDefault="00B73A9E" w:rsidP="00B73A9E">
            <w:pPr>
              <w:jc w:val="center"/>
              <w:rPr>
                <w:b/>
              </w:rPr>
            </w:pPr>
            <w:r>
              <w:rPr>
                <w:b/>
              </w:rPr>
              <w:t>Option 1</w:t>
            </w:r>
          </w:p>
        </w:tc>
        <w:tc>
          <w:tcPr>
            <w:tcW w:w="3106" w:type="dxa"/>
            <w:gridSpan w:val="2"/>
          </w:tcPr>
          <w:p w:rsidR="00B73A9E" w:rsidRPr="007122AC" w:rsidRDefault="00B73A9E" w:rsidP="00B73A9E">
            <w:pPr>
              <w:jc w:val="center"/>
              <w:rPr>
                <w:b/>
              </w:rPr>
            </w:pPr>
            <w:r>
              <w:rPr>
                <w:b/>
              </w:rPr>
              <w:t>Option 2</w:t>
            </w:r>
          </w:p>
        </w:tc>
      </w:tr>
      <w:tr w:rsidR="00B73A9E">
        <w:tc>
          <w:tcPr>
            <w:tcW w:w="3131" w:type="dxa"/>
            <w:gridSpan w:val="2"/>
            <w:vMerge/>
          </w:tcPr>
          <w:p w:rsidR="00B73A9E" w:rsidRPr="00772400" w:rsidRDefault="00B73A9E" w:rsidP="00772400">
            <w:pPr>
              <w:jc w:val="center"/>
              <w:rPr>
                <w:b/>
              </w:rPr>
            </w:pPr>
          </w:p>
        </w:tc>
        <w:tc>
          <w:tcPr>
            <w:tcW w:w="1712" w:type="dxa"/>
          </w:tcPr>
          <w:p w:rsidR="00B73A9E" w:rsidRPr="00772400" w:rsidRDefault="00B73A9E" w:rsidP="00591EF9">
            <w:pPr>
              <w:jc w:val="center"/>
              <w:rPr>
                <w:b/>
              </w:rPr>
            </w:pPr>
            <w:r w:rsidRPr="00772400">
              <w:rPr>
                <w:b/>
              </w:rPr>
              <w:t xml:space="preserve">Number of </w:t>
            </w:r>
            <w:r w:rsidR="00591EF9">
              <w:rPr>
                <w:b/>
              </w:rPr>
              <w:t>Questionnaires</w:t>
            </w:r>
          </w:p>
        </w:tc>
        <w:tc>
          <w:tcPr>
            <w:tcW w:w="1627" w:type="dxa"/>
            <w:vAlign w:val="bottom"/>
          </w:tcPr>
          <w:p w:rsidR="00B73A9E" w:rsidRPr="007122AC" w:rsidRDefault="00B73A9E" w:rsidP="00B73A9E">
            <w:pPr>
              <w:jc w:val="center"/>
              <w:rPr>
                <w:b/>
              </w:rPr>
            </w:pPr>
            <w:r w:rsidRPr="007122AC">
              <w:rPr>
                <w:b/>
              </w:rPr>
              <w:t xml:space="preserve">Total </w:t>
            </w:r>
            <w:r w:rsidR="00591EF9">
              <w:rPr>
                <w:b/>
              </w:rPr>
              <w:t>Questionnaires</w:t>
            </w:r>
          </w:p>
        </w:tc>
        <w:tc>
          <w:tcPr>
            <w:tcW w:w="1553" w:type="dxa"/>
          </w:tcPr>
          <w:p w:rsidR="00B73A9E" w:rsidRPr="00772400" w:rsidRDefault="00B73A9E" w:rsidP="00754757">
            <w:pPr>
              <w:jc w:val="center"/>
              <w:rPr>
                <w:b/>
              </w:rPr>
            </w:pPr>
            <w:r w:rsidRPr="00772400">
              <w:rPr>
                <w:b/>
              </w:rPr>
              <w:t xml:space="preserve">Number of </w:t>
            </w:r>
            <w:r w:rsidR="00591EF9">
              <w:rPr>
                <w:b/>
              </w:rPr>
              <w:t>Questionnaires</w:t>
            </w:r>
          </w:p>
        </w:tc>
        <w:tc>
          <w:tcPr>
            <w:tcW w:w="1553" w:type="dxa"/>
            <w:vAlign w:val="bottom"/>
          </w:tcPr>
          <w:p w:rsidR="00B73A9E" w:rsidRPr="007122AC" w:rsidRDefault="00B73A9E" w:rsidP="00754757">
            <w:pPr>
              <w:jc w:val="center"/>
              <w:rPr>
                <w:b/>
              </w:rPr>
            </w:pPr>
            <w:r w:rsidRPr="007122AC">
              <w:rPr>
                <w:b/>
              </w:rPr>
              <w:t xml:space="preserve">Total </w:t>
            </w:r>
            <w:r w:rsidR="00591EF9">
              <w:rPr>
                <w:b/>
              </w:rPr>
              <w:t>Questionnaires</w:t>
            </w:r>
          </w:p>
        </w:tc>
      </w:tr>
      <w:tr w:rsidR="00B73A9E">
        <w:tc>
          <w:tcPr>
            <w:tcW w:w="1281" w:type="dxa"/>
            <w:vMerge w:val="restart"/>
          </w:tcPr>
          <w:p w:rsidR="00B73A9E" w:rsidRDefault="00B73A9E">
            <w:r>
              <w:t>City 1</w:t>
            </w:r>
          </w:p>
        </w:tc>
        <w:tc>
          <w:tcPr>
            <w:tcW w:w="1850" w:type="dxa"/>
          </w:tcPr>
          <w:p w:rsidR="00B73A9E" w:rsidRDefault="00B73A9E">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44</w:t>
            </w:r>
          </w:p>
        </w:tc>
      </w:tr>
      <w:tr w:rsidR="00B73A9E">
        <w:tc>
          <w:tcPr>
            <w:tcW w:w="1281" w:type="dxa"/>
            <w:vMerge/>
          </w:tcPr>
          <w:p w:rsidR="00B73A9E" w:rsidRDefault="00B73A9E"/>
        </w:tc>
        <w:tc>
          <w:tcPr>
            <w:tcW w:w="1850" w:type="dxa"/>
          </w:tcPr>
          <w:p w:rsidR="00B73A9E" w:rsidRDefault="00B73A9E">
            <w:r>
              <w:t>PAV light area</w:t>
            </w:r>
          </w:p>
        </w:tc>
        <w:tc>
          <w:tcPr>
            <w:tcW w:w="1712" w:type="dxa"/>
          </w:tcPr>
          <w:p w:rsidR="00B73A9E" w:rsidRDefault="00B73A9E" w:rsidP="00772400">
            <w:pPr>
              <w:jc w:val="center"/>
            </w:pPr>
            <w:r>
              <w:t>18</w:t>
            </w:r>
          </w:p>
        </w:tc>
        <w:tc>
          <w:tcPr>
            <w:tcW w:w="1627" w:type="dxa"/>
            <w:vMerge/>
          </w:tcPr>
          <w:p w:rsidR="00B73A9E" w:rsidRDefault="00B73A9E" w:rsidP="00754757"/>
        </w:tc>
        <w:tc>
          <w:tcPr>
            <w:tcW w:w="1553" w:type="dxa"/>
          </w:tcPr>
          <w:p w:rsidR="00B73A9E" w:rsidRDefault="00B73A9E" w:rsidP="00754757">
            <w:pPr>
              <w:jc w:val="center"/>
            </w:pPr>
            <w:r>
              <w:t>18</w:t>
            </w:r>
          </w:p>
        </w:tc>
        <w:tc>
          <w:tcPr>
            <w:tcW w:w="1553" w:type="dxa"/>
            <w:vMerge/>
          </w:tcPr>
          <w:p w:rsidR="00B73A9E" w:rsidRDefault="00B73A9E" w:rsidP="00754757"/>
        </w:tc>
      </w:tr>
      <w:tr w:rsidR="00B73A9E">
        <w:tc>
          <w:tcPr>
            <w:tcW w:w="1281" w:type="dxa"/>
            <w:vMerge/>
          </w:tcPr>
          <w:p w:rsidR="00B73A9E" w:rsidRDefault="00B73A9E"/>
        </w:tc>
        <w:tc>
          <w:tcPr>
            <w:tcW w:w="1850" w:type="dxa"/>
          </w:tcPr>
          <w:p w:rsidR="00B73A9E" w:rsidRDefault="00B73A9E">
            <w:r>
              <w:t>Rural area</w:t>
            </w:r>
          </w:p>
        </w:tc>
        <w:tc>
          <w:tcPr>
            <w:tcW w:w="1712" w:type="dxa"/>
          </w:tcPr>
          <w:p w:rsidR="00B73A9E" w:rsidRDefault="00B73A9E" w:rsidP="00772400">
            <w:pPr>
              <w:jc w:val="center"/>
            </w:pPr>
            <w:r>
              <w:t>4</w:t>
            </w:r>
          </w:p>
        </w:tc>
        <w:tc>
          <w:tcPr>
            <w:tcW w:w="1627" w:type="dxa"/>
            <w:vMerge/>
          </w:tcPr>
          <w:p w:rsidR="00B73A9E" w:rsidRDefault="00B73A9E"/>
        </w:tc>
        <w:tc>
          <w:tcPr>
            <w:tcW w:w="1553" w:type="dxa"/>
          </w:tcPr>
          <w:p w:rsidR="00B73A9E" w:rsidRDefault="00B73A9E" w:rsidP="00754757">
            <w:pPr>
              <w:jc w:val="center"/>
            </w:pPr>
            <w:r>
              <w:t>8</w:t>
            </w:r>
          </w:p>
        </w:tc>
        <w:tc>
          <w:tcPr>
            <w:tcW w:w="1553" w:type="dxa"/>
            <w:vMerge/>
          </w:tcPr>
          <w:p w:rsidR="00B73A9E" w:rsidRDefault="00B73A9E" w:rsidP="00754757"/>
        </w:tc>
      </w:tr>
      <w:tr w:rsidR="00B73A9E">
        <w:tc>
          <w:tcPr>
            <w:tcW w:w="1281" w:type="dxa"/>
            <w:vMerge w:val="restart"/>
          </w:tcPr>
          <w:p w:rsidR="00B73A9E" w:rsidRDefault="00B73A9E" w:rsidP="00754757">
            <w:r>
              <w:t>City 2</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44</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890C7D" w:rsidP="00754757">
            <w:pPr>
              <w:jc w:val="center"/>
            </w:pPr>
            <w:r>
              <w:t>8</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3</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44</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890C7D" w:rsidP="00754757">
            <w:pPr>
              <w:jc w:val="center"/>
            </w:pPr>
            <w:r>
              <w:t>8</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4</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44</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890C7D" w:rsidP="00754757">
            <w:pPr>
              <w:jc w:val="center"/>
            </w:pPr>
            <w:r>
              <w:t>8</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5</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44</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890C7D" w:rsidP="00754757">
            <w:pPr>
              <w:jc w:val="center"/>
            </w:pPr>
            <w:r>
              <w:t>8</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6</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36</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0</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7</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36</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0</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8</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36</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0</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9</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36</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18</w:t>
            </w:r>
          </w:p>
        </w:tc>
        <w:tc>
          <w:tcPr>
            <w:tcW w:w="1553" w:type="dxa"/>
            <w:vMerge/>
            <w:vAlign w:val="bottom"/>
          </w:tcPr>
          <w:p w:rsidR="00B73A9E" w:rsidRDefault="00B73A9E" w:rsidP="00754757">
            <w:pPr>
              <w:jc w:val="center"/>
            </w:pPr>
          </w:p>
        </w:tc>
      </w:tr>
      <w:tr w:rsidR="00B73A9E">
        <w:tc>
          <w:tcPr>
            <w:tcW w:w="1281" w:type="dxa"/>
            <w:vMerge/>
          </w:tcPr>
          <w:p w:rsidR="00B73A9E" w:rsidRDefault="00B73A9E" w:rsidP="00754757"/>
        </w:tc>
        <w:tc>
          <w:tcPr>
            <w:tcW w:w="1850" w:type="dxa"/>
          </w:tcPr>
          <w:p w:rsidR="00B73A9E" w:rsidRDefault="00B73A9E" w:rsidP="00754757">
            <w:r>
              <w:t>Rural area</w:t>
            </w:r>
          </w:p>
        </w:tc>
        <w:tc>
          <w:tcPr>
            <w:tcW w:w="1712" w:type="dxa"/>
          </w:tcPr>
          <w:p w:rsidR="00B73A9E" w:rsidRDefault="00B73A9E" w:rsidP="00772400">
            <w:pPr>
              <w:jc w:val="center"/>
            </w:pPr>
            <w:r>
              <w:t>4</w:t>
            </w:r>
          </w:p>
        </w:tc>
        <w:tc>
          <w:tcPr>
            <w:tcW w:w="1627" w:type="dxa"/>
            <w:vMerge/>
            <w:vAlign w:val="bottom"/>
          </w:tcPr>
          <w:p w:rsidR="00B73A9E" w:rsidRDefault="00B73A9E" w:rsidP="007122AC">
            <w:pPr>
              <w:jc w:val="center"/>
            </w:pPr>
          </w:p>
        </w:tc>
        <w:tc>
          <w:tcPr>
            <w:tcW w:w="1553" w:type="dxa"/>
          </w:tcPr>
          <w:p w:rsidR="00B73A9E" w:rsidRDefault="00B73A9E" w:rsidP="00754757">
            <w:pPr>
              <w:jc w:val="center"/>
            </w:pPr>
            <w:r>
              <w:t>0</w:t>
            </w:r>
          </w:p>
        </w:tc>
        <w:tc>
          <w:tcPr>
            <w:tcW w:w="1553" w:type="dxa"/>
            <w:vMerge/>
            <w:vAlign w:val="bottom"/>
          </w:tcPr>
          <w:p w:rsidR="00B73A9E" w:rsidRDefault="00B73A9E" w:rsidP="00754757">
            <w:pPr>
              <w:jc w:val="center"/>
            </w:pPr>
          </w:p>
        </w:tc>
      </w:tr>
      <w:tr w:rsidR="00B73A9E">
        <w:tc>
          <w:tcPr>
            <w:tcW w:w="1281" w:type="dxa"/>
            <w:vMerge w:val="restart"/>
          </w:tcPr>
          <w:p w:rsidR="00B73A9E" w:rsidRDefault="00B73A9E" w:rsidP="00754757">
            <w:r>
              <w:t>City 10</w:t>
            </w:r>
          </w:p>
        </w:tc>
        <w:tc>
          <w:tcPr>
            <w:tcW w:w="1850" w:type="dxa"/>
          </w:tcPr>
          <w:p w:rsidR="00B73A9E" w:rsidRDefault="00B73A9E" w:rsidP="00754757">
            <w:r>
              <w:t>PAV dense area</w:t>
            </w:r>
          </w:p>
        </w:tc>
        <w:tc>
          <w:tcPr>
            <w:tcW w:w="1712" w:type="dxa"/>
          </w:tcPr>
          <w:p w:rsidR="00B73A9E" w:rsidRDefault="00B73A9E" w:rsidP="00772400">
            <w:pPr>
              <w:jc w:val="center"/>
            </w:pPr>
            <w:r>
              <w:t>18</w:t>
            </w:r>
          </w:p>
        </w:tc>
        <w:tc>
          <w:tcPr>
            <w:tcW w:w="1627" w:type="dxa"/>
            <w:vMerge w:val="restart"/>
            <w:vAlign w:val="bottom"/>
          </w:tcPr>
          <w:p w:rsidR="00B73A9E" w:rsidRDefault="00B73A9E" w:rsidP="007122AC">
            <w:pPr>
              <w:jc w:val="center"/>
            </w:pPr>
            <w:r w:rsidRPr="00E8143C">
              <w:t>40</w:t>
            </w:r>
          </w:p>
        </w:tc>
        <w:tc>
          <w:tcPr>
            <w:tcW w:w="1553" w:type="dxa"/>
          </w:tcPr>
          <w:p w:rsidR="00B73A9E" w:rsidRDefault="00B73A9E" w:rsidP="00754757">
            <w:pPr>
              <w:jc w:val="center"/>
            </w:pPr>
            <w:r>
              <w:t>18</w:t>
            </w:r>
          </w:p>
        </w:tc>
        <w:tc>
          <w:tcPr>
            <w:tcW w:w="1553" w:type="dxa"/>
            <w:vMerge w:val="restart"/>
            <w:vAlign w:val="bottom"/>
          </w:tcPr>
          <w:p w:rsidR="00B73A9E" w:rsidRDefault="00B73A9E" w:rsidP="00754757">
            <w:pPr>
              <w:jc w:val="center"/>
            </w:pPr>
            <w:r>
              <w:t>36</w:t>
            </w:r>
          </w:p>
        </w:tc>
      </w:tr>
      <w:tr w:rsidR="00B73A9E">
        <w:tc>
          <w:tcPr>
            <w:tcW w:w="1281" w:type="dxa"/>
            <w:vMerge/>
          </w:tcPr>
          <w:p w:rsidR="00B73A9E" w:rsidRDefault="00B73A9E" w:rsidP="00754757"/>
        </w:tc>
        <w:tc>
          <w:tcPr>
            <w:tcW w:w="1850" w:type="dxa"/>
          </w:tcPr>
          <w:p w:rsidR="00B73A9E" w:rsidRDefault="00B73A9E" w:rsidP="00754757">
            <w:r>
              <w:t>PAV light area</w:t>
            </w:r>
          </w:p>
        </w:tc>
        <w:tc>
          <w:tcPr>
            <w:tcW w:w="1712" w:type="dxa"/>
          </w:tcPr>
          <w:p w:rsidR="00B73A9E" w:rsidRDefault="00B73A9E" w:rsidP="00772400">
            <w:pPr>
              <w:jc w:val="center"/>
            </w:pPr>
            <w:r>
              <w:t>18</w:t>
            </w:r>
          </w:p>
        </w:tc>
        <w:tc>
          <w:tcPr>
            <w:tcW w:w="1627" w:type="dxa"/>
            <w:vMerge/>
          </w:tcPr>
          <w:p w:rsidR="00B73A9E" w:rsidRDefault="00B73A9E" w:rsidP="00754757"/>
        </w:tc>
        <w:tc>
          <w:tcPr>
            <w:tcW w:w="1553" w:type="dxa"/>
          </w:tcPr>
          <w:p w:rsidR="00B73A9E" w:rsidRDefault="00B73A9E" w:rsidP="00754757">
            <w:pPr>
              <w:jc w:val="center"/>
            </w:pPr>
            <w:r>
              <w:t>18</w:t>
            </w:r>
          </w:p>
        </w:tc>
        <w:tc>
          <w:tcPr>
            <w:tcW w:w="1553" w:type="dxa"/>
            <w:vMerge/>
            <w:vAlign w:val="bottom"/>
          </w:tcPr>
          <w:p w:rsidR="00B73A9E" w:rsidRDefault="00B73A9E" w:rsidP="00754757"/>
        </w:tc>
      </w:tr>
      <w:tr w:rsidR="00B73A9E">
        <w:tc>
          <w:tcPr>
            <w:tcW w:w="1281" w:type="dxa"/>
            <w:vMerge/>
            <w:tcBorders>
              <w:bottom w:val="single" w:sz="12" w:space="0" w:color="auto"/>
            </w:tcBorders>
          </w:tcPr>
          <w:p w:rsidR="00B73A9E" w:rsidRDefault="00B73A9E" w:rsidP="00754757"/>
        </w:tc>
        <w:tc>
          <w:tcPr>
            <w:tcW w:w="1850" w:type="dxa"/>
            <w:tcBorders>
              <w:bottom w:val="single" w:sz="12" w:space="0" w:color="auto"/>
            </w:tcBorders>
          </w:tcPr>
          <w:p w:rsidR="00B73A9E" w:rsidRDefault="00B73A9E" w:rsidP="00754757">
            <w:r>
              <w:t>Rural area</w:t>
            </w:r>
          </w:p>
        </w:tc>
        <w:tc>
          <w:tcPr>
            <w:tcW w:w="1712" w:type="dxa"/>
            <w:tcBorders>
              <w:bottom w:val="single" w:sz="12" w:space="0" w:color="auto"/>
            </w:tcBorders>
          </w:tcPr>
          <w:p w:rsidR="00B73A9E" w:rsidRDefault="00B73A9E" w:rsidP="00772400">
            <w:pPr>
              <w:jc w:val="center"/>
            </w:pPr>
            <w:r>
              <w:t>4</w:t>
            </w:r>
          </w:p>
        </w:tc>
        <w:tc>
          <w:tcPr>
            <w:tcW w:w="1627" w:type="dxa"/>
            <w:vMerge/>
            <w:tcBorders>
              <w:bottom w:val="single" w:sz="12" w:space="0" w:color="auto"/>
            </w:tcBorders>
          </w:tcPr>
          <w:p w:rsidR="00B73A9E" w:rsidRDefault="00B73A9E" w:rsidP="00754757"/>
        </w:tc>
        <w:tc>
          <w:tcPr>
            <w:tcW w:w="1553" w:type="dxa"/>
            <w:tcBorders>
              <w:bottom w:val="single" w:sz="12" w:space="0" w:color="auto"/>
            </w:tcBorders>
          </w:tcPr>
          <w:p w:rsidR="00B73A9E" w:rsidRDefault="00B73A9E" w:rsidP="00754757">
            <w:pPr>
              <w:jc w:val="center"/>
            </w:pPr>
            <w:r>
              <w:t>0</w:t>
            </w:r>
          </w:p>
        </w:tc>
        <w:tc>
          <w:tcPr>
            <w:tcW w:w="1553" w:type="dxa"/>
            <w:vMerge/>
            <w:tcBorders>
              <w:bottom w:val="single" w:sz="12" w:space="0" w:color="auto"/>
            </w:tcBorders>
            <w:vAlign w:val="bottom"/>
          </w:tcPr>
          <w:p w:rsidR="00B73A9E" w:rsidRDefault="00B73A9E" w:rsidP="00754757"/>
        </w:tc>
      </w:tr>
      <w:tr w:rsidR="00805213" w:rsidRPr="007122AC" w:rsidTr="00591EF9">
        <w:tc>
          <w:tcPr>
            <w:tcW w:w="3131" w:type="dxa"/>
            <w:gridSpan w:val="2"/>
            <w:tcBorders>
              <w:top w:val="single" w:sz="12" w:space="0" w:color="auto"/>
            </w:tcBorders>
          </w:tcPr>
          <w:p w:rsidR="00805213" w:rsidRPr="007122AC" w:rsidRDefault="00805213" w:rsidP="00754757">
            <w:pPr>
              <w:rPr>
                <w:b/>
              </w:rPr>
            </w:pPr>
            <w:r w:rsidRPr="007122AC">
              <w:rPr>
                <w:b/>
              </w:rPr>
              <w:t xml:space="preserve">Total Number of </w:t>
            </w:r>
            <w:r w:rsidR="00591EF9">
              <w:rPr>
                <w:b/>
              </w:rPr>
              <w:t>Questionnaires</w:t>
            </w:r>
          </w:p>
        </w:tc>
        <w:tc>
          <w:tcPr>
            <w:tcW w:w="1712" w:type="dxa"/>
            <w:tcBorders>
              <w:top w:val="single" w:sz="12" w:space="0" w:color="auto"/>
            </w:tcBorders>
          </w:tcPr>
          <w:p w:rsidR="00805213" w:rsidRPr="007122AC" w:rsidRDefault="00805213" w:rsidP="00754757">
            <w:pPr>
              <w:rPr>
                <w:b/>
              </w:rPr>
            </w:pPr>
          </w:p>
        </w:tc>
        <w:tc>
          <w:tcPr>
            <w:tcW w:w="1627" w:type="dxa"/>
            <w:tcBorders>
              <w:top w:val="single" w:sz="12" w:space="0" w:color="auto"/>
            </w:tcBorders>
            <w:vAlign w:val="bottom"/>
          </w:tcPr>
          <w:p w:rsidR="00805213" w:rsidRPr="007122AC" w:rsidRDefault="00805213" w:rsidP="00591EF9">
            <w:pPr>
              <w:jc w:val="center"/>
              <w:rPr>
                <w:b/>
              </w:rPr>
            </w:pPr>
            <w:r w:rsidRPr="007122AC">
              <w:rPr>
                <w:b/>
              </w:rPr>
              <w:t>400</w:t>
            </w:r>
          </w:p>
        </w:tc>
        <w:tc>
          <w:tcPr>
            <w:tcW w:w="1553" w:type="dxa"/>
            <w:tcBorders>
              <w:top w:val="single" w:sz="12" w:space="0" w:color="auto"/>
            </w:tcBorders>
            <w:vAlign w:val="bottom"/>
          </w:tcPr>
          <w:p w:rsidR="00805213" w:rsidRPr="007122AC" w:rsidRDefault="00805213" w:rsidP="00591EF9">
            <w:pPr>
              <w:jc w:val="center"/>
              <w:rPr>
                <w:b/>
              </w:rPr>
            </w:pPr>
          </w:p>
        </w:tc>
        <w:tc>
          <w:tcPr>
            <w:tcW w:w="1553" w:type="dxa"/>
            <w:tcBorders>
              <w:top w:val="single" w:sz="12" w:space="0" w:color="auto"/>
            </w:tcBorders>
            <w:vAlign w:val="bottom"/>
          </w:tcPr>
          <w:p w:rsidR="00805213" w:rsidRPr="007122AC" w:rsidRDefault="00805213" w:rsidP="00591EF9">
            <w:pPr>
              <w:jc w:val="center"/>
              <w:rPr>
                <w:b/>
              </w:rPr>
            </w:pPr>
            <w:r>
              <w:rPr>
                <w:b/>
              </w:rPr>
              <w:t>400</w:t>
            </w:r>
          </w:p>
        </w:tc>
      </w:tr>
    </w:tbl>
    <w:p w:rsidR="007122AC" w:rsidRDefault="007122AC" w:rsidP="00772400"/>
    <w:p w:rsidR="00B73A9E" w:rsidRPr="00B73A9E" w:rsidRDefault="00B73A9E" w:rsidP="00772400">
      <w:pPr>
        <w:rPr>
          <w:b/>
        </w:rPr>
      </w:pPr>
    </w:p>
    <w:sectPr w:rsidR="00B73A9E" w:rsidRPr="00B73A9E" w:rsidSect="0030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5831"/>
    <w:multiLevelType w:val="hybridMultilevel"/>
    <w:tmpl w:val="45F2B8FA"/>
    <w:lvl w:ilvl="0" w:tplc="452AE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03D1D"/>
    <w:multiLevelType w:val="hybridMultilevel"/>
    <w:tmpl w:val="2E9CA12E"/>
    <w:lvl w:ilvl="0" w:tplc="2AAC8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AC"/>
    <w:rsid w:val="00113ED4"/>
    <w:rsid w:val="001267EA"/>
    <w:rsid w:val="00296DC0"/>
    <w:rsid w:val="002C32CD"/>
    <w:rsid w:val="00302653"/>
    <w:rsid w:val="00591EF9"/>
    <w:rsid w:val="005F6D83"/>
    <w:rsid w:val="00663363"/>
    <w:rsid w:val="006B6061"/>
    <w:rsid w:val="007122AC"/>
    <w:rsid w:val="007468B2"/>
    <w:rsid w:val="00754757"/>
    <w:rsid w:val="00772400"/>
    <w:rsid w:val="007F103F"/>
    <w:rsid w:val="00805213"/>
    <w:rsid w:val="008840F7"/>
    <w:rsid w:val="00885AE3"/>
    <w:rsid w:val="00890C7D"/>
    <w:rsid w:val="00936F8C"/>
    <w:rsid w:val="00973F5B"/>
    <w:rsid w:val="00AC3321"/>
    <w:rsid w:val="00B73A9E"/>
    <w:rsid w:val="00B90FF5"/>
    <w:rsid w:val="00C17387"/>
    <w:rsid w:val="00D8787B"/>
    <w:rsid w:val="00D95AA5"/>
    <w:rsid w:val="00F90043"/>
    <w:rsid w:val="00FA1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F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A13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3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F5B"/>
    <w:pPr>
      <w:ind w:left="720"/>
      <w:contextualSpacing/>
    </w:pPr>
  </w:style>
  <w:style w:type="character" w:styleId="CommentReference">
    <w:name w:val="annotation reference"/>
    <w:basedOn w:val="DefaultParagraphFont"/>
    <w:uiPriority w:val="99"/>
    <w:semiHidden/>
    <w:unhideWhenUsed/>
    <w:rsid w:val="007468B2"/>
    <w:rPr>
      <w:sz w:val="16"/>
      <w:szCs w:val="16"/>
    </w:rPr>
  </w:style>
  <w:style w:type="paragraph" w:styleId="CommentText">
    <w:name w:val="annotation text"/>
    <w:basedOn w:val="Normal"/>
    <w:link w:val="CommentTextChar"/>
    <w:uiPriority w:val="99"/>
    <w:semiHidden/>
    <w:unhideWhenUsed/>
    <w:rsid w:val="007468B2"/>
    <w:rPr>
      <w:sz w:val="20"/>
      <w:szCs w:val="20"/>
    </w:rPr>
  </w:style>
  <w:style w:type="character" w:customStyle="1" w:styleId="CommentTextChar">
    <w:name w:val="Comment Text Char"/>
    <w:basedOn w:val="DefaultParagraphFont"/>
    <w:link w:val="CommentText"/>
    <w:uiPriority w:val="99"/>
    <w:semiHidden/>
    <w:rsid w:val="007468B2"/>
    <w:rPr>
      <w:sz w:val="20"/>
      <w:szCs w:val="20"/>
    </w:rPr>
  </w:style>
  <w:style w:type="paragraph" w:styleId="CommentSubject">
    <w:name w:val="annotation subject"/>
    <w:basedOn w:val="CommentText"/>
    <w:next w:val="CommentText"/>
    <w:link w:val="CommentSubjectChar"/>
    <w:uiPriority w:val="99"/>
    <w:semiHidden/>
    <w:unhideWhenUsed/>
    <w:rsid w:val="007468B2"/>
    <w:rPr>
      <w:b/>
      <w:bCs/>
    </w:rPr>
  </w:style>
  <w:style w:type="character" w:customStyle="1" w:styleId="CommentSubjectChar">
    <w:name w:val="Comment Subject Char"/>
    <w:basedOn w:val="CommentTextChar"/>
    <w:link w:val="CommentSubject"/>
    <w:uiPriority w:val="99"/>
    <w:semiHidden/>
    <w:rsid w:val="007468B2"/>
    <w:rPr>
      <w:b/>
      <w:bCs/>
      <w:sz w:val="20"/>
      <w:szCs w:val="20"/>
    </w:rPr>
  </w:style>
  <w:style w:type="paragraph" w:styleId="BalloonText">
    <w:name w:val="Balloon Text"/>
    <w:basedOn w:val="Normal"/>
    <w:link w:val="BalloonTextChar"/>
    <w:uiPriority w:val="99"/>
    <w:semiHidden/>
    <w:unhideWhenUsed/>
    <w:rsid w:val="007468B2"/>
    <w:rPr>
      <w:rFonts w:ascii="Tahoma" w:hAnsi="Tahoma" w:cs="Tahoma"/>
      <w:sz w:val="16"/>
      <w:szCs w:val="16"/>
    </w:rPr>
  </w:style>
  <w:style w:type="character" w:customStyle="1" w:styleId="BalloonTextChar">
    <w:name w:val="Balloon Text Char"/>
    <w:basedOn w:val="DefaultParagraphFont"/>
    <w:link w:val="BalloonText"/>
    <w:uiPriority w:val="99"/>
    <w:semiHidden/>
    <w:rsid w:val="007468B2"/>
    <w:rPr>
      <w:rFonts w:ascii="Tahoma" w:hAnsi="Tahoma" w:cs="Tahoma"/>
      <w:sz w:val="16"/>
      <w:szCs w:val="16"/>
    </w:rPr>
  </w:style>
  <w:style w:type="character" w:customStyle="1" w:styleId="Heading2Char">
    <w:name w:val="Heading 2 Char"/>
    <w:basedOn w:val="DefaultParagraphFont"/>
    <w:link w:val="Heading2"/>
    <w:uiPriority w:val="9"/>
    <w:semiHidden/>
    <w:rsid w:val="00FA13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3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90FF5"/>
    <w:rPr>
      <w:rFonts w:asciiTheme="majorHAnsi" w:eastAsiaTheme="majorEastAsia" w:hAnsiTheme="majorHAnsi" w:cstheme="majorBidi"/>
      <w:b/>
      <w:bCs/>
      <w:color w:val="345A8A" w:themeColor="accent1" w:themeShade="B5"/>
      <w:sz w:val="32"/>
      <w:szCs w:val="32"/>
    </w:rPr>
  </w:style>
  <w:style w:type="paragraph" w:customStyle="1" w:styleId="citation">
    <w:name w:val="citation"/>
    <w:basedOn w:val="Normal"/>
    <w:rsid w:val="00B90FF5"/>
    <w:pPr>
      <w:spacing w:beforeLines="1" w:afterLines="1"/>
    </w:pPr>
    <w:rPr>
      <w:rFonts w:ascii="Times" w:hAnsi="Times"/>
      <w:sz w:val="20"/>
      <w:szCs w:val="20"/>
    </w:rPr>
  </w:style>
  <w:style w:type="character" w:styleId="Hyperlink">
    <w:name w:val="Hyperlink"/>
    <w:basedOn w:val="DefaultParagraphFont"/>
    <w:uiPriority w:val="99"/>
    <w:rsid w:val="00B90FF5"/>
    <w:rPr>
      <w:color w:val="0000FF"/>
      <w:u w:val="single"/>
    </w:rPr>
  </w:style>
  <w:style w:type="paragraph" w:customStyle="1" w:styleId="authlist">
    <w:name w:val="auth_list"/>
    <w:basedOn w:val="Normal"/>
    <w:rsid w:val="00B90FF5"/>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F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A13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3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F5B"/>
    <w:pPr>
      <w:ind w:left="720"/>
      <w:contextualSpacing/>
    </w:pPr>
  </w:style>
  <w:style w:type="character" w:styleId="CommentReference">
    <w:name w:val="annotation reference"/>
    <w:basedOn w:val="DefaultParagraphFont"/>
    <w:uiPriority w:val="99"/>
    <w:semiHidden/>
    <w:unhideWhenUsed/>
    <w:rsid w:val="007468B2"/>
    <w:rPr>
      <w:sz w:val="16"/>
      <w:szCs w:val="16"/>
    </w:rPr>
  </w:style>
  <w:style w:type="paragraph" w:styleId="CommentText">
    <w:name w:val="annotation text"/>
    <w:basedOn w:val="Normal"/>
    <w:link w:val="CommentTextChar"/>
    <w:uiPriority w:val="99"/>
    <w:semiHidden/>
    <w:unhideWhenUsed/>
    <w:rsid w:val="007468B2"/>
    <w:rPr>
      <w:sz w:val="20"/>
      <w:szCs w:val="20"/>
    </w:rPr>
  </w:style>
  <w:style w:type="character" w:customStyle="1" w:styleId="CommentTextChar">
    <w:name w:val="Comment Text Char"/>
    <w:basedOn w:val="DefaultParagraphFont"/>
    <w:link w:val="CommentText"/>
    <w:uiPriority w:val="99"/>
    <w:semiHidden/>
    <w:rsid w:val="007468B2"/>
    <w:rPr>
      <w:sz w:val="20"/>
      <w:szCs w:val="20"/>
    </w:rPr>
  </w:style>
  <w:style w:type="paragraph" w:styleId="CommentSubject">
    <w:name w:val="annotation subject"/>
    <w:basedOn w:val="CommentText"/>
    <w:next w:val="CommentText"/>
    <w:link w:val="CommentSubjectChar"/>
    <w:uiPriority w:val="99"/>
    <w:semiHidden/>
    <w:unhideWhenUsed/>
    <w:rsid w:val="007468B2"/>
    <w:rPr>
      <w:b/>
      <w:bCs/>
    </w:rPr>
  </w:style>
  <w:style w:type="character" w:customStyle="1" w:styleId="CommentSubjectChar">
    <w:name w:val="Comment Subject Char"/>
    <w:basedOn w:val="CommentTextChar"/>
    <w:link w:val="CommentSubject"/>
    <w:uiPriority w:val="99"/>
    <w:semiHidden/>
    <w:rsid w:val="007468B2"/>
    <w:rPr>
      <w:b/>
      <w:bCs/>
      <w:sz w:val="20"/>
      <w:szCs w:val="20"/>
    </w:rPr>
  </w:style>
  <w:style w:type="paragraph" w:styleId="BalloonText">
    <w:name w:val="Balloon Text"/>
    <w:basedOn w:val="Normal"/>
    <w:link w:val="BalloonTextChar"/>
    <w:uiPriority w:val="99"/>
    <w:semiHidden/>
    <w:unhideWhenUsed/>
    <w:rsid w:val="007468B2"/>
    <w:rPr>
      <w:rFonts w:ascii="Tahoma" w:hAnsi="Tahoma" w:cs="Tahoma"/>
      <w:sz w:val="16"/>
      <w:szCs w:val="16"/>
    </w:rPr>
  </w:style>
  <w:style w:type="character" w:customStyle="1" w:styleId="BalloonTextChar">
    <w:name w:val="Balloon Text Char"/>
    <w:basedOn w:val="DefaultParagraphFont"/>
    <w:link w:val="BalloonText"/>
    <w:uiPriority w:val="99"/>
    <w:semiHidden/>
    <w:rsid w:val="007468B2"/>
    <w:rPr>
      <w:rFonts w:ascii="Tahoma" w:hAnsi="Tahoma" w:cs="Tahoma"/>
      <w:sz w:val="16"/>
      <w:szCs w:val="16"/>
    </w:rPr>
  </w:style>
  <w:style w:type="character" w:customStyle="1" w:styleId="Heading2Char">
    <w:name w:val="Heading 2 Char"/>
    <w:basedOn w:val="DefaultParagraphFont"/>
    <w:link w:val="Heading2"/>
    <w:uiPriority w:val="9"/>
    <w:semiHidden/>
    <w:rsid w:val="00FA13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3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90FF5"/>
    <w:rPr>
      <w:rFonts w:asciiTheme="majorHAnsi" w:eastAsiaTheme="majorEastAsia" w:hAnsiTheme="majorHAnsi" w:cstheme="majorBidi"/>
      <w:b/>
      <w:bCs/>
      <w:color w:val="345A8A" w:themeColor="accent1" w:themeShade="B5"/>
      <w:sz w:val="32"/>
      <w:szCs w:val="32"/>
    </w:rPr>
  </w:style>
  <w:style w:type="paragraph" w:customStyle="1" w:styleId="citation">
    <w:name w:val="citation"/>
    <w:basedOn w:val="Normal"/>
    <w:rsid w:val="00B90FF5"/>
    <w:pPr>
      <w:spacing w:beforeLines="1" w:afterLines="1"/>
    </w:pPr>
    <w:rPr>
      <w:rFonts w:ascii="Times" w:hAnsi="Times"/>
      <w:sz w:val="20"/>
      <w:szCs w:val="20"/>
    </w:rPr>
  </w:style>
  <w:style w:type="character" w:styleId="Hyperlink">
    <w:name w:val="Hyperlink"/>
    <w:basedOn w:val="DefaultParagraphFont"/>
    <w:uiPriority w:val="99"/>
    <w:rsid w:val="00B90FF5"/>
    <w:rPr>
      <w:color w:val="0000FF"/>
      <w:u w:val="single"/>
    </w:rPr>
  </w:style>
  <w:style w:type="paragraph" w:customStyle="1" w:styleId="authlist">
    <w:name w:val="auth_list"/>
    <w:basedOn w:val="Normal"/>
    <w:rsid w:val="00B90FF5"/>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375">
      <w:bodyDiv w:val="1"/>
      <w:marLeft w:val="0"/>
      <w:marRight w:val="0"/>
      <w:marTop w:val="0"/>
      <w:marBottom w:val="0"/>
      <w:divBdr>
        <w:top w:val="none" w:sz="0" w:space="0" w:color="auto"/>
        <w:left w:val="none" w:sz="0" w:space="0" w:color="auto"/>
        <w:bottom w:val="none" w:sz="0" w:space="0" w:color="auto"/>
        <w:right w:val="none" w:sz="0" w:space="0" w:color="auto"/>
      </w:divBdr>
      <w:divsChild>
        <w:div w:id="1767191235">
          <w:marLeft w:val="0"/>
          <w:marRight w:val="0"/>
          <w:marTop w:val="0"/>
          <w:marBottom w:val="0"/>
          <w:divBdr>
            <w:top w:val="none" w:sz="0" w:space="0" w:color="auto"/>
            <w:left w:val="none" w:sz="0" w:space="0" w:color="auto"/>
            <w:bottom w:val="none" w:sz="0" w:space="0" w:color="auto"/>
            <w:right w:val="none" w:sz="0" w:space="0" w:color="auto"/>
          </w:divBdr>
        </w:div>
      </w:divsChild>
    </w:div>
    <w:div w:id="261298991">
      <w:bodyDiv w:val="1"/>
      <w:marLeft w:val="0"/>
      <w:marRight w:val="0"/>
      <w:marTop w:val="0"/>
      <w:marBottom w:val="0"/>
      <w:divBdr>
        <w:top w:val="none" w:sz="0" w:space="0" w:color="auto"/>
        <w:left w:val="none" w:sz="0" w:space="0" w:color="auto"/>
        <w:bottom w:val="none" w:sz="0" w:space="0" w:color="auto"/>
        <w:right w:val="none" w:sz="0" w:space="0" w:color="auto"/>
      </w:divBdr>
    </w:div>
    <w:div w:id="729618866">
      <w:bodyDiv w:val="1"/>
      <w:marLeft w:val="0"/>
      <w:marRight w:val="0"/>
      <w:marTop w:val="0"/>
      <w:marBottom w:val="0"/>
      <w:divBdr>
        <w:top w:val="none" w:sz="0" w:space="0" w:color="auto"/>
        <w:left w:val="none" w:sz="0" w:space="0" w:color="auto"/>
        <w:bottom w:val="none" w:sz="0" w:space="0" w:color="auto"/>
        <w:right w:val="none" w:sz="0" w:space="0" w:color="auto"/>
      </w:divBdr>
      <w:divsChild>
        <w:div w:id="35273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Rothschild</dc:creator>
  <cp:lastModifiedBy>Karen Hirst</cp:lastModifiedBy>
  <cp:revision>2</cp:revision>
  <dcterms:created xsi:type="dcterms:W3CDTF">2014-03-26T16:41:00Z</dcterms:created>
  <dcterms:modified xsi:type="dcterms:W3CDTF">2014-03-26T16:41:00Z</dcterms:modified>
</cp:coreProperties>
</file>