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7E5DDB" w14:textId="77777777" w:rsidR="003B3309" w:rsidRDefault="003B3309" w:rsidP="003B3309">
      <w:pPr>
        <w:spacing w:line="276" w:lineRule="auto"/>
        <w:jc w:val="center"/>
        <w:rPr>
          <w:b/>
          <w:sz w:val="28"/>
          <w:szCs w:val="28"/>
        </w:rPr>
      </w:pPr>
      <w:r w:rsidRPr="0013384F">
        <w:rPr>
          <w:b/>
          <w:sz w:val="28"/>
          <w:szCs w:val="28"/>
        </w:rPr>
        <w:t>Many Ways to Build Scale and Fin Feeding Fish</w:t>
      </w:r>
      <w:r>
        <w:rPr>
          <w:b/>
          <w:sz w:val="28"/>
          <w:szCs w:val="28"/>
        </w:rPr>
        <w:t xml:space="preserve">: </w:t>
      </w:r>
      <w:r w:rsidRPr="0013384F">
        <w:rPr>
          <w:b/>
          <w:sz w:val="28"/>
          <w:szCs w:val="28"/>
        </w:rPr>
        <w:t>The Functional Morphology of Piranhas</w:t>
      </w:r>
    </w:p>
    <w:p w14:paraId="44E33CF3" w14:textId="77777777" w:rsidR="003B3309" w:rsidRPr="0013384F" w:rsidRDefault="003B3309" w:rsidP="003B3309">
      <w:pPr>
        <w:spacing w:line="276" w:lineRule="auto"/>
        <w:rPr>
          <w:bCs/>
        </w:rPr>
      </w:pPr>
      <w:r w:rsidRPr="0013384F">
        <w:rPr>
          <w:bCs/>
        </w:rPr>
        <w:t>Leo MacLeod</w:t>
      </w:r>
    </w:p>
    <w:p w14:paraId="5CA61E6E" w14:textId="77777777" w:rsidR="003B3309" w:rsidRPr="009E72A6" w:rsidRDefault="003B3309" w:rsidP="003B3309">
      <w:pPr>
        <w:spacing w:line="276" w:lineRule="auto"/>
        <w:rPr>
          <w:b/>
          <w:sz w:val="28"/>
          <w:szCs w:val="28"/>
        </w:rPr>
      </w:pPr>
    </w:p>
    <w:p w14:paraId="6BEA3EDF" w14:textId="77777777" w:rsidR="003B3309" w:rsidRDefault="003B3309" w:rsidP="003B3309">
      <w:pPr>
        <w:spacing w:line="276" w:lineRule="auto"/>
        <w:rPr>
          <w:b/>
        </w:rPr>
      </w:pPr>
      <w:r w:rsidRPr="002804AE">
        <w:rPr>
          <w:b/>
        </w:rPr>
        <w:t xml:space="preserve">ABSTRACT </w:t>
      </w:r>
    </w:p>
    <w:p w14:paraId="147AD3D8" w14:textId="77777777" w:rsidR="003B3309" w:rsidRPr="002804AE" w:rsidRDefault="003B3309" w:rsidP="003B3309">
      <w:pPr>
        <w:spacing w:line="276" w:lineRule="auto"/>
        <w:rPr>
          <w:b/>
        </w:rPr>
      </w:pPr>
    </w:p>
    <w:p w14:paraId="471DCF6C" w14:textId="7FB3BF9A" w:rsidR="003B3309" w:rsidRPr="00783EC4" w:rsidRDefault="003B3309" w:rsidP="003B3309">
      <w:pPr>
        <w:spacing w:line="276" w:lineRule="auto"/>
        <w:ind w:firstLine="720"/>
        <w:rPr>
          <w:color w:val="000000"/>
        </w:rPr>
      </w:pPr>
      <w:r w:rsidRPr="002804AE">
        <w:rPr>
          <w:color w:val="000000"/>
        </w:rPr>
        <w:t xml:space="preserve">Fishes </w:t>
      </w:r>
      <w:r w:rsidRPr="00783EC4">
        <w:rPr>
          <w:color w:val="000000"/>
        </w:rPr>
        <w:t>have an incredibly wide range of feeding habits and behaviors and include some of the few vertebrate ectoparasites</w:t>
      </w:r>
      <w:r>
        <w:rPr>
          <w:color w:val="000000"/>
        </w:rPr>
        <w:t>. Fish ectoparasites typically</w:t>
      </w:r>
      <w:r w:rsidRPr="00783EC4">
        <w:rPr>
          <w:color w:val="000000"/>
        </w:rPr>
        <w:t xml:space="preserve"> feed on the fins, scales, and slime coat of other fishes. Ectoparasitic fishes are most abundant in tropical South America</w:t>
      </w:r>
      <w:r>
        <w:rPr>
          <w:color w:val="000000"/>
        </w:rPr>
        <w:t xml:space="preserve">n </w:t>
      </w:r>
      <w:r w:rsidRPr="00783EC4">
        <w:rPr>
          <w:color w:val="000000"/>
        </w:rPr>
        <w:t xml:space="preserve">freshwaters, </w:t>
      </w:r>
      <w:r>
        <w:rPr>
          <w:color w:val="000000"/>
        </w:rPr>
        <w:t xml:space="preserve">and perhaps the best-known </w:t>
      </w:r>
      <w:r w:rsidRPr="00783EC4">
        <w:rPr>
          <w:color w:val="000000"/>
        </w:rPr>
        <w:t>fin-feeders (</w:t>
      </w:r>
      <w:proofErr w:type="spellStart"/>
      <w:r w:rsidRPr="00783EC4">
        <w:rPr>
          <w:color w:val="000000"/>
        </w:rPr>
        <w:t>pterygophagous</w:t>
      </w:r>
      <w:proofErr w:type="spellEnd"/>
      <w:r w:rsidRPr="00783EC4">
        <w:rPr>
          <w:color w:val="000000"/>
        </w:rPr>
        <w:t>) and scale-feeders</w:t>
      </w:r>
      <w:r>
        <w:rPr>
          <w:color w:val="000000"/>
        </w:rPr>
        <w:t xml:space="preserve"> </w:t>
      </w:r>
      <w:r w:rsidRPr="00783EC4">
        <w:rPr>
          <w:color w:val="000000"/>
        </w:rPr>
        <w:t>(</w:t>
      </w:r>
      <w:proofErr w:type="spellStart"/>
      <w:r w:rsidRPr="00783EC4">
        <w:rPr>
          <w:color w:val="000000"/>
        </w:rPr>
        <w:t>lepidophagous</w:t>
      </w:r>
      <w:proofErr w:type="spellEnd"/>
      <w:r w:rsidRPr="00783EC4">
        <w:rPr>
          <w:color w:val="000000"/>
        </w:rPr>
        <w:t>)</w:t>
      </w:r>
      <w:r>
        <w:rPr>
          <w:color w:val="000000"/>
        </w:rPr>
        <w:t xml:space="preserve"> are </w:t>
      </w:r>
      <w:r w:rsidRPr="00783EC4">
        <w:rPr>
          <w:color w:val="000000"/>
        </w:rPr>
        <w:t>piranhas.</w:t>
      </w:r>
      <w:r>
        <w:rPr>
          <w:color w:val="000000"/>
        </w:rPr>
        <w:t xml:space="preserve"> </w:t>
      </w:r>
      <w:r w:rsidRPr="00783EC4">
        <w:rPr>
          <w:color w:val="000000"/>
        </w:rPr>
        <w:t xml:space="preserve">While scales and fins are made from fundamentally homologous materials (i.e. hydroxyapatite, collagen, &amp; mucus), the differences in </w:t>
      </w:r>
      <w:r w:rsidRPr="00C20CED">
        <w:rPr>
          <w:color w:val="000000"/>
        </w:rPr>
        <w:t>how</w:t>
      </w:r>
      <w:r w:rsidRPr="00783EC4">
        <w:rPr>
          <w:color w:val="000000"/>
        </w:rPr>
        <w:t xml:space="preserve"> these materials are arranged on prey suggests that piranhas need different tools and/or strategies to obtain these prey resources. </w:t>
      </w:r>
      <w:r>
        <w:rPr>
          <w:color w:val="000000"/>
        </w:rPr>
        <w:t>Therefore, c</w:t>
      </w:r>
      <w:r w:rsidRPr="00783EC4">
        <w:rPr>
          <w:color w:val="000000"/>
        </w:rPr>
        <w:t>onsuming only the scales or fins of other fishes (and associated mucus), seems like a specialized or narrow niche</w:t>
      </w:r>
      <w:r>
        <w:rPr>
          <w:color w:val="000000"/>
        </w:rPr>
        <w:t>, such</w:t>
      </w:r>
      <w:r w:rsidRPr="00783EC4">
        <w:rPr>
          <w:color w:val="000000"/>
        </w:rPr>
        <w:t xml:space="preserve"> that we might expect these fishes to have distinctive morphologies relative to other generalist carnivores. The goal of this study </w:t>
      </w:r>
      <w:r>
        <w:rPr>
          <w:color w:val="000000"/>
        </w:rPr>
        <w:t>was</w:t>
      </w:r>
      <w:r w:rsidRPr="00783EC4">
        <w:rPr>
          <w:color w:val="000000"/>
        </w:rPr>
        <w:t xml:space="preserve"> to test whether there are differences in the feeding morphology of piranhas based on their particular prey resource (scales, fins, or flesh). This study used </w:t>
      </w:r>
      <w:proofErr w:type="spellStart"/>
      <w:r w:rsidRPr="00783EC4">
        <w:rPr>
          <w:color w:val="000000"/>
        </w:rPr>
        <w:t>microCT</w:t>
      </w:r>
      <w:proofErr w:type="spellEnd"/>
      <w:r w:rsidRPr="00783EC4">
        <w:rPr>
          <w:color w:val="000000"/>
        </w:rPr>
        <w:t xml:space="preserve"> scanning </w:t>
      </w:r>
      <w:r w:rsidRPr="002804AE">
        <w:rPr>
          <w:color w:val="000000" w:themeColor="text1"/>
        </w:rPr>
        <w:t>of 80</w:t>
      </w:r>
      <w:r w:rsidRPr="00783EC4">
        <w:rPr>
          <w:color w:val="000000"/>
        </w:rPr>
        <w:t xml:space="preserve">% of </w:t>
      </w:r>
      <w:r>
        <w:rPr>
          <w:color w:val="000000"/>
        </w:rPr>
        <w:t xml:space="preserve">the </w:t>
      </w:r>
      <w:r w:rsidRPr="00783EC4">
        <w:rPr>
          <w:color w:val="000000"/>
        </w:rPr>
        <w:t xml:space="preserve">described piranha species to contrast feeding morphologies and jaw mechanics among ectoparasitic, carnivorous, and omnivorous taxa. We also examined how jaw mechanics and morphometrics have evolved across the </w:t>
      </w:r>
      <w:proofErr w:type="spellStart"/>
      <w:r w:rsidRPr="00783EC4">
        <w:rPr>
          <w:color w:val="000000"/>
        </w:rPr>
        <w:t>serrasalmid</w:t>
      </w:r>
      <w:proofErr w:type="spellEnd"/>
      <w:r w:rsidRPr="00783EC4">
        <w:rPr>
          <w:color w:val="000000"/>
        </w:rPr>
        <w:t xml:space="preserve"> phylogeny to account for whether jaw mechanics reflect convergence or novelty. We found that while some ecological specialists like </w:t>
      </w:r>
      <w:proofErr w:type="spellStart"/>
      <w:r w:rsidRPr="00783EC4">
        <w:rPr>
          <w:i/>
          <w:iCs/>
          <w:color w:val="000000"/>
        </w:rPr>
        <w:t>Catoprion</w:t>
      </w:r>
      <w:proofErr w:type="spellEnd"/>
      <w:r w:rsidRPr="00783EC4">
        <w:rPr>
          <w:i/>
          <w:iCs/>
          <w:color w:val="000000"/>
        </w:rPr>
        <w:t xml:space="preserve"> mento</w:t>
      </w:r>
      <w:r w:rsidRPr="00783EC4">
        <w:rPr>
          <w:color w:val="000000"/>
        </w:rPr>
        <w:t xml:space="preserve">, an obligate </w:t>
      </w:r>
      <w:proofErr w:type="spellStart"/>
      <w:r w:rsidRPr="00783EC4">
        <w:rPr>
          <w:color w:val="000000"/>
        </w:rPr>
        <w:t>lepidophage</w:t>
      </w:r>
      <w:proofErr w:type="spellEnd"/>
      <w:r w:rsidRPr="00783EC4">
        <w:rPr>
          <w:color w:val="000000"/>
        </w:rPr>
        <w:t>, were distinct from other piranhas in our analyses, most scale- and fin-feeding piranhas overwhelmingly resembled their carnivorous cousins.</w:t>
      </w:r>
    </w:p>
    <w:p w14:paraId="5DAB46C9" w14:textId="77777777" w:rsidR="003B3309" w:rsidRPr="00783EC4" w:rsidRDefault="003B3309" w:rsidP="003B3309">
      <w:pPr>
        <w:spacing w:before="240" w:after="240" w:line="276" w:lineRule="auto"/>
      </w:pPr>
      <w:r w:rsidRPr="00783EC4">
        <w:rPr>
          <w:b/>
          <w:bCs/>
        </w:rPr>
        <w:t xml:space="preserve">Keywords: </w:t>
      </w:r>
      <w:r>
        <w:t>d</w:t>
      </w:r>
      <w:r w:rsidRPr="00783EC4">
        <w:t xml:space="preserve">iet, </w:t>
      </w:r>
      <w:proofErr w:type="spellStart"/>
      <w:r w:rsidRPr="00783EC4">
        <w:t>ectoparasitism</w:t>
      </w:r>
      <w:proofErr w:type="spellEnd"/>
      <w:r w:rsidRPr="00783EC4">
        <w:t xml:space="preserve">, feeding morphometrics, </w:t>
      </w:r>
      <w:proofErr w:type="spellStart"/>
      <w:r w:rsidRPr="00783EC4">
        <w:rPr>
          <w:color w:val="000000"/>
        </w:rPr>
        <w:t>lepidophagy</w:t>
      </w:r>
      <w:proofErr w:type="spellEnd"/>
      <w:r w:rsidRPr="00783EC4">
        <w:rPr>
          <w:color w:val="000000"/>
        </w:rPr>
        <w:t xml:space="preserve">, </w:t>
      </w:r>
      <w:proofErr w:type="spellStart"/>
      <w:r w:rsidRPr="00783EC4">
        <w:rPr>
          <w:color w:val="000000"/>
        </w:rPr>
        <w:t>pterygophagy</w:t>
      </w:r>
      <w:proofErr w:type="spellEnd"/>
    </w:p>
    <w:p w14:paraId="0EC78415" w14:textId="77777777" w:rsidR="003B3309" w:rsidRPr="00783EC4" w:rsidRDefault="003B3309" w:rsidP="003B3309">
      <w:pPr>
        <w:spacing w:before="240" w:after="240" w:line="276" w:lineRule="auto"/>
      </w:pPr>
    </w:p>
    <w:p w14:paraId="1722E529" w14:textId="77777777" w:rsidR="003B3309" w:rsidRDefault="003B3309" w:rsidP="003B3309">
      <w:pPr>
        <w:tabs>
          <w:tab w:val="left" w:pos="1425"/>
        </w:tabs>
        <w:spacing w:line="276" w:lineRule="auto"/>
        <w:rPr>
          <w:b/>
        </w:rPr>
      </w:pPr>
      <w:r w:rsidRPr="00783EC4">
        <w:rPr>
          <w:b/>
        </w:rPr>
        <w:t>INTRODUCTION</w:t>
      </w:r>
    </w:p>
    <w:p w14:paraId="3F19ECB3" w14:textId="77777777" w:rsidR="00E7459F" w:rsidRDefault="00E7459F" w:rsidP="00E7459F">
      <w:pPr>
        <w:tabs>
          <w:tab w:val="left" w:pos="1425"/>
        </w:tabs>
        <w:spacing w:line="276" w:lineRule="auto"/>
        <w:rPr>
          <w:bCs/>
        </w:rPr>
      </w:pPr>
    </w:p>
    <w:p w14:paraId="0FB77CC3" w14:textId="421E9FBB" w:rsidR="00E7459F" w:rsidRPr="00E7459F" w:rsidRDefault="00215FD1" w:rsidP="00215FD1">
      <w:pPr>
        <w:tabs>
          <w:tab w:val="left" w:pos="720"/>
        </w:tabs>
        <w:spacing w:line="276" w:lineRule="auto"/>
        <w:rPr>
          <w:bCs/>
        </w:rPr>
      </w:pPr>
      <w:r>
        <w:rPr>
          <w:bCs/>
        </w:rPr>
        <w:tab/>
      </w:r>
      <w:r w:rsidR="00E7459F" w:rsidRPr="00E7459F">
        <w:rPr>
          <w:bCs/>
        </w:rPr>
        <w:t xml:space="preserve">Across the animal kingdom unique diets are often associated with unique morphological features. One extreme example of the interaction between diet and morphology can be seen in the </w:t>
      </w:r>
      <w:r w:rsidR="002432BF">
        <w:rPr>
          <w:bCs/>
        </w:rPr>
        <w:t>snout</w:t>
      </w:r>
      <w:r w:rsidR="00E7459F" w:rsidRPr="00E7459F">
        <w:rPr>
          <w:bCs/>
        </w:rPr>
        <w:t xml:space="preserve"> of the Giant Anteater (</w:t>
      </w:r>
      <w:r w:rsidR="00E7459F" w:rsidRPr="00E7459F">
        <w:rPr>
          <w:bCs/>
          <w:i/>
          <w:iCs/>
        </w:rPr>
        <w:t xml:space="preserve">Myrmecophaga </w:t>
      </w:r>
      <w:proofErr w:type="spellStart"/>
      <w:r w:rsidR="00E7459F" w:rsidRPr="00E7459F">
        <w:rPr>
          <w:bCs/>
          <w:i/>
          <w:iCs/>
        </w:rPr>
        <w:t>tridactyla</w:t>
      </w:r>
      <w:proofErr w:type="spellEnd"/>
      <w:r w:rsidR="00E7459F" w:rsidRPr="00E7459F">
        <w:rPr>
          <w:bCs/>
        </w:rPr>
        <w:t>).</w:t>
      </w:r>
      <w:r w:rsidR="002432BF">
        <w:rPr>
          <w:bCs/>
        </w:rPr>
        <w:t xml:space="preserve"> Their loss of teeth and reduced mechanical advantage in closing the jaw is correlated to an abandonment of chewing as a result of eating ant and termites that can easily be swallowed whole (</w:t>
      </w:r>
      <w:r w:rsidR="002432BF" w:rsidRPr="00E7459F">
        <w:rPr>
          <w:bCs/>
        </w:rPr>
        <w:t>Montgomery</w:t>
      </w:r>
      <w:r w:rsidR="002432BF">
        <w:rPr>
          <w:bCs/>
        </w:rPr>
        <w:t xml:space="preserve">, </w:t>
      </w:r>
      <w:r w:rsidR="002432BF" w:rsidRPr="00E7459F">
        <w:rPr>
          <w:bCs/>
        </w:rPr>
        <w:t>1985</w:t>
      </w:r>
      <w:r w:rsidR="002432BF">
        <w:rPr>
          <w:bCs/>
        </w:rPr>
        <w:t xml:space="preserve">; </w:t>
      </w:r>
      <w:r w:rsidR="002432BF" w:rsidRPr="00E7459F">
        <w:rPr>
          <w:bCs/>
        </w:rPr>
        <w:t>Reiss, 2001</w:t>
      </w:r>
      <w:r w:rsidR="002432BF">
        <w:rPr>
          <w:bCs/>
        </w:rPr>
        <w:t xml:space="preserve">). Their unique long tube-shaped jaw can thus be seen as a result of a specialized diet. This type of development is not limited to terrestrial mammals. </w:t>
      </w:r>
    </w:p>
    <w:p w14:paraId="7B6D89C0" w14:textId="344A8BDA" w:rsidR="00215FD1" w:rsidRPr="00E7459F" w:rsidRDefault="00215FD1" w:rsidP="00215FD1">
      <w:pPr>
        <w:tabs>
          <w:tab w:val="left" w:pos="720"/>
        </w:tabs>
        <w:spacing w:line="276" w:lineRule="auto"/>
        <w:rPr>
          <w:bCs/>
        </w:rPr>
      </w:pPr>
      <w:r>
        <w:rPr>
          <w:bCs/>
        </w:rPr>
        <w:tab/>
      </w:r>
      <w:r w:rsidR="00E7459F" w:rsidRPr="00E7459F">
        <w:rPr>
          <w:bCs/>
        </w:rPr>
        <w:t xml:space="preserve">Fishes have developed many different feeding strategies over time, including </w:t>
      </w:r>
      <w:proofErr w:type="spellStart"/>
      <w:r w:rsidR="00E7459F" w:rsidRPr="00E7459F">
        <w:rPr>
          <w:bCs/>
        </w:rPr>
        <w:t>piscivory</w:t>
      </w:r>
      <w:proofErr w:type="spellEnd"/>
      <w:r w:rsidR="00E7459F" w:rsidRPr="00E7459F">
        <w:rPr>
          <w:bCs/>
        </w:rPr>
        <w:t xml:space="preserve">, herbivory, and entomophagy. With over 35,000 species of fish, it’s unsurprising that unique characteristics would develop over time with diet. Cookie cutter sharks (Genus </w:t>
      </w:r>
      <w:proofErr w:type="spellStart"/>
      <w:r w:rsidR="00E7459F" w:rsidRPr="00E7459F">
        <w:rPr>
          <w:bCs/>
        </w:rPr>
        <w:t>Isistius</w:t>
      </w:r>
      <w:proofErr w:type="spellEnd"/>
      <w:r w:rsidR="00E7459F" w:rsidRPr="00E7459F">
        <w:rPr>
          <w:bCs/>
        </w:rPr>
        <w:t xml:space="preserve">) feed on </w:t>
      </w:r>
      <w:r w:rsidR="00E7459F" w:rsidRPr="00E7459F">
        <w:rPr>
          <w:bCs/>
        </w:rPr>
        <w:lastRenderedPageBreak/>
        <w:t xml:space="preserve">flesh plugs from larger organisms such as cetaceans and seals (Munroe et al, 2014; Dwyer, 2011). This specialized feeding behavior is referred to as </w:t>
      </w:r>
      <w:proofErr w:type="spellStart"/>
      <w:r w:rsidR="00E7459F" w:rsidRPr="00E7459F">
        <w:rPr>
          <w:bCs/>
        </w:rPr>
        <w:t>ectoparasitism</w:t>
      </w:r>
      <w:proofErr w:type="spellEnd"/>
      <w:r w:rsidR="00E7459F" w:rsidRPr="00E7459F">
        <w:rPr>
          <w:bCs/>
        </w:rPr>
        <w:t xml:space="preserve">, where an organism feeds on the exterior rather than in interior of a host. </w:t>
      </w:r>
      <w:proofErr w:type="spellStart"/>
      <w:r w:rsidR="00E7459F" w:rsidRPr="00E7459F">
        <w:rPr>
          <w:bCs/>
        </w:rPr>
        <w:t>Ectoparasitism</w:t>
      </w:r>
      <w:proofErr w:type="spellEnd"/>
      <w:r w:rsidR="00E7459F" w:rsidRPr="00E7459F">
        <w:rPr>
          <w:bCs/>
        </w:rPr>
        <w:t xml:space="preserve"> is a diverse feeding strategy that several families of fish have transitioned to over time and includes fin-, scale-, and slime- feeding behaviors. Eating scales and fins has developed at least five times in freshwater fish families and at least seven times in marine families (</w:t>
      </w:r>
      <w:proofErr w:type="spellStart"/>
      <w:r w:rsidR="00E7459F" w:rsidRPr="00E7459F">
        <w:rPr>
          <w:bCs/>
        </w:rPr>
        <w:t>Sazima</w:t>
      </w:r>
      <w:proofErr w:type="spellEnd"/>
      <w:r w:rsidR="00E7459F" w:rsidRPr="00E7459F">
        <w:rPr>
          <w:bCs/>
        </w:rPr>
        <w:t xml:space="preserve">, 1983). Additional research has found that this strategy has appeared about 4–6 times in both African cichlids and South American </w:t>
      </w:r>
      <w:proofErr w:type="spellStart"/>
      <w:r w:rsidR="00E7459F" w:rsidRPr="00E7459F">
        <w:rPr>
          <w:bCs/>
        </w:rPr>
        <w:t>characoids</w:t>
      </w:r>
      <w:proofErr w:type="spellEnd"/>
      <w:r w:rsidR="00E7459F" w:rsidRPr="00E7459F">
        <w:rPr>
          <w:bCs/>
        </w:rPr>
        <w:t xml:space="preserve"> (</w:t>
      </w:r>
      <w:proofErr w:type="spellStart"/>
      <w:r w:rsidR="00E7459F" w:rsidRPr="00E7459F">
        <w:rPr>
          <w:bCs/>
        </w:rPr>
        <w:t>Géry</w:t>
      </w:r>
      <w:proofErr w:type="spellEnd"/>
      <w:r w:rsidR="00E7459F" w:rsidRPr="00E7459F">
        <w:rPr>
          <w:bCs/>
        </w:rPr>
        <w:t xml:space="preserve">, 1977; </w:t>
      </w:r>
      <w:proofErr w:type="spellStart"/>
      <w:r w:rsidR="00E7459F" w:rsidRPr="00E7459F">
        <w:rPr>
          <w:bCs/>
        </w:rPr>
        <w:t>Sazima</w:t>
      </w:r>
      <w:proofErr w:type="spellEnd"/>
      <w:r w:rsidR="00E7459F" w:rsidRPr="00E7459F">
        <w:rPr>
          <w:bCs/>
        </w:rPr>
        <w:t xml:space="preserve"> 1983). However, this food resource is usually exploited by juveniles who later grow out of the diet (</w:t>
      </w:r>
      <w:proofErr w:type="spellStart"/>
      <w:r w:rsidR="00E7459F" w:rsidRPr="00E7459F">
        <w:rPr>
          <w:bCs/>
        </w:rPr>
        <w:t>Sazima</w:t>
      </w:r>
      <w:proofErr w:type="spellEnd"/>
      <w:r w:rsidR="00E7459F" w:rsidRPr="00E7459F">
        <w:rPr>
          <w:bCs/>
        </w:rPr>
        <w:t xml:space="preserve"> and </w:t>
      </w:r>
      <w:proofErr w:type="spellStart"/>
      <w:r w:rsidR="00E7459F" w:rsidRPr="00E7459F">
        <w:rPr>
          <w:bCs/>
        </w:rPr>
        <w:t>Uieda</w:t>
      </w:r>
      <w:proofErr w:type="spellEnd"/>
      <w:r w:rsidR="00E7459F" w:rsidRPr="00E7459F">
        <w:rPr>
          <w:bCs/>
        </w:rPr>
        <w:t xml:space="preserve">, 1980; </w:t>
      </w:r>
      <w:proofErr w:type="spellStart"/>
      <w:r w:rsidR="00E7459F" w:rsidRPr="00E7459F">
        <w:rPr>
          <w:bCs/>
        </w:rPr>
        <w:t>Sazima</w:t>
      </w:r>
      <w:proofErr w:type="spellEnd"/>
      <w:r w:rsidR="00E7459F" w:rsidRPr="00E7459F">
        <w:rPr>
          <w:bCs/>
        </w:rPr>
        <w:t xml:space="preserve">, 1983). </w:t>
      </w:r>
    </w:p>
    <w:p w14:paraId="02995CE1" w14:textId="69CC3E2C" w:rsidR="00E7459F" w:rsidRPr="00E7459F" w:rsidRDefault="00215FD1" w:rsidP="00215FD1">
      <w:pPr>
        <w:tabs>
          <w:tab w:val="left" w:pos="720"/>
        </w:tabs>
        <w:spacing w:line="276" w:lineRule="auto"/>
        <w:rPr>
          <w:bCs/>
        </w:rPr>
      </w:pPr>
      <w:r>
        <w:rPr>
          <w:bCs/>
        </w:rPr>
        <w:tab/>
      </w:r>
      <w:proofErr w:type="spellStart"/>
      <w:r w:rsidR="00E7459F" w:rsidRPr="00E7459F">
        <w:rPr>
          <w:bCs/>
        </w:rPr>
        <w:t>Serrasalmids</w:t>
      </w:r>
      <w:proofErr w:type="spellEnd"/>
      <w:r w:rsidR="00E7459F" w:rsidRPr="00E7459F">
        <w:rPr>
          <w:bCs/>
        </w:rPr>
        <w:t xml:space="preserve"> are characiform fishes, related to families like </w:t>
      </w:r>
      <w:proofErr w:type="spellStart"/>
      <w:r w:rsidR="00E7459F" w:rsidRPr="00E7459F">
        <w:rPr>
          <w:bCs/>
        </w:rPr>
        <w:t>headstanders</w:t>
      </w:r>
      <w:proofErr w:type="spellEnd"/>
      <w:r w:rsidR="00E7459F" w:rsidRPr="00E7459F">
        <w:rPr>
          <w:bCs/>
        </w:rPr>
        <w:t xml:space="preserve">, </w:t>
      </w:r>
      <w:proofErr w:type="spellStart"/>
      <w:r w:rsidR="00E7459F" w:rsidRPr="00E7459F">
        <w:rPr>
          <w:bCs/>
        </w:rPr>
        <w:t>halftooths</w:t>
      </w:r>
      <w:proofErr w:type="spellEnd"/>
      <w:r w:rsidR="00E7459F" w:rsidRPr="00E7459F">
        <w:rPr>
          <w:bCs/>
        </w:rPr>
        <w:t>, and payara (</w:t>
      </w:r>
      <w:proofErr w:type="spellStart"/>
      <w:r w:rsidR="00E7459F" w:rsidRPr="00E7459F">
        <w:rPr>
          <w:bCs/>
        </w:rPr>
        <w:t>Bentacur</w:t>
      </w:r>
      <w:proofErr w:type="spellEnd"/>
      <w:r w:rsidR="00E7459F" w:rsidRPr="00E7459F">
        <w:rPr>
          <w:bCs/>
        </w:rPr>
        <w:t xml:space="preserve">, 2019). This family is composed of over 90 species distributed throughout the freshwater rivers and basins of South America (Lundberg et al., 2010). </w:t>
      </w:r>
      <w:proofErr w:type="spellStart"/>
      <w:r w:rsidR="00E7459F" w:rsidRPr="00E7459F">
        <w:rPr>
          <w:bCs/>
        </w:rPr>
        <w:t>Serralmids</w:t>
      </w:r>
      <w:proofErr w:type="spellEnd"/>
      <w:r w:rsidR="00E7459F" w:rsidRPr="00E7459F">
        <w:rPr>
          <w:bCs/>
        </w:rPr>
        <w:t xml:space="preserve"> are commonly broken into two groups: </w:t>
      </w:r>
      <w:proofErr w:type="spellStart"/>
      <w:r w:rsidR="00E7459F" w:rsidRPr="00E7459F">
        <w:rPr>
          <w:bCs/>
        </w:rPr>
        <w:t>pacu</w:t>
      </w:r>
      <w:proofErr w:type="spellEnd"/>
      <w:r w:rsidR="00E7459F" w:rsidRPr="00E7459F">
        <w:rPr>
          <w:bCs/>
        </w:rPr>
        <w:t xml:space="preserve"> and piranha. </w:t>
      </w:r>
      <w:proofErr w:type="spellStart"/>
      <w:r w:rsidR="00E7459F" w:rsidRPr="00E7459F">
        <w:rPr>
          <w:bCs/>
        </w:rPr>
        <w:t>Pacus</w:t>
      </w:r>
      <w:proofErr w:type="spellEnd"/>
      <w:r w:rsidR="00E7459F" w:rsidRPr="00E7459F">
        <w:rPr>
          <w:bCs/>
        </w:rPr>
        <w:t xml:space="preserve"> eat plant material, such as seeds and fruits, while the piranhas primarily rely on consuming all or parts of other fish (Correa et al 2007, Nico &amp; </w:t>
      </w:r>
      <w:proofErr w:type="spellStart"/>
      <w:r w:rsidR="00E7459F" w:rsidRPr="00E7459F">
        <w:rPr>
          <w:bCs/>
        </w:rPr>
        <w:t>Taphorn</w:t>
      </w:r>
      <w:proofErr w:type="spellEnd"/>
      <w:r w:rsidR="00E7459F" w:rsidRPr="00E7459F">
        <w:rPr>
          <w:bCs/>
        </w:rPr>
        <w:t>, 1988). In piranhas, ectoparasitic feeding has been reported several times in both juveniles and adults (</w:t>
      </w:r>
      <w:proofErr w:type="spellStart"/>
      <w:r w:rsidR="00E7459F" w:rsidRPr="00E7459F">
        <w:rPr>
          <w:bCs/>
        </w:rPr>
        <w:t>Sazima</w:t>
      </w:r>
      <w:proofErr w:type="spellEnd"/>
      <w:r w:rsidR="00E7459F" w:rsidRPr="00E7459F">
        <w:rPr>
          <w:bCs/>
        </w:rPr>
        <w:t xml:space="preserve"> 1983; Nico and </w:t>
      </w:r>
      <w:proofErr w:type="spellStart"/>
      <w:r w:rsidR="00E7459F" w:rsidRPr="00E7459F">
        <w:rPr>
          <w:bCs/>
        </w:rPr>
        <w:t>Taphorn</w:t>
      </w:r>
      <w:proofErr w:type="spellEnd"/>
      <w:r w:rsidR="00E7459F" w:rsidRPr="00E7459F">
        <w:rPr>
          <w:bCs/>
        </w:rPr>
        <w:t xml:space="preserve"> 1988). Fins and scales both contain important minerals such as calcium phosphate and have a high level of protein (Nico and de Morales, 1994) and are also covered in a lipid-rich mucus that predators may benefit from (Lewis, 1970). While fins and scales are very similar, their arrangement on the fish suggests that an ectoparasite would require specific tools to utilize this narrow niche that is wholly separate from </w:t>
      </w:r>
      <w:proofErr w:type="spellStart"/>
      <w:r w:rsidR="00E7459F" w:rsidRPr="00E7459F">
        <w:rPr>
          <w:bCs/>
        </w:rPr>
        <w:t>piscivory</w:t>
      </w:r>
      <w:proofErr w:type="spellEnd"/>
      <w:r w:rsidR="00E7459F" w:rsidRPr="00E7459F">
        <w:rPr>
          <w:bCs/>
        </w:rPr>
        <w:t xml:space="preserve"> and </w:t>
      </w:r>
      <w:proofErr w:type="spellStart"/>
      <w:r w:rsidR="00E7459F" w:rsidRPr="00E7459F">
        <w:rPr>
          <w:bCs/>
        </w:rPr>
        <w:t>omnivory</w:t>
      </w:r>
      <w:proofErr w:type="spellEnd"/>
      <w:r w:rsidR="00E7459F" w:rsidRPr="00E7459F">
        <w:rPr>
          <w:bCs/>
        </w:rPr>
        <w:t xml:space="preserve">. Previous research hypothesizes that the scale-feeder </w:t>
      </w:r>
      <w:proofErr w:type="spellStart"/>
      <w:r w:rsidR="00E7459F" w:rsidRPr="00E7459F">
        <w:rPr>
          <w:bCs/>
          <w:i/>
          <w:iCs/>
        </w:rPr>
        <w:t>Catoprion</w:t>
      </w:r>
      <w:proofErr w:type="spellEnd"/>
      <w:r w:rsidR="00E7459F" w:rsidRPr="00E7459F">
        <w:rPr>
          <w:bCs/>
          <w:i/>
          <w:iCs/>
        </w:rPr>
        <w:t xml:space="preserve"> mento</w:t>
      </w:r>
      <w:r w:rsidR="00E7459F" w:rsidRPr="00E7459F">
        <w:rPr>
          <w:bCs/>
        </w:rPr>
        <w:t>, a ram-feeder that literally slams into other fish to knock scales loose, has developed unique changes in their jaw musculature to assists in the force transfer and stabilization of the fish as it performs this feeding technique (</w:t>
      </w:r>
      <w:proofErr w:type="spellStart"/>
      <w:r w:rsidR="00E7459F" w:rsidRPr="00E7459F">
        <w:rPr>
          <w:bCs/>
        </w:rPr>
        <w:t>Janovetz</w:t>
      </w:r>
      <w:proofErr w:type="spellEnd"/>
      <w:r w:rsidR="00E7459F" w:rsidRPr="00E7459F">
        <w:rPr>
          <w:bCs/>
        </w:rPr>
        <w:t xml:space="preserve">, 2005). This previous hypothesis leads us to ask the question: is the unique diet of </w:t>
      </w:r>
      <w:proofErr w:type="spellStart"/>
      <w:r w:rsidR="00E7459F" w:rsidRPr="00E7459F">
        <w:rPr>
          <w:bCs/>
        </w:rPr>
        <w:t>ectoparasitism</w:t>
      </w:r>
      <w:proofErr w:type="spellEnd"/>
      <w:r w:rsidR="00E7459F" w:rsidRPr="00E7459F">
        <w:rPr>
          <w:bCs/>
        </w:rPr>
        <w:t xml:space="preserve"> associated with unique morphological feeding characteristics that set ectoparasitic piranhas apart from the rest?</w:t>
      </w:r>
    </w:p>
    <w:p w14:paraId="508CDACF" w14:textId="084DA104" w:rsidR="00E7459F" w:rsidRPr="00E7459F" w:rsidRDefault="00215FD1" w:rsidP="00215FD1">
      <w:pPr>
        <w:tabs>
          <w:tab w:val="left" w:pos="720"/>
        </w:tabs>
        <w:spacing w:line="276" w:lineRule="auto"/>
        <w:rPr>
          <w:bCs/>
        </w:rPr>
      </w:pPr>
      <w:r>
        <w:rPr>
          <w:bCs/>
        </w:rPr>
        <w:tab/>
      </w:r>
      <w:r w:rsidR="00E7459F" w:rsidRPr="00E7459F">
        <w:rPr>
          <w:bCs/>
        </w:rPr>
        <w:t>My objectives for this study were to test for differences in the feeding morphology of piranhas relative to which diet guild they belong to, using morphometric measurements obtained through micro-computed tomography scanning (</w:t>
      </w:r>
      <w:proofErr w:type="spellStart"/>
      <w:r w:rsidR="00E7459F" w:rsidRPr="00E7459F">
        <w:rPr>
          <w:bCs/>
        </w:rPr>
        <w:t>μCT</w:t>
      </w:r>
      <w:proofErr w:type="spellEnd"/>
      <w:r w:rsidR="00E7459F" w:rsidRPr="00E7459F">
        <w:rPr>
          <w:bCs/>
        </w:rPr>
        <w:t xml:space="preserve">). Using ancestral state reconstruction, we estimated how many times ectoparasitic, omnivorous, and piscivorous feeding niches have evolved through time and how frequent transitions are between these diets. Finally, we investigated the theory, proposed first by </w:t>
      </w:r>
      <w:proofErr w:type="spellStart"/>
      <w:r w:rsidR="00E7459F" w:rsidRPr="00E7459F">
        <w:rPr>
          <w:bCs/>
        </w:rPr>
        <w:t>Sazima</w:t>
      </w:r>
      <w:proofErr w:type="spellEnd"/>
      <w:r w:rsidR="00E7459F" w:rsidRPr="00E7459F">
        <w:rPr>
          <w:bCs/>
        </w:rPr>
        <w:t xml:space="preserve"> (1983) that ectoparasitic piranhas are always smaller than their more outright piscivorous cousins.</w:t>
      </w:r>
    </w:p>
    <w:p w14:paraId="2A648DA8" w14:textId="77777777" w:rsidR="003B3309" w:rsidRDefault="003B3309" w:rsidP="003B3309">
      <w:pPr>
        <w:spacing w:line="276" w:lineRule="auto"/>
        <w:rPr>
          <w:b/>
        </w:rPr>
      </w:pPr>
    </w:p>
    <w:p w14:paraId="6E9B3EF8" w14:textId="77777777" w:rsidR="003B3309" w:rsidRPr="00783EC4" w:rsidRDefault="003B3309" w:rsidP="003B3309">
      <w:pPr>
        <w:spacing w:line="276" w:lineRule="auto"/>
        <w:rPr>
          <w:b/>
        </w:rPr>
      </w:pPr>
    </w:p>
    <w:p w14:paraId="54CBA13C" w14:textId="77777777" w:rsidR="003B3309" w:rsidRDefault="003B3309" w:rsidP="003B3309">
      <w:pPr>
        <w:spacing w:line="276" w:lineRule="auto"/>
        <w:rPr>
          <w:b/>
        </w:rPr>
      </w:pPr>
      <w:r w:rsidRPr="00783EC4">
        <w:rPr>
          <w:b/>
        </w:rPr>
        <w:t>METHODS</w:t>
      </w:r>
    </w:p>
    <w:p w14:paraId="22F55F6D" w14:textId="77777777" w:rsidR="003B3309" w:rsidRPr="00783EC4" w:rsidRDefault="003B3309" w:rsidP="003B3309">
      <w:pPr>
        <w:spacing w:line="276" w:lineRule="auto"/>
        <w:rPr>
          <w:b/>
        </w:rPr>
      </w:pPr>
    </w:p>
    <w:p w14:paraId="3A5AB044" w14:textId="77777777" w:rsidR="003B3309" w:rsidRDefault="003B3309" w:rsidP="003B3309">
      <w:pPr>
        <w:spacing w:line="276" w:lineRule="auto"/>
        <w:rPr>
          <w:b/>
          <w:i/>
        </w:rPr>
      </w:pPr>
      <w:r w:rsidRPr="00783EC4">
        <w:rPr>
          <w:b/>
          <w:i/>
        </w:rPr>
        <w:t>Specimen acquisition &amp; computed tomography imaging</w:t>
      </w:r>
    </w:p>
    <w:p w14:paraId="4428E81C" w14:textId="77777777" w:rsidR="003B3309" w:rsidRPr="00783EC4" w:rsidRDefault="003B3309" w:rsidP="003B3309">
      <w:pPr>
        <w:spacing w:line="276" w:lineRule="auto"/>
        <w:ind w:firstLine="720"/>
        <w:rPr>
          <w:bCs/>
          <w:iCs/>
        </w:rPr>
      </w:pPr>
      <w:r w:rsidRPr="00783EC4">
        <w:rPr>
          <w:bCs/>
          <w:iCs/>
        </w:rPr>
        <w:t xml:space="preserve">We examined 29 of the 36 species of piranhas from several museum collections (see Table 1). Adult and </w:t>
      </w:r>
      <w:r>
        <w:rPr>
          <w:bCs/>
          <w:iCs/>
        </w:rPr>
        <w:t xml:space="preserve">larger </w:t>
      </w:r>
      <w:r w:rsidRPr="00783EC4">
        <w:rPr>
          <w:bCs/>
          <w:iCs/>
        </w:rPr>
        <w:t xml:space="preserve">subadult specimens were selected in order to be able to accurately </w:t>
      </w:r>
      <w:r w:rsidRPr="00783EC4">
        <w:rPr>
          <w:bCs/>
          <w:iCs/>
        </w:rPr>
        <w:lastRenderedPageBreak/>
        <w:t>compare diet specialization to morphological traits</w:t>
      </w:r>
      <w:r>
        <w:rPr>
          <w:bCs/>
          <w:iCs/>
        </w:rPr>
        <w:t xml:space="preserve"> without the confounds of ontogenetic changes in diet and anatomy</w:t>
      </w:r>
      <w:r w:rsidRPr="00783EC4">
        <w:rPr>
          <w:bCs/>
          <w:iCs/>
        </w:rPr>
        <w:t xml:space="preserve">. Specimen skeletons were imaged using micro-computed tomography scanning (µCT; Bruker </w:t>
      </w:r>
      <w:proofErr w:type="spellStart"/>
      <w:r w:rsidRPr="00783EC4">
        <w:rPr>
          <w:bCs/>
          <w:iCs/>
        </w:rPr>
        <w:t>Skyscan</w:t>
      </w:r>
      <w:proofErr w:type="spellEnd"/>
      <w:r w:rsidRPr="00783EC4">
        <w:rPr>
          <w:bCs/>
          <w:iCs/>
        </w:rPr>
        <w:t xml:space="preserve"> 1173; Bruker, Billerica, MA) at the University of Washington Friday Harbor Labs. Before scanning, specimens were given a radio-opaque label, then wrapped in ethanol-moistened gauze and sealed with plastic wrap in a 3D-printed PVA plastic tube to prevent desiccation. CT scanning used a 1mm aluminum filter to reduce beam-hardening artifacts with voltage and amperage values ranging from 65-70 kV and 114-123 </w:t>
      </w:r>
      <w:proofErr w:type="spellStart"/>
      <w:r w:rsidRPr="00783EC4">
        <w:rPr>
          <w:bCs/>
          <w:iCs/>
        </w:rPr>
        <w:t>uA</w:t>
      </w:r>
      <w:proofErr w:type="spellEnd"/>
      <w:r w:rsidRPr="00783EC4">
        <w:rPr>
          <w:bCs/>
          <w:iCs/>
        </w:rPr>
        <w:t xml:space="preserve">, respectively. Scans ranged in resolution from 17.1-35.1 µm, and following </w:t>
      </w:r>
      <w:proofErr w:type="spellStart"/>
      <w:r w:rsidRPr="00783EC4">
        <w:rPr>
          <w:bCs/>
          <w:iCs/>
        </w:rPr>
        <w:t>Buser</w:t>
      </w:r>
      <w:proofErr w:type="spellEnd"/>
      <w:r w:rsidRPr="00783EC4">
        <w:rPr>
          <w:bCs/>
          <w:iCs/>
        </w:rPr>
        <w:t xml:space="preserve"> et al. (2020), were reconstructed as bmp image stacks, and then converted to DICOM (</w:t>
      </w:r>
      <w:proofErr w:type="spellStart"/>
      <w:r w:rsidRPr="00783EC4">
        <w:rPr>
          <w:bCs/>
          <w:iCs/>
        </w:rPr>
        <w:t>dcm</w:t>
      </w:r>
      <w:proofErr w:type="spellEnd"/>
      <w:r w:rsidRPr="00783EC4">
        <w:rPr>
          <w:bCs/>
          <w:iCs/>
        </w:rPr>
        <w:t>; using Bruker software packages) and then to .</w:t>
      </w:r>
      <w:proofErr w:type="spellStart"/>
      <w:r w:rsidRPr="00783EC4">
        <w:rPr>
          <w:bCs/>
          <w:iCs/>
        </w:rPr>
        <w:t>nrrd</w:t>
      </w:r>
      <w:proofErr w:type="spellEnd"/>
      <w:r w:rsidRPr="00783EC4">
        <w:rPr>
          <w:bCs/>
          <w:iCs/>
        </w:rPr>
        <w:t xml:space="preserve"> file format, using the program ImageJ/FIJI (</w:t>
      </w:r>
      <w:proofErr w:type="spellStart"/>
      <w:r w:rsidRPr="002804AE">
        <w:rPr>
          <w:bCs/>
          <w:iCs/>
          <w:color w:val="000000" w:themeColor="text1"/>
        </w:rPr>
        <w:t>Schindelin</w:t>
      </w:r>
      <w:proofErr w:type="spellEnd"/>
      <w:r w:rsidRPr="002804AE">
        <w:rPr>
          <w:bCs/>
          <w:iCs/>
          <w:color w:val="000000" w:themeColor="text1"/>
        </w:rPr>
        <w:t xml:space="preserve"> et al. 2012</w:t>
      </w:r>
      <w:r w:rsidRPr="00783EC4">
        <w:rPr>
          <w:bCs/>
          <w:iCs/>
        </w:rPr>
        <w:t xml:space="preserve">). </w:t>
      </w:r>
    </w:p>
    <w:p w14:paraId="705D57FB" w14:textId="77777777" w:rsidR="003B3309" w:rsidRPr="00783EC4" w:rsidRDefault="003B3309" w:rsidP="003B3309">
      <w:pPr>
        <w:spacing w:line="276" w:lineRule="auto"/>
        <w:rPr>
          <w:bCs/>
          <w:iCs/>
        </w:rPr>
      </w:pPr>
    </w:p>
    <w:p w14:paraId="480521E8" w14:textId="77777777" w:rsidR="003B3309" w:rsidRDefault="003B3309" w:rsidP="003B3309">
      <w:pPr>
        <w:spacing w:line="276" w:lineRule="auto"/>
        <w:rPr>
          <w:b/>
          <w:i/>
        </w:rPr>
      </w:pPr>
      <w:r w:rsidRPr="00783EC4">
        <w:rPr>
          <w:b/>
          <w:i/>
        </w:rPr>
        <w:t>Functional morphometrics</w:t>
      </w:r>
    </w:p>
    <w:p w14:paraId="07F2A683" w14:textId="77777777" w:rsidR="003B3309" w:rsidRPr="00783EC4" w:rsidRDefault="003B3309" w:rsidP="003B3309">
      <w:pPr>
        <w:spacing w:line="276" w:lineRule="auto"/>
        <w:rPr>
          <w:bCs/>
          <w:iCs/>
        </w:rPr>
      </w:pPr>
      <w:r w:rsidRPr="00783EC4">
        <w:rPr>
          <w:bCs/>
          <w:iCs/>
        </w:rPr>
        <w:tab/>
        <w:t>We used 3D Slicer’s (</w:t>
      </w:r>
      <w:r w:rsidRPr="002804AE">
        <w:rPr>
          <w:bCs/>
          <w:iCs/>
          <w:color w:val="000000" w:themeColor="text1"/>
        </w:rPr>
        <w:t>www.slicer.org; Fedorov</w:t>
      </w:r>
      <w:r w:rsidRPr="002804AE" w:rsidDel="00994C86">
        <w:rPr>
          <w:bCs/>
          <w:iCs/>
          <w:color w:val="000000" w:themeColor="text1"/>
        </w:rPr>
        <w:t xml:space="preserve"> </w:t>
      </w:r>
      <w:r w:rsidRPr="002804AE">
        <w:rPr>
          <w:bCs/>
          <w:iCs/>
          <w:color w:val="000000" w:themeColor="text1"/>
        </w:rPr>
        <w:t>et al.</w:t>
      </w:r>
      <w:r>
        <w:rPr>
          <w:bCs/>
          <w:iCs/>
          <w:color w:val="000000" w:themeColor="text1"/>
        </w:rPr>
        <w:t xml:space="preserve">, </w:t>
      </w:r>
      <w:r w:rsidRPr="002804AE">
        <w:rPr>
          <w:bCs/>
          <w:iCs/>
          <w:color w:val="000000" w:themeColor="text1"/>
        </w:rPr>
        <w:t>2012</w:t>
      </w:r>
      <w:r w:rsidRPr="00783EC4">
        <w:rPr>
          <w:bCs/>
          <w:iCs/>
        </w:rPr>
        <w:t xml:space="preserve">) ruler and fiducial tools to take linear measurements between key morphological landmarks along the jaw (Figure 1). These traits represent functional proxies established by prior studies as relating to tooth function, bite force, and feeding kinematics in general (Anderson, 2009; </w:t>
      </w:r>
      <w:proofErr w:type="spellStart"/>
      <w:r w:rsidRPr="00783EC4">
        <w:rPr>
          <w:bCs/>
          <w:iCs/>
        </w:rPr>
        <w:t>Arbour</w:t>
      </w:r>
      <w:proofErr w:type="spellEnd"/>
      <w:r w:rsidRPr="00783EC4">
        <w:rPr>
          <w:bCs/>
          <w:iCs/>
        </w:rPr>
        <w:t xml:space="preserve"> &amp; Lopez-Fernandez, 2013; Kolmann et al., 2018; </w:t>
      </w:r>
      <w:proofErr w:type="spellStart"/>
      <w:r w:rsidRPr="00783EC4">
        <w:rPr>
          <w:bCs/>
          <w:iCs/>
        </w:rPr>
        <w:t>Huie</w:t>
      </w:r>
      <w:proofErr w:type="spellEnd"/>
      <w:r w:rsidRPr="00783EC4">
        <w:rPr>
          <w:bCs/>
          <w:iCs/>
        </w:rPr>
        <w:t xml:space="preserve"> et al., 2019). We measured three types of mechanical advantage (MA), </w:t>
      </w:r>
      <w:r>
        <w:rPr>
          <w:bCs/>
          <w:iCs/>
        </w:rPr>
        <w:t xml:space="preserve">a </w:t>
      </w:r>
      <w:r w:rsidRPr="00783EC4">
        <w:rPr>
          <w:bCs/>
          <w:iCs/>
        </w:rPr>
        <w:t xml:space="preserve">proxy for jaw leverage or force transmittance from jaw-closing muscles to where prey is contacted. Opening MA was measured as the ratio between the opening in-lever (jaw joint to insertion of the </w:t>
      </w:r>
      <w:proofErr w:type="spellStart"/>
      <w:r w:rsidRPr="00783EC4">
        <w:rPr>
          <w:bCs/>
          <w:iCs/>
        </w:rPr>
        <w:t>sternohyoideus</w:t>
      </w:r>
      <w:proofErr w:type="spellEnd"/>
      <w:r w:rsidRPr="00783EC4">
        <w:rPr>
          <w:bCs/>
          <w:iCs/>
        </w:rPr>
        <w:t xml:space="preserve"> on posterior articular) to the anterior out-lever (jaw joint to base of tooth 1) (</w:t>
      </w:r>
      <w:proofErr w:type="spellStart"/>
      <w:r w:rsidRPr="00783EC4">
        <w:rPr>
          <w:bCs/>
          <w:iCs/>
        </w:rPr>
        <w:t>Westneat</w:t>
      </w:r>
      <w:proofErr w:type="spellEnd"/>
      <w:r w:rsidRPr="00783EC4">
        <w:rPr>
          <w:bCs/>
          <w:iCs/>
        </w:rPr>
        <w:t xml:space="preserve"> 2004). Anterior closing MA was measured as the ratio between the closing in-lever</w:t>
      </w:r>
      <w:r>
        <w:rPr>
          <w:bCs/>
          <w:iCs/>
        </w:rPr>
        <w:t xml:space="preserve"> (jaw joint to the </w:t>
      </w:r>
      <w:r w:rsidRPr="002804AE">
        <w:rPr>
          <w:bCs/>
          <w:iCs/>
        </w:rPr>
        <w:t>insertion of</w:t>
      </w:r>
      <w:r>
        <w:rPr>
          <w:bCs/>
          <w:iCs/>
        </w:rPr>
        <w:t xml:space="preserve"> </w:t>
      </w:r>
      <w:r w:rsidRPr="002804AE">
        <w:rPr>
          <w:bCs/>
          <w:iCs/>
        </w:rPr>
        <w:t>the jaw adductors</w:t>
      </w:r>
      <w:r>
        <w:rPr>
          <w:bCs/>
          <w:iCs/>
        </w:rPr>
        <w:t>)</w:t>
      </w:r>
      <w:r w:rsidRPr="00783EC4">
        <w:rPr>
          <w:bCs/>
          <w:iCs/>
        </w:rPr>
        <w:t xml:space="preserve"> (</w:t>
      </w:r>
      <w:r>
        <w:rPr>
          <w:bCs/>
          <w:iCs/>
        </w:rPr>
        <w:t>Birch 1999</w:t>
      </w:r>
      <w:r w:rsidRPr="00783EC4">
        <w:rPr>
          <w:bCs/>
          <w:iCs/>
        </w:rPr>
        <w:t xml:space="preserve">) and the anterior out-lever. Posterior closing MA was measured as the ratio between closing in-lever and the posterior out-lever (jaw joint to base of rear-most tooth). </w:t>
      </w:r>
      <w:r w:rsidRPr="004B5273">
        <w:rPr>
          <w:bCs/>
          <w:iCs/>
          <w:color w:val="000000" w:themeColor="text1"/>
        </w:rPr>
        <w:t xml:space="preserve">Occlusion offset was taken to compare jaw strength during chewing </w:t>
      </w:r>
      <w:r w:rsidRPr="00783EC4">
        <w:rPr>
          <w:bCs/>
          <w:iCs/>
        </w:rPr>
        <w:t xml:space="preserve">(Anderson, 2009). We also measured jaw length and jaw width in order to capture general differences in jaw shape among carnivorous and more ectoparasitic taxa. </w:t>
      </w:r>
      <w:r w:rsidRPr="00783EC4">
        <w:rPr>
          <w:bCs/>
          <w:iCs/>
          <w:color w:val="FF0000"/>
        </w:rPr>
        <w:t xml:space="preserve"> </w:t>
      </w:r>
      <w:r w:rsidRPr="00783EC4">
        <w:rPr>
          <w:bCs/>
          <w:iCs/>
        </w:rPr>
        <w:t xml:space="preserve">The shearing quotient was measured through the average of the tooth cusps divided by the tooth row length in order to look at tooth surface area relative to space in the jaw (Kay &amp; Covert, 1984). Sagittal crest height and area was also obtained at this point due to the muscles that attach to the crest having the potential to be assisting in the movement of the jaw (Camp et al. </w:t>
      </w:r>
      <w:proofErr w:type="gramStart"/>
      <w:r w:rsidRPr="00783EC4">
        <w:rPr>
          <w:bCs/>
          <w:iCs/>
        </w:rPr>
        <w:t xml:space="preserve">2015;  </w:t>
      </w:r>
      <w:proofErr w:type="spellStart"/>
      <w:r w:rsidRPr="00783EC4">
        <w:rPr>
          <w:bCs/>
          <w:iCs/>
        </w:rPr>
        <w:t>Westneat</w:t>
      </w:r>
      <w:proofErr w:type="spellEnd"/>
      <w:proofErr w:type="gramEnd"/>
      <w:r w:rsidRPr="00783EC4">
        <w:rPr>
          <w:bCs/>
          <w:iCs/>
        </w:rPr>
        <w:t xml:space="preserve"> &amp; Olsen, 2015). The corrected average values for each species to be used in the data analysis are describe in Table 2. </w:t>
      </w:r>
    </w:p>
    <w:p w14:paraId="02EAB248" w14:textId="77777777" w:rsidR="003B3309" w:rsidRPr="00783EC4" w:rsidRDefault="003B3309" w:rsidP="003B3309">
      <w:pPr>
        <w:spacing w:line="276" w:lineRule="auto"/>
        <w:rPr>
          <w:bCs/>
          <w:iCs/>
        </w:rPr>
      </w:pPr>
    </w:p>
    <w:p w14:paraId="00C61A99" w14:textId="77777777" w:rsidR="003B3309" w:rsidRDefault="003B3309" w:rsidP="003B3309">
      <w:pPr>
        <w:spacing w:line="276" w:lineRule="auto"/>
        <w:rPr>
          <w:b/>
          <w:bCs/>
          <w:i/>
          <w:iCs/>
        </w:rPr>
      </w:pPr>
      <w:r w:rsidRPr="00783EC4">
        <w:rPr>
          <w:b/>
          <w:bCs/>
          <w:i/>
          <w:iCs/>
        </w:rPr>
        <w:t>Diet Meta-Analysis &amp; Categorization</w:t>
      </w:r>
    </w:p>
    <w:p w14:paraId="4AF71A07" w14:textId="77777777" w:rsidR="003B3309" w:rsidRPr="00783EC4" w:rsidRDefault="003B3309" w:rsidP="003B3309">
      <w:pPr>
        <w:spacing w:line="276" w:lineRule="auto"/>
        <w:ind w:firstLine="720"/>
        <w:rPr>
          <w:color w:val="000000" w:themeColor="text1"/>
        </w:rPr>
      </w:pPr>
      <w:r w:rsidRPr="00783EC4">
        <w:t xml:space="preserve">A literature meta-analysis was conducted to survey the gut contents across different piranha species. If multiple records existed, we preferentially used only volumetric or composite (i.e. Index of Relative Importance, IRI) data, as these are most representative of prey importance, and then averaged these values across seasons, sexes, and regions. If no volumetric (%V) data </w:t>
      </w:r>
      <w:r>
        <w:t>were</w:t>
      </w:r>
      <w:r w:rsidRPr="00783EC4">
        <w:t xml:space="preserve"> available, we used what metrics were </w:t>
      </w:r>
      <w:r>
        <w:t>available</w:t>
      </w:r>
      <w:r w:rsidRPr="00783EC4">
        <w:t xml:space="preserve"> (</w:t>
      </w:r>
      <w:r>
        <w:t xml:space="preserve">e.g. </w:t>
      </w:r>
      <w:r w:rsidRPr="00783EC4">
        <w:t>frequency of occurrence, %FO – 1/29 species) and assumed equal importance</w:t>
      </w:r>
      <w:r>
        <w:t xml:space="preserve"> across prey categories</w:t>
      </w:r>
      <w:r w:rsidRPr="00783EC4">
        <w:t xml:space="preserve"> (</w:t>
      </w:r>
      <w:proofErr w:type="spellStart"/>
      <w:r w:rsidRPr="00783EC4">
        <w:t>Buser</w:t>
      </w:r>
      <w:proofErr w:type="spellEnd"/>
      <w:r w:rsidRPr="00783EC4">
        <w:t xml:space="preserve"> et al., 2019). A couple </w:t>
      </w:r>
      <w:r w:rsidRPr="00783EC4">
        <w:lastRenderedPageBreak/>
        <w:t xml:space="preserve">species did not report volumetric data and thus we used qualitative data where necessary. </w:t>
      </w:r>
      <w:r w:rsidRPr="004B5273">
        <w:rPr>
          <w:color w:val="000000" w:themeColor="text1"/>
        </w:rPr>
        <w:t xml:space="preserve">Prey mechanics were analyzed based on the dominant item in the species diet, from obligate fin or scale feeding to purely flesh eating or omnivorous. </w:t>
      </w:r>
      <w:r w:rsidRPr="00783EC4">
        <w:rPr>
          <w:color w:val="000000" w:themeColor="text1"/>
        </w:rPr>
        <w:t xml:space="preserve">We analyzed diet data in both categorical (discrete) and continuous fashions, respectively: (1) as ‘fin &amp; scale feeders,’ ‘piscivores,’ and ‘omnivores’ (the last being those fishes whose diets are composed of  ≥ 30% plant materials); (2) or with respect to the %V of fins and scales, whole fish or fish flesh, </w:t>
      </w:r>
      <w:r>
        <w:rPr>
          <w:color w:val="000000" w:themeColor="text1"/>
        </w:rPr>
        <w:t>or</w:t>
      </w:r>
      <w:r w:rsidRPr="00783EC4">
        <w:rPr>
          <w:color w:val="000000" w:themeColor="text1"/>
        </w:rPr>
        <w:t xml:space="preserve"> plant materials in the diet. It is possible that the obligate scale feeders differ from the obligate fin feeders, but there were not enough samples to separate those into distinct groups without compromising the statistical power of the analys</w:t>
      </w:r>
      <w:r>
        <w:rPr>
          <w:color w:val="000000" w:themeColor="text1"/>
        </w:rPr>
        <w:t>e</w:t>
      </w:r>
      <w:r w:rsidRPr="00783EC4">
        <w:rPr>
          <w:color w:val="000000" w:themeColor="text1"/>
        </w:rPr>
        <w:t>s.</w:t>
      </w:r>
      <w:r>
        <w:rPr>
          <w:color w:val="000000" w:themeColor="text1"/>
        </w:rPr>
        <w:t xml:space="preserve"> Finally, we were curious as to whether ectoparasites were substantially smaller than other piranhas, according to the observations by </w:t>
      </w:r>
      <w:proofErr w:type="spellStart"/>
      <w:r>
        <w:rPr>
          <w:color w:val="000000" w:themeColor="text1"/>
        </w:rPr>
        <w:t>Sazima</w:t>
      </w:r>
      <w:proofErr w:type="spellEnd"/>
      <w:r>
        <w:rPr>
          <w:color w:val="000000" w:themeColor="text1"/>
        </w:rPr>
        <w:t xml:space="preserve"> (1983) and </w:t>
      </w:r>
      <w:proofErr w:type="spellStart"/>
      <w:r>
        <w:rPr>
          <w:color w:val="000000" w:themeColor="text1"/>
        </w:rPr>
        <w:t>Sazima</w:t>
      </w:r>
      <w:proofErr w:type="spellEnd"/>
      <w:r>
        <w:rPr>
          <w:color w:val="000000" w:themeColor="text1"/>
        </w:rPr>
        <w:t xml:space="preserve"> and Machado (1990), so we performed a linear regression on the phylogenetic independent contrasts of maximum recorded standard length (SL) and the % volume of fins and scales in the gut contents of each species.</w:t>
      </w:r>
    </w:p>
    <w:p w14:paraId="04AE6318" w14:textId="77777777" w:rsidR="003B3309" w:rsidRPr="00783EC4" w:rsidRDefault="003B3309" w:rsidP="003B3309">
      <w:pPr>
        <w:spacing w:line="276" w:lineRule="auto"/>
        <w:ind w:firstLine="720"/>
      </w:pPr>
    </w:p>
    <w:p w14:paraId="311C4D50" w14:textId="77777777" w:rsidR="003B3309" w:rsidRDefault="003B3309" w:rsidP="003B3309">
      <w:pPr>
        <w:spacing w:line="276" w:lineRule="auto"/>
        <w:rPr>
          <w:b/>
          <w:bCs/>
          <w:i/>
          <w:iCs/>
        </w:rPr>
      </w:pPr>
      <w:r w:rsidRPr="00783EC4">
        <w:rPr>
          <w:b/>
          <w:bCs/>
          <w:i/>
          <w:iCs/>
        </w:rPr>
        <w:t>Statistical Analysis and Ancestral state reconstructions</w:t>
      </w:r>
    </w:p>
    <w:p w14:paraId="25CEB561" w14:textId="77777777" w:rsidR="003B3309" w:rsidRPr="00783EC4" w:rsidRDefault="003B3309" w:rsidP="003B3309">
      <w:pPr>
        <w:spacing w:line="276" w:lineRule="auto"/>
        <w:ind w:firstLine="720"/>
      </w:pPr>
      <w:r w:rsidRPr="00783EC4">
        <w:t>We did not analyze in-lever or out-lever lengths, only mechanical advantage metrics, occlusal offset, and tooth morphometrics. All trait variables (except ratios, e.g. MA, shearing quotient) were size corrected, by dividing each individual’s trait values by the geometric mean of that individual specimen’s head length, head width, and head height (see Table 1). After size-correction, variables among individuals from the same species were then averaged together for phylogenetic analyses. All statistical analyses were performed in R (www.rproject.org).</w:t>
      </w:r>
    </w:p>
    <w:p w14:paraId="06111060" w14:textId="77777777" w:rsidR="003B3309" w:rsidRPr="00783EC4" w:rsidRDefault="003B3309" w:rsidP="003B3309">
      <w:pPr>
        <w:spacing w:line="276" w:lineRule="auto"/>
        <w:ind w:firstLine="720"/>
      </w:pPr>
      <w:r w:rsidRPr="00783EC4">
        <w:t xml:space="preserve">We used two different manners of analysis of variance (ANOVA) to test for a relationship between feeding morphology and diet for each functional trait. First, we used the R function </w:t>
      </w:r>
      <w:proofErr w:type="spellStart"/>
      <w:r w:rsidRPr="00783EC4">
        <w:rPr>
          <w:i/>
          <w:iCs/>
        </w:rPr>
        <w:t>aov</w:t>
      </w:r>
      <w:proofErr w:type="spellEnd"/>
      <w:r w:rsidRPr="00783EC4">
        <w:t xml:space="preserve"> to test for differences in individual traits with respect to diet across </w:t>
      </w:r>
      <w:r>
        <w:t>my</w:t>
      </w:r>
      <w:r w:rsidRPr="00783EC4">
        <w:t xml:space="preserve"> entire dataset. To examine how shared evolutionary history has affected any correlation among diet and morphological traits, we also conducted phylogenetically explicit ANOVAs using the </w:t>
      </w:r>
      <w:proofErr w:type="spellStart"/>
      <w:r w:rsidRPr="00783EC4">
        <w:rPr>
          <w:i/>
          <w:iCs/>
        </w:rPr>
        <w:t>phylANOVA</w:t>
      </w:r>
      <w:proofErr w:type="spellEnd"/>
      <w:r w:rsidRPr="00783EC4">
        <w:t xml:space="preserve"> function (</w:t>
      </w:r>
      <w:proofErr w:type="spellStart"/>
      <w:r w:rsidRPr="00783EC4">
        <w:t>phytools</w:t>
      </w:r>
      <w:proofErr w:type="spellEnd"/>
      <w:r w:rsidRPr="00783EC4">
        <w:t xml:space="preserve"> package; Revell, 2012) and the comprehensive dated </w:t>
      </w:r>
      <w:proofErr w:type="spellStart"/>
      <w:r w:rsidRPr="00783EC4">
        <w:t>serrasalmid</w:t>
      </w:r>
      <w:proofErr w:type="spellEnd"/>
      <w:r w:rsidRPr="00783EC4">
        <w:t xml:space="preserve"> phylogeny by Kolmann et al. (</w:t>
      </w:r>
      <w:r w:rsidRPr="00783EC4">
        <w:rPr>
          <w:i/>
          <w:iCs/>
        </w:rPr>
        <w:t>in review</w:t>
      </w:r>
      <w:r w:rsidRPr="00783EC4">
        <w:t xml:space="preserve">). This phylogeny was trimmed prior to analyses to include only the taxa in </w:t>
      </w:r>
      <w:r>
        <w:t>my</w:t>
      </w:r>
      <w:r w:rsidRPr="00783EC4">
        <w:t xml:space="preserve"> dataset for phylogenetic ANOVAs. We constructed </w:t>
      </w:r>
      <w:proofErr w:type="spellStart"/>
      <w:r w:rsidRPr="00783EC4">
        <w:t>morphospaces</w:t>
      </w:r>
      <w:proofErr w:type="spellEnd"/>
      <w:r w:rsidRPr="00783EC4">
        <w:t xml:space="preserve"> from principal component scores, using </w:t>
      </w:r>
      <w:proofErr w:type="spellStart"/>
      <w:r w:rsidRPr="00783EC4">
        <w:rPr>
          <w:i/>
          <w:iCs/>
        </w:rPr>
        <w:t>princomp</w:t>
      </w:r>
      <w:proofErr w:type="spellEnd"/>
      <w:r w:rsidRPr="00783EC4">
        <w:t xml:space="preserve"> and </w:t>
      </w:r>
      <w:proofErr w:type="spellStart"/>
      <w:r w:rsidRPr="00783EC4">
        <w:rPr>
          <w:i/>
          <w:iCs/>
        </w:rPr>
        <w:t>phyl.pca</w:t>
      </w:r>
      <w:proofErr w:type="spellEnd"/>
      <w:r w:rsidRPr="00783EC4">
        <w:t xml:space="preserve"> functions, respectively (Revell, 2012). We used the broken-stick test to determine how many PC axes were significant and retained only these axes for analyses. </w:t>
      </w:r>
    </w:p>
    <w:p w14:paraId="57ADE6F3" w14:textId="77777777" w:rsidR="003B3309" w:rsidRPr="00783EC4" w:rsidRDefault="003B3309" w:rsidP="003B3309">
      <w:pPr>
        <w:spacing w:line="276" w:lineRule="auto"/>
        <w:ind w:firstLine="720"/>
      </w:pPr>
      <w:r w:rsidRPr="00783EC4">
        <w:t xml:space="preserve">We expected that scale- and fin- feeding taxa might be either converging in trait values or alternatively, using multiple phenotypes to access their prey (novelty or equifinality of form to function; Young et al., 2007). To explore whether scale- and fin- feeding taxa were exploring similar, adjacent, or non-overlapping regions of </w:t>
      </w:r>
      <w:proofErr w:type="spellStart"/>
      <w:r w:rsidRPr="00783EC4">
        <w:t>morphospace</w:t>
      </w:r>
      <w:proofErr w:type="spellEnd"/>
      <w:r w:rsidRPr="00783EC4">
        <w:t xml:space="preserve">, we used the </w:t>
      </w:r>
      <w:proofErr w:type="spellStart"/>
      <w:r w:rsidRPr="00783EC4">
        <w:rPr>
          <w:i/>
          <w:iCs/>
        </w:rPr>
        <w:t>phylomorphospace</w:t>
      </w:r>
      <w:proofErr w:type="spellEnd"/>
      <w:r w:rsidRPr="00783EC4">
        <w:t xml:space="preserve"> function (Revell, 2012) on </w:t>
      </w:r>
      <w:r>
        <w:t>my</w:t>
      </w:r>
      <w:r w:rsidRPr="00783EC4">
        <w:t xml:space="preserve"> PC axes and used convex hulls to represent each diet guild’s respective </w:t>
      </w:r>
      <w:proofErr w:type="spellStart"/>
      <w:r w:rsidRPr="00783EC4">
        <w:t>morphospace</w:t>
      </w:r>
      <w:proofErr w:type="spellEnd"/>
      <w:r w:rsidRPr="00783EC4">
        <w:t xml:space="preserve"> occupation. Finally, we used stochastic character mapping (</w:t>
      </w:r>
      <w:proofErr w:type="spellStart"/>
      <w:r w:rsidRPr="00783EC4">
        <w:t>Bollback</w:t>
      </w:r>
      <w:proofErr w:type="spellEnd"/>
      <w:r w:rsidRPr="00783EC4">
        <w:t xml:space="preserve">, 2006) to reconstruct the evolution and the transition rates between </w:t>
      </w:r>
      <w:proofErr w:type="spellStart"/>
      <w:r w:rsidRPr="00783EC4">
        <w:t>lepidophagous</w:t>
      </w:r>
      <w:proofErr w:type="spellEnd"/>
      <w:r w:rsidRPr="00783EC4">
        <w:t xml:space="preserve">, </w:t>
      </w:r>
      <w:proofErr w:type="spellStart"/>
      <w:r w:rsidRPr="00783EC4">
        <w:t>pterygophagous</w:t>
      </w:r>
      <w:proofErr w:type="spellEnd"/>
      <w:r w:rsidRPr="00783EC4">
        <w:t xml:space="preserve">, omnivorous, and </w:t>
      </w:r>
      <w:r>
        <w:t>piscivorous</w:t>
      </w:r>
      <w:r w:rsidRPr="00783EC4">
        <w:t xml:space="preserve"> diet states across the phylogeny using the function </w:t>
      </w:r>
      <w:proofErr w:type="spellStart"/>
      <w:proofErr w:type="gramStart"/>
      <w:r w:rsidRPr="00783EC4">
        <w:rPr>
          <w:i/>
          <w:iCs/>
        </w:rPr>
        <w:lastRenderedPageBreak/>
        <w:t>make.simmap</w:t>
      </w:r>
      <w:proofErr w:type="spellEnd"/>
      <w:proofErr w:type="gramEnd"/>
      <w:r w:rsidRPr="00783EC4">
        <w:t xml:space="preserve"> in </w:t>
      </w:r>
      <w:proofErr w:type="spellStart"/>
      <w:r w:rsidRPr="00783EC4">
        <w:t>phytools</w:t>
      </w:r>
      <w:proofErr w:type="spellEnd"/>
      <w:r w:rsidRPr="00783EC4">
        <w:t xml:space="preserve"> (Revell, 2012).</w:t>
      </w:r>
      <w:r>
        <w:t xml:space="preserve"> Finally, we used the </w:t>
      </w:r>
      <w:proofErr w:type="spellStart"/>
      <w:proofErr w:type="gramStart"/>
      <w:r w:rsidRPr="008C5F8A">
        <w:rPr>
          <w:i/>
          <w:iCs/>
        </w:rPr>
        <w:t>compare.evol</w:t>
      </w:r>
      <w:proofErr w:type="gramEnd"/>
      <w:r w:rsidRPr="008C5F8A">
        <w:rPr>
          <w:i/>
          <w:iCs/>
        </w:rPr>
        <w:t>.rates</w:t>
      </w:r>
      <w:proofErr w:type="spellEnd"/>
      <w:r>
        <w:t xml:space="preserve"> function (</w:t>
      </w:r>
      <w:proofErr w:type="spellStart"/>
      <w:r>
        <w:t>geomorph</w:t>
      </w:r>
      <w:proofErr w:type="spellEnd"/>
      <w:r>
        <w:t>; Adams &amp; Collyer, 2014) to determine if there were significant differences in the multivariate rates of cranial evolution among ectoparasites, piscivores, and omnivores.</w:t>
      </w:r>
    </w:p>
    <w:p w14:paraId="4581DB55" w14:textId="77777777" w:rsidR="003B3309" w:rsidRPr="00783EC4" w:rsidRDefault="003B3309" w:rsidP="003B3309">
      <w:pPr>
        <w:spacing w:line="276" w:lineRule="auto"/>
      </w:pPr>
    </w:p>
    <w:p w14:paraId="21C82AAA" w14:textId="77777777" w:rsidR="003B3309" w:rsidRPr="00783EC4" w:rsidRDefault="003B3309" w:rsidP="003B3309">
      <w:pPr>
        <w:spacing w:line="276" w:lineRule="auto"/>
      </w:pPr>
    </w:p>
    <w:p w14:paraId="17198CFC" w14:textId="77777777" w:rsidR="003B3309" w:rsidRPr="002804AE" w:rsidRDefault="003B3309" w:rsidP="003B3309">
      <w:pPr>
        <w:spacing w:line="276" w:lineRule="auto"/>
        <w:rPr>
          <w:b/>
          <w:bCs/>
        </w:rPr>
      </w:pPr>
      <w:r w:rsidRPr="002804AE">
        <w:rPr>
          <w:b/>
          <w:bCs/>
        </w:rPr>
        <w:t>RESULTS</w:t>
      </w:r>
    </w:p>
    <w:p w14:paraId="4A424F20" w14:textId="77777777" w:rsidR="003B3309" w:rsidRPr="002804AE" w:rsidRDefault="003B3309" w:rsidP="003B3309">
      <w:pPr>
        <w:spacing w:line="276" w:lineRule="auto"/>
        <w:rPr>
          <w:b/>
          <w:bCs/>
          <w:i/>
          <w:iCs/>
        </w:rPr>
      </w:pPr>
      <w:r w:rsidRPr="002804AE">
        <w:rPr>
          <w:b/>
          <w:bCs/>
          <w:i/>
          <w:iCs/>
        </w:rPr>
        <w:t>Functional morphometrics</w:t>
      </w:r>
    </w:p>
    <w:p w14:paraId="6CE26593" w14:textId="0ACCEF51" w:rsidR="003B3309" w:rsidRPr="002804AE" w:rsidRDefault="003B3309" w:rsidP="003B3309">
      <w:pPr>
        <w:spacing w:line="276" w:lineRule="auto"/>
      </w:pPr>
      <w:r w:rsidRPr="002804AE">
        <w:tab/>
      </w:r>
      <w:r>
        <w:t>My</w:t>
      </w:r>
      <w:r w:rsidRPr="002804AE">
        <w:t xml:space="preserve"> statistical analys</w:t>
      </w:r>
      <w:r>
        <w:t>e</w:t>
      </w:r>
      <w:r w:rsidRPr="002804AE">
        <w:t xml:space="preserve">s found that only three morphological traits measured had significant differences between diet groups. Tooth aspect ratio was greater for the piscivores than the ectoparasites (p=0.023) and omnivores (p=0.002); however, omnivores and ectoparasites did not differ from each other significantly (p=0.79) (Figure 2). Similarly, the shearing quotient of the lower jaw teeth </w:t>
      </w:r>
      <w:r>
        <w:t xml:space="preserve">(Figure 1) </w:t>
      </w:r>
      <w:r w:rsidRPr="002804AE">
        <w:t>was greater for piscivores than omnivores (p=0.029)</w:t>
      </w:r>
      <w:r>
        <w:t>. In addition, the piscivores did not</w:t>
      </w:r>
      <w:r w:rsidRPr="002804AE">
        <w:t xml:space="preserve"> </w:t>
      </w:r>
      <w:r>
        <w:t xml:space="preserve">differ significantly from </w:t>
      </w:r>
      <w:r w:rsidRPr="002804AE">
        <w:t>the ectoparasites</w:t>
      </w:r>
      <w:r>
        <w:t xml:space="preserve"> in tooth surface area</w:t>
      </w:r>
      <w:r w:rsidRPr="002804AE">
        <w:t xml:space="preserve"> (p=0.11) (Figure 3). Omnivores and ectoparasites did not significantly differ in shearing quotient values (p=0.92). The third trait that had variation in significance across the different feeding groups was the standard length of the specimens. </w:t>
      </w:r>
      <w:r>
        <w:t>My</w:t>
      </w:r>
      <w:r w:rsidRPr="002804AE">
        <w:t xml:space="preserve"> analyses did not find any significant differences between trophic guilds for any of the traits that follow: Opening MA, Anterior closing MA, Posterior closing MA, jaw length and width, sagittal crest height and area, occipital offset and inclusion angle did not have any significant variation between the diet groups</w:t>
      </w:r>
      <w:r>
        <w:t>.</w:t>
      </w:r>
    </w:p>
    <w:p w14:paraId="445FA845" w14:textId="77777777" w:rsidR="003B3309" w:rsidRPr="002804AE" w:rsidRDefault="003B3309" w:rsidP="003B3309">
      <w:pPr>
        <w:spacing w:line="276" w:lineRule="auto"/>
      </w:pPr>
    </w:p>
    <w:p w14:paraId="24C74040" w14:textId="77777777" w:rsidR="003B3309" w:rsidRDefault="003B3309" w:rsidP="003B3309">
      <w:pPr>
        <w:spacing w:line="276" w:lineRule="auto"/>
        <w:rPr>
          <w:b/>
          <w:bCs/>
          <w:i/>
          <w:iCs/>
        </w:rPr>
      </w:pPr>
      <w:r w:rsidRPr="002804AE">
        <w:rPr>
          <w:b/>
          <w:bCs/>
          <w:i/>
          <w:iCs/>
        </w:rPr>
        <w:t>Diet Characters in Phylogenetics</w:t>
      </w:r>
    </w:p>
    <w:p w14:paraId="0AF8A148" w14:textId="77777777" w:rsidR="003B3309" w:rsidRPr="002804AE" w:rsidRDefault="003B3309" w:rsidP="003B3309">
      <w:pPr>
        <w:spacing w:line="276" w:lineRule="auto"/>
        <w:ind w:firstLine="720"/>
      </w:pPr>
      <w:r w:rsidRPr="002804AE">
        <w:t xml:space="preserve">Several patterns stood out when we mapped the diet states on a phylogenetic tree. The common ancestor of all extant piranha lineages was likely omnivorous (Figure 4). In fact, </w:t>
      </w:r>
      <w:proofErr w:type="spellStart"/>
      <w:r w:rsidRPr="002804AE">
        <w:t>omnivory</w:t>
      </w:r>
      <w:proofErr w:type="spellEnd"/>
      <w:r w:rsidRPr="002804AE">
        <w:t xml:space="preserve"> remains the most likely ancestral feeding strategy for most major clades within piranhas, with one notable exception being the ancestor of modern </w:t>
      </w:r>
      <w:proofErr w:type="spellStart"/>
      <w:r w:rsidRPr="002804AE">
        <w:rPr>
          <w:i/>
          <w:iCs/>
        </w:rPr>
        <w:t>Pygocentrus</w:t>
      </w:r>
      <w:proofErr w:type="spellEnd"/>
      <w:r w:rsidRPr="002804AE">
        <w:t xml:space="preserve">, some of the largest piranha species. </w:t>
      </w:r>
      <w:proofErr w:type="spellStart"/>
      <w:r w:rsidRPr="002804AE">
        <w:t>Ectoparasitism</w:t>
      </w:r>
      <w:proofErr w:type="spellEnd"/>
      <w:r w:rsidRPr="002804AE">
        <w:t xml:space="preserve"> appears to have arisen at least four times in the last eight million years. Ectoparasites were 1.5 times as likely to transition from omnivorous feeding modes as piscivorous ones; however, ectoparasitic taxa were more likely to transition to piscivorous feeding modes than to omnivorous niches (2.22 </w:t>
      </w:r>
      <w:r w:rsidRPr="002804AE">
        <w:rPr>
          <w:i/>
          <w:iCs/>
        </w:rPr>
        <w:t>vs</w:t>
      </w:r>
      <w:r w:rsidRPr="002804AE">
        <w:t xml:space="preserve">. 1.78, respectively). </w:t>
      </w:r>
      <w:r>
        <w:t xml:space="preserve">Continuous mapping of </w:t>
      </w:r>
      <w:proofErr w:type="spellStart"/>
      <w:r>
        <w:t>ectoparasitism</w:t>
      </w:r>
      <w:proofErr w:type="spellEnd"/>
      <w:r>
        <w:t xml:space="preserve"> shows that their ancestor potentially consumed fins and/or scale as well</w:t>
      </w:r>
      <w:r w:rsidRPr="002804AE">
        <w:t xml:space="preserve"> </w:t>
      </w:r>
      <w:r>
        <w:t xml:space="preserve">(Figure 5). </w:t>
      </w:r>
      <w:r w:rsidRPr="002804AE">
        <w:t xml:space="preserve">Finally, </w:t>
      </w:r>
      <w:r>
        <w:t>we</w:t>
      </w:r>
      <w:r w:rsidRPr="002804AE">
        <w:t xml:space="preserve"> found that the degree of </w:t>
      </w:r>
      <w:proofErr w:type="spellStart"/>
      <w:r w:rsidRPr="002804AE">
        <w:t>ectoparasitism</w:t>
      </w:r>
      <w:proofErr w:type="spellEnd"/>
      <w:r w:rsidRPr="002804AE">
        <w:t xml:space="preserve"> (% volume of fins and/or scales in piranha gut contents) is inversely proportional to standard length (R</w:t>
      </w:r>
      <w:r w:rsidRPr="002804AE">
        <w:rPr>
          <w:vertAlign w:val="superscript"/>
        </w:rPr>
        <w:t>2</w:t>
      </w:r>
      <w:r w:rsidRPr="002804AE">
        <w:t xml:space="preserve"> </w:t>
      </w:r>
      <w:proofErr w:type="gramStart"/>
      <w:r w:rsidRPr="002804AE">
        <w:t>=  0.312</w:t>
      </w:r>
      <w:proofErr w:type="gramEnd"/>
      <w:r w:rsidRPr="002804AE">
        <w:t xml:space="preserve">; p = 0.007): scale and fin feeders tended to be smaller than their piscivorous and omnivorous cousins (Figure </w:t>
      </w:r>
      <w:r>
        <w:t>6</w:t>
      </w:r>
      <w:r w:rsidRPr="002804AE">
        <w:t>).</w:t>
      </w:r>
    </w:p>
    <w:p w14:paraId="7F500C50" w14:textId="77777777" w:rsidR="003B3309" w:rsidRPr="002804AE" w:rsidRDefault="003B3309" w:rsidP="003B3309">
      <w:pPr>
        <w:spacing w:line="276" w:lineRule="auto"/>
        <w:ind w:firstLine="720"/>
      </w:pPr>
    </w:p>
    <w:p w14:paraId="3CF54C01" w14:textId="77777777" w:rsidR="003B3309" w:rsidRDefault="003B3309" w:rsidP="003B3309">
      <w:pPr>
        <w:spacing w:line="276" w:lineRule="auto"/>
        <w:rPr>
          <w:b/>
          <w:bCs/>
          <w:i/>
          <w:iCs/>
          <w:color w:val="000000" w:themeColor="text1"/>
        </w:rPr>
      </w:pPr>
      <w:proofErr w:type="spellStart"/>
      <w:r w:rsidRPr="00477871">
        <w:rPr>
          <w:b/>
          <w:bCs/>
          <w:i/>
          <w:iCs/>
          <w:color w:val="000000" w:themeColor="text1"/>
        </w:rPr>
        <w:t>Morphospace</w:t>
      </w:r>
      <w:proofErr w:type="spellEnd"/>
    </w:p>
    <w:p w14:paraId="29718E6B" w14:textId="77777777" w:rsidR="003B3309" w:rsidRPr="00477871" w:rsidRDefault="003B3309" w:rsidP="003B3309">
      <w:pPr>
        <w:spacing w:line="276" w:lineRule="auto"/>
        <w:ind w:firstLine="720"/>
        <w:rPr>
          <w:color w:val="000000" w:themeColor="text1"/>
        </w:rPr>
      </w:pPr>
      <w:r w:rsidRPr="00477871">
        <w:rPr>
          <w:color w:val="000000" w:themeColor="text1"/>
        </w:rPr>
        <w:t xml:space="preserve">When we plotted the </w:t>
      </w:r>
      <w:proofErr w:type="spellStart"/>
      <w:r w:rsidRPr="00477871">
        <w:rPr>
          <w:color w:val="000000" w:themeColor="text1"/>
        </w:rPr>
        <w:t>p</w:t>
      </w:r>
      <w:r>
        <w:rPr>
          <w:color w:val="000000" w:themeColor="text1"/>
        </w:rPr>
        <w:t>hy</w:t>
      </w:r>
      <w:r w:rsidRPr="00477871">
        <w:rPr>
          <w:color w:val="000000" w:themeColor="text1"/>
        </w:rPr>
        <w:t>l</w:t>
      </w:r>
      <w:r>
        <w:rPr>
          <w:color w:val="000000" w:themeColor="text1"/>
        </w:rPr>
        <w:t>o</w:t>
      </w:r>
      <w:r w:rsidRPr="00477871">
        <w:rPr>
          <w:color w:val="000000" w:themeColor="text1"/>
        </w:rPr>
        <w:t>morphospace</w:t>
      </w:r>
      <w:proofErr w:type="spellEnd"/>
      <w:r w:rsidRPr="00477871">
        <w:rPr>
          <w:color w:val="000000" w:themeColor="text1"/>
        </w:rPr>
        <w:t xml:space="preserve"> using the morphometric loadings described in Table 3, we found that there was high overlap </w:t>
      </w:r>
      <w:r>
        <w:rPr>
          <w:color w:val="000000" w:themeColor="text1"/>
        </w:rPr>
        <w:t xml:space="preserve">of trait values </w:t>
      </w:r>
      <w:r w:rsidRPr="00477871">
        <w:rPr>
          <w:color w:val="000000" w:themeColor="text1"/>
        </w:rPr>
        <w:t xml:space="preserve">among </w:t>
      </w:r>
      <w:r>
        <w:rPr>
          <w:color w:val="000000" w:themeColor="text1"/>
        </w:rPr>
        <w:t>species from different</w:t>
      </w:r>
      <w:r w:rsidRPr="00477871">
        <w:rPr>
          <w:color w:val="000000" w:themeColor="text1"/>
        </w:rPr>
        <w:t xml:space="preserve"> diet</w:t>
      </w:r>
      <w:r>
        <w:rPr>
          <w:color w:val="000000" w:themeColor="text1"/>
        </w:rPr>
        <w:t xml:space="preserve"> guild</w:t>
      </w:r>
      <w:r w:rsidRPr="00477871">
        <w:rPr>
          <w:color w:val="000000" w:themeColor="text1"/>
        </w:rPr>
        <w:t xml:space="preserve">s (Figure </w:t>
      </w:r>
      <w:r>
        <w:rPr>
          <w:color w:val="000000" w:themeColor="text1"/>
        </w:rPr>
        <w:t>7</w:t>
      </w:r>
      <w:r w:rsidRPr="00477871">
        <w:rPr>
          <w:color w:val="000000" w:themeColor="text1"/>
        </w:rPr>
        <w:t xml:space="preserve">). </w:t>
      </w:r>
      <w:r>
        <w:rPr>
          <w:color w:val="000000" w:themeColor="text1"/>
        </w:rPr>
        <w:t>On the</w:t>
      </w:r>
      <w:r w:rsidRPr="00477871">
        <w:rPr>
          <w:color w:val="000000" w:themeColor="text1"/>
        </w:rPr>
        <w:t xml:space="preserve"> positive side of the PC1 axis (the x-axis) load</w:t>
      </w:r>
      <w:r>
        <w:rPr>
          <w:color w:val="000000" w:themeColor="text1"/>
        </w:rPr>
        <w:t>ed</w:t>
      </w:r>
      <w:r w:rsidRPr="00477871">
        <w:rPr>
          <w:color w:val="000000" w:themeColor="text1"/>
        </w:rPr>
        <w:t xml:space="preserve"> opening mechanical advantage, anterior mechanical advantage, sagittal crest height, shearing quotient, </w:t>
      </w:r>
      <w:proofErr w:type="spellStart"/>
      <w:r>
        <w:rPr>
          <w:color w:val="000000" w:themeColor="text1"/>
        </w:rPr>
        <w:t>oc</w:t>
      </w:r>
      <w:r w:rsidRPr="00477871">
        <w:rPr>
          <w:color w:val="000000" w:themeColor="text1"/>
        </w:rPr>
        <w:t>clusional</w:t>
      </w:r>
      <w:proofErr w:type="spellEnd"/>
      <w:r w:rsidRPr="00477871">
        <w:rPr>
          <w:color w:val="000000" w:themeColor="text1"/>
        </w:rPr>
        <w:t xml:space="preserve"> </w:t>
      </w:r>
      <w:r>
        <w:rPr>
          <w:color w:val="000000" w:themeColor="text1"/>
        </w:rPr>
        <w:lastRenderedPageBreak/>
        <w:t>offset</w:t>
      </w:r>
      <w:r w:rsidRPr="00477871">
        <w:rPr>
          <w:color w:val="000000" w:themeColor="text1"/>
        </w:rPr>
        <w:t xml:space="preserve">, and tooth aspect ratio. </w:t>
      </w:r>
      <w:r>
        <w:rPr>
          <w:color w:val="000000" w:themeColor="text1"/>
        </w:rPr>
        <w:t>P</w:t>
      </w:r>
      <w:r w:rsidRPr="00477871">
        <w:rPr>
          <w:color w:val="000000" w:themeColor="text1"/>
        </w:rPr>
        <w:t>osterior mechanical advantage and the jaw length and width</w:t>
      </w:r>
      <w:r>
        <w:rPr>
          <w:color w:val="000000" w:themeColor="text1"/>
        </w:rPr>
        <w:t xml:space="preserve"> </w:t>
      </w:r>
      <w:r w:rsidRPr="00477871">
        <w:rPr>
          <w:color w:val="000000" w:themeColor="text1"/>
        </w:rPr>
        <w:t>loaded</w:t>
      </w:r>
      <w:r>
        <w:rPr>
          <w:color w:val="000000" w:themeColor="text1"/>
        </w:rPr>
        <w:t xml:space="preserve"> on </w:t>
      </w:r>
      <w:r w:rsidRPr="00477871">
        <w:rPr>
          <w:color w:val="000000" w:themeColor="text1"/>
        </w:rPr>
        <w:t>negative</w:t>
      </w:r>
      <w:r>
        <w:rPr>
          <w:color w:val="000000" w:themeColor="text1"/>
        </w:rPr>
        <w:t>ly on PC1</w:t>
      </w:r>
      <w:r w:rsidRPr="00477871">
        <w:rPr>
          <w:color w:val="000000" w:themeColor="text1"/>
        </w:rPr>
        <w:t xml:space="preserve">. </w:t>
      </w:r>
      <w:r>
        <w:rPr>
          <w:color w:val="000000" w:themeColor="text1"/>
        </w:rPr>
        <w:t xml:space="preserve">On the </w:t>
      </w:r>
      <w:r w:rsidRPr="00477871">
        <w:rPr>
          <w:color w:val="000000" w:themeColor="text1"/>
        </w:rPr>
        <w:t xml:space="preserve">PC2 axis (y-axis) opening mechanical advantage, occipital offset, jaw length and width, </w:t>
      </w:r>
      <w:proofErr w:type="spellStart"/>
      <w:r>
        <w:rPr>
          <w:color w:val="000000" w:themeColor="text1"/>
        </w:rPr>
        <w:t>oc</w:t>
      </w:r>
      <w:r w:rsidRPr="00477871">
        <w:rPr>
          <w:color w:val="000000" w:themeColor="text1"/>
        </w:rPr>
        <w:t>clusional</w:t>
      </w:r>
      <w:proofErr w:type="spellEnd"/>
      <w:r w:rsidRPr="00477871">
        <w:rPr>
          <w:color w:val="000000" w:themeColor="text1"/>
        </w:rPr>
        <w:t xml:space="preserve"> angle, and tooth aspect ratio </w:t>
      </w:r>
      <w:r>
        <w:rPr>
          <w:color w:val="000000" w:themeColor="text1"/>
        </w:rPr>
        <w:t xml:space="preserve">loaded </w:t>
      </w:r>
      <w:r w:rsidRPr="00477871">
        <w:rPr>
          <w:color w:val="000000" w:themeColor="text1"/>
        </w:rPr>
        <w:t xml:space="preserve">positively and anterior mechanical advantage, posterior mechanical advantage, sagittal crest height, and shearing quotient </w:t>
      </w:r>
      <w:r>
        <w:rPr>
          <w:color w:val="000000" w:themeColor="text1"/>
        </w:rPr>
        <w:t xml:space="preserve">loaded </w:t>
      </w:r>
      <w:r w:rsidRPr="00477871">
        <w:rPr>
          <w:color w:val="000000" w:themeColor="text1"/>
        </w:rPr>
        <w:t xml:space="preserve">negatively (Table 3). </w:t>
      </w:r>
    </w:p>
    <w:p w14:paraId="0471605D" w14:textId="77777777" w:rsidR="003B3309" w:rsidRDefault="003B3309" w:rsidP="003B3309">
      <w:pPr>
        <w:spacing w:line="276" w:lineRule="auto"/>
        <w:ind w:firstLine="720"/>
        <w:rPr>
          <w:color w:val="000000" w:themeColor="text1"/>
        </w:rPr>
      </w:pPr>
      <w:r w:rsidRPr="00477871">
        <w:rPr>
          <w:color w:val="000000" w:themeColor="text1"/>
        </w:rPr>
        <w:t xml:space="preserve">The species with the lowest opening mechanical advantage are in the lower left corner and include the fin feeding </w:t>
      </w:r>
      <w:r w:rsidRPr="00477871">
        <w:rPr>
          <w:i/>
          <w:iCs/>
          <w:color w:val="000000" w:themeColor="text1"/>
        </w:rPr>
        <w:t>Serrasalmus elongatus</w:t>
      </w:r>
      <w:r w:rsidRPr="00477871">
        <w:rPr>
          <w:color w:val="000000" w:themeColor="text1"/>
        </w:rPr>
        <w:t xml:space="preserve"> as well as the omnivorous </w:t>
      </w:r>
      <w:proofErr w:type="spellStart"/>
      <w:r w:rsidRPr="00477871">
        <w:rPr>
          <w:i/>
          <w:iCs/>
          <w:color w:val="000000" w:themeColor="text1"/>
        </w:rPr>
        <w:t>Pristobrycon</w:t>
      </w:r>
      <w:proofErr w:type="spellEnd"/>
      <w:r w:rsidRPr="00477871">
        <w:rPr>
          <w:i/>
          <w:iCs/>
          <w:color w:val="000000" w:themeColor="text1"/>
        </w:rPr>
        <w:t xml:space="preserve"> aureus </w:t>
      </w:r>
      <w:r w:rsidRPr="00477871">
        <w:rPr>
          <w:color w:val="000000" w:themeColor="text1"/>
        </w:rPr>
        <w:t xml:space="preserve">and </w:t>
      </w:r>
      <w:r w:rsidRPr="00477871">
        <w:rPr>
          <w:i/>
          <w:iCs/>
          <w:color w:val="000000" w:themeColor="text1"/>
        </w:rPr>
        <w:t xml:space="preserve">Serrasalmus </w:t>
      </w:r>
      <w:proofErr w:type="spellStart"/>
      <w:r w:rsidRPr="00477871">
        <w:rPr>
          <w:i/>
          <w:iCs/>
          <w:color w:val="000000" w:themeColor="text1"/>
        </w:rPr>
        <w:t>cf</w:t>
      </w:r>
      <w:proofErr w:type="spellEnd"/>
      <w:r w:rsidRPr="00477871">
        <w:rPr>
          <w:i/>
          <w:iCs/>
          <w:color w:val="000000" w:themeColor="text1"/>
        </w:rPr>
        <w:t xml:space="preserve"> </w:t>
      </w:r>
      <w:proofErr w:type="spellStart"/>
      <w:r w:rsidRPr="00477871">
        <w:rPr>
          <w:i/>
          <w:iCs/>
          <w:color w:val="000000" w:themeColor="text1"/>
        </w:rPr>
        <w:t>eigenmanni</w:t>
      </w:r>
      <w:proofErr w:type="spellEnd"/>
      <w:r w:rsidRPr="00477871">
        <w:rPr>
          <w:color w:val="000000" w:themeColor="text1"/>
        </w:rPr>
        <w:t xml:space="preserve">. These are also the species with the highest posterior mechanical advantage. The species with the highest opening mechanical advantage are in the top right corner. </w:t>
      </w:r>
      <w:proofErr w:type="spellStart"/>
      <w:r w:rsidRPr="00477871">
        <w:rPr>
          <w:i/>
          <w:iCs/>
          <w:color w:val="000000" w:themeColor="text1"/>
        </w:rPr>
        <w:t>Pygocentrus</w:t>
      </w:r>
      <w:proofErr w:type="spellEnd"/>
      <w:r w:rsidRPr="00477871">
        <w:rPr>
          <w:i/>
          <w:iCs/>
          <w:color w:val="000000" w:themeColor="text1"/>
        </w:rPr>
        <w:t xml:space="preserve"> </w:t>
      </w:r>
      <w:proofErr w:type="spellStart"/>
      <w:r w:rsidRPr="00477871">
        <w:rPr>
          <w:i/>
          <w:iCs/>
          <w:color w:val="000000" w:themeColor="text1"/>
        </w:rPr>
        <w:t>piraya</w:t>
      </w:r>
      <w:proofErr w:type="spellEnd"/>
      <w:r w:rsidRPr="00477871">
        <w:rPr>
          <w:color w:val="000000" w:themeColor="text1"/>
        </w:rPr>
        <w:t xml:space="preserve">, an ectoparasite, is one of the species with the highest opening mechanical advantage. </w:t>
      </w:r>
    </w:p>
    <w:p w14:paraId="0C8A79D3" w14:textId="17AC25E8" w:rsidR="003B3309" w:rsidRPr="00477871" w:rsidRDefault="003B3309" w:rsidP="003B3309">
      <w:pPr>
        <w:spacing w:line="276" w:lineRule="auto"/>
        <w:ind w:firstLine="720"/>
        <w:rPr>
          <w:color w:val="000000" w:themeColor="text1"/>
        </w:rPr>
      </w:pPr>
      <w:r>
        <w:rPr>
          <w:color w:val="000000" w:themeColor="text1"/>
        </w:rPr>
        <w:t>Finally, regarding morphological rates of evolution, the</w:t>
      </w:r>
      <w:r w:rsidRPr="00477871">
        <w:rPr>
          <w:color w:val="000000" w:themeColor="text1"/>
        </w:rPr>
        <w:t xml:space="preserve"> ectoparasite rate (0.734) </w:t>
      </w:r>
      <w:r>
        <w:rPr>
          <w:color w:val="000000" w:themeColor="text1"/>
        </w:rPr>
        <w:t>was</w:t>
      </w:r>
      <w:r w:rsidRPr="00477871">
        <w:rPr>
          <w:color w:val="000000" w:themeColor="text1"/>
        </w:rPr>
        <w:t xml:space="preserve"> about half </w:t>
      </w:r>
      <w:r>
        <w:rPr>
          <w:color w:val="000000" w:themeColor="text1"/>
        </w:rPr>
        <w:t>that</w:t>
      </w:r>
      <w:r w:rsidRPr="00477871">
        <w:rPr>
          <w:color w:val="000000" w:themeColor="text1"/>
        </w:rPr>
        <w:t xml:space="preserve"> of omnivores (1.263) </w:t>
      </w:r>
      <w:r>
        <w:rPr>
          <w:color w:val="000000" w:themeColor="text1"/>
        </w:rPr>
        <w:t>or</w:t>
      </w:r>
      <w:r w:rsidRPr="00477871">
        <w:rPr>
          <w:color w:val="000000" w:themeColor="text1"/>
        </w:rPr>
        <w:t xml:space="preserve"> piscivores (1.467</w:t>
      </w:r>
      <w:r w:rsidR="00E5113E" w:rsidRPr="00477871">
        <w:rPr>
          <w:color w:val="000000" w:themeColor="text1"/>
        </w:rPr>
        <w:t xml:space="preserve">) </w:t>
      </w:r>
      <w:r w:rsidR="00E5113E" w:rsidRPr="00477871" w:rsidDel="00DC21D1">
        <w:rPr>
          <w:color w:val="000000" w:themeColor="text1"/>
        </w:rPr>
        <w:t>(</w:t>
      </w:r>
      <w:r w:rsidRPr="00477871">
        <w:rPr>
          <w:color w:val="000000" w:themeColor="text1"/>
        </w:rPr>
        <w:t xml:space="preserve">Figure </w:t>
      </w:r>
      <w:r>
        <w:rPr>
          <w:color w:val="000000" w:themeColor="text1"/>
        </w:rPr>
        <w:t>8</w:t>
      </w:r>
      <w:r w:rsidRPr="00477871">
        <w:rPr>
          <w:color w:val="000000" w:themeColor="text1"/>
        </w:rPr>
        <w:t xml:space="preserve">). </w:t>
      </w:r>
    </w:p>
    <w:p w14:paraId="3770434F" w14:textId="77777777" w:rsidR="003B3309" w:rsidRDefault="003B3309" w:rsidP="003B3309">
      <w:pPr>
        <w:spacing w:line="276" w:lineRule="auto"/>
        <w:rPr>
          <w:noProof/>
        </w:rPr>
      </w:pPr>
    </w:p>
    <w:p w14:paraId="68D2F541" w14:textId="77777777" w:rsidR="003B3309" w:rsidRPr="002804AE" w:rsidRDefault="003B3309" w:rsidP="003B3309">
      <w:pPr>
        <w:spacing w:line="276" w:lineRule="auto"/>
        <w:rPr>
          <w:noProof/>
        </w:rPr>
      </w:pPr>
    </w:p>
    <w:p w14:paraId="0017AA5D" w14:textId="77777777" w:rsidR="003B3309" w:rsidRPr="002804AE" w:rsidRDefault="003B3309" w:rsidP="003B3309">
      <w:pPr>
        <w:spacing w:line="276" w:lineRule="auto"/>
        <w:rPr>
          <w:b/>
          <w:bCs/>
        </w:rPr>
      </w:pPr>
      <w:r w:rsidRPr="002804AE">
        <w:rPr>
          <w:b/>
          <w:bCs/>
        </w:rPr>
        <w:t>DISCUSSION</w:t>
      </w:r>
    </w:p>
    <w:p w14:paraId="26EF6CE8" w14:textId="77777777" w:rsidR="003B3309" w:rsidRDefault="003B3309" w:rsidP="003B3309">
      <w:pPr>
        <w:spacing w:line="276" w:lineRule="auto"/>
        <w:ind w:firstLine="360"/>
        <w:rPr>
          <w:color w:val="000000"/>
        </w:rPr>
      </w:pPr>
      <w:r>
        <w:t xml:space="preserve">Previous research found that among two distinct lineages of ectoparasitic characiforms, one of which were piranhas, there were few shared feeding traits and higher morphological diversity than expected (Kolmann et al., </w:t>
      </w:r>
      <w:r w:rsidRPr="002804AE">
        <w:t>2018</w:t>
      </w:r>
      <w:r>
        <w:t xml:space="preserve">). My research supports these previous findings, i.e. that there is considerable variation in the functional anatomy of ectoparasitic piranha skulls, and this variation does not set them apart from piscivorous or omnivorous piranhas. In fact, if you exclude </w:t>
      </w:r>
      <w:r>
        <w:rPr>
          <w:i/>
          <w:iCs/>
        </w:rPr>
        <w:t xml:space="preserve">Serrasalmus elongatus, </w:t>
      </w:r>
      <w:r>
        <w:t xml:space="preserve">there is almost a perfect overlap between the piscivores and ectoparasites. However, this study could not look at overt differences in feeding anatomy between </w:t>
      </w:r>
      <w:proofErr w:type="spellStart"/>
      <w:r w:rsidRPr="00783EC4">
        <w:rPr>
          <w:color w:val="000000"/>
        </w:rPr>
        <w:t>pterygophagous</w:t>
      </w:r>
      <w:proofErr w:type="spellEnd"/>
      <w:r w:rsidRPr="00783EC4">
        <w:rPr>
          <w:color w:val="000000"/>
        </w:rPr>
        <w:t xml:space="preserve"> </w:t>
      </w:r>
      <w:r>
        <w:rPr>
          <w:color w:val="000000"/>
        </w:rPr>
        <w:t xml:space="preserve">and </w:t>
      </w:r>
      <w:proofErr w:type="spellStart"/>
      <w:r w:rsidRPr="00783EC4">
        <w:rPr>
          <w:color w:val="000000"/>
        </w:rPr>
        <w:t>lepidophagous</w:t>
      </w:r>
      <w:proofErr w:type="spellEnd"/>
      <w:r>
        <w:rPr>
          <w:color w:val="000000"/>
        </w:rPr>
        <w:t xml:space="preserve"> piranhas due to (1) low resolution of diet data (i.e. fins and scales are frequently combined together in analyses) and (2) the relatively few either scale-feeding or fin-feeding species, if kept as separate categories. The diversity of cranial characteristics among outliers (Figure 7) like </w:t>
      </w:r>
      <w:r w:rsidRPr="008C5F8A">
        <w:rPr>
          <w:i/>
          <w:iCs/>
          <w:color w:val="000000"/>
        </w:rPr>
        <w:t xml:space="preserve">Serrasalmus elongatus, </w:t>
      </w:r>
      <w:proofErr w:type="spellStart"/>
      <w:r w:rsidRPr="008C5F8A">
        <w:rPr>
          <w:i/>
          <w:iCs/>
          <w:color w:val="000000"/>
        </w:rPr>
        <w:t>Catoprion</w:t>
      </w:r>
      <w:proofErr w:type="spellEnd"/>
      <w:r w:rsidRPr="008C5F8A">
        <w:rPr>
          <w:i/>
          <w:iCs/>
          <w:color w:val="000000"/>
        </w:rPr>
        <w:t xml:space="preserve"> mento</w:t>
      </w:r>
      <w:r>
        <w:rPr>
          <w:color w:val="000000"/>
        </w:rPr>
        <w:t xml:space="preserve">, and </w:t>
      </w:r>
      <w:proofErr w:type="spellStart"/>
      <w:r w:rsidRPr="008C5F8A">
        <w:rPr>
          <w:i/>
          <w:iCs/>
          <w:color w:val="000000"/>
        </w:rPr>
        <w:t>Pygocentrus</w:t>
      </w:r>
      <w:proofErr w:type="spellEnd"/>
      <w:r w:rsidRPr="008C5F8A">
        <w:rPr>
          <w:i/>
          <w:iCs/>
          <w:color w:val="000000"/>
        </w:rPr>
        <w:t xml:space="preserve"> </w:t>
      </w:r>
      <w:proofErr w:type="spellStart"/>
      <w:r w:rsidRPr="008C5F8A">
        <w:rPr>
          <w:i/>
          <w:iCs/>
          <w:color w:val="000000"/>
        </w:rPr>
        <w:t>piraya</w:t>
      </w:r>
      <w:proofErr w:type="spellEnd"/>
      <w:r>
        <w:rPr>
          <w:color w:val="000000"/>
        </w:rPr>
        <w:t xml:space="preserve"> for instance, might be artificially inflating the variation among ectoparasitic taxa.</w:t>
      </w:r>
    </w:p>
    <w:p w14:paraId="4A31BFD2" w14:textId="77777777" w:rsidR="003B3309" w:rsidRDefault="003B3309" w:rsidP="003B3309">
      <w:pPr>
        <w:spacing w:line="276" w:lineRule="auto"/>
        <w:rPr>
          <w:color w:val="000000"/>
        </w:rPr>
      </w:pPr>
    </w:p>
    <w:p w14:paraId="7198C3F6" w14:textId="77777777" w:rsidR="003B3309" w:rsidRPr="008C5F8A" w:rsidRDefault="003B3309" w:rsidP="003B3309">
      <w:pPr>
        <w:spacing w:line="276" w:lineRule="auto"/>
        <w:rPr>
          <w:i/>
          <w:iCs/>
          <w:color w:val="000000"/>
        </w:rPr>
      </w:pPr>
      <w:r w:rsidRPr="008C5F8A">
        <w:rPr>
          <w:i/>
          <w:iCs/>
          <w:color w:val="000000"/>
        </w:rPr>
        <w:t>The tooth of the matter: differences in dentition among piranhas</w:t>
      </w:r>
    </w:p>
    <w:p w14:paraId="0CA2AB0F" w14:textId="77777777" w:rsidR="003B3309" w:rsidRDefault="003B3309" w:rsidP="003B3309">
      <w:pPr>
        <w:spacing w:line="276" w:lineRule="auto"/>
        <w:ind w:firstLine="360"/>
      </w:pPr>
      <w:r>
        <w:t xml:space="preserve">The higher tooth aspect ratio (AR) in piscivores is indicative of the trade-offs between having teeth well suited to puncturing flesh </w:t>
      </w:r>
      <w:r w:rsidRPr="008C5F8A">
        <w:rPr>
          <w:i/>
          <w:iCs/>
        </w:rPr>
        <w:t>vs</w:t>
      </w:r>
      <w:r>
        <w:t xml:space="preserve">. the overall strength of these teeth in general. Taller teeth in piscivorous piranhas require less force in order to penetrate their prey, as tooth forces are concentrated over a smaller area (i.e. lower tooth pressures). However, taller and narrower teeth are also inherently more fragile and so there is a greater likelihood of tooth loss or breakage. A paper by Freeman and </w:t>
      </w:r>
      <w:proofErr w:type="spellStart"/>
      <w:r>
        <w:t>Lemen</w:t>
      </w:r>
      <w:proofErr w:type="spellEnd"/>
      <w:r>
        <w:t xml:space="preserve"> (2007) found that the ideal tooth aspect ratio for carnivores would be around 2.5, a ratio that is found in many wild cats. Piscivorous piranhas have tooth shapes which are much closer to this “ideal ratio” than the other diet groups, making their teeth better at </w:t>
      </w:r>
      <w:r>
        <w:lastRenderedPageBreak/>
        <w:t xml:space="preserve">both puncturing flesh, withstanding breakage, and slicing through tough materials (Lucas and Luke, 1984). </w:t>
      </w:r>
    </w:p>
    <w:p w14:paraId="57890722" w14:textId="77777777" w:rsidR="003B3309" w:rsidRDefault="003B3309" w:rsidP="003B3309">
      <w:pPr>
        <w:spacing w:line="276" w:lineRule="auto"/>
        <w:ind w:firstLine="360"/>
      </w:pPr>
      <w:r>
        <w:t xml:space="preserve">Conversely, both omnivores and ectoparasites had shorter, stouter teeth, which are more suitable for promoting primary and secondary fracture in stiffer materials as well as resisting breakage themselves (Crofts &amp; Summers, 2014; Crofts, 2015). Considering that the primary prey found in the diets of those piranhas consuming plant materials are almost ubiquitously seeds (Goulding, 1980; Prudente et al., 2016), it stands to reason that these piranhas have more robust teeth for crushing stiffer, shelled prey. It also stands to reason that some scale-feeders have squatter teeth: the </w:t>
      </w:r>
      <w:proofErr w:type="spellStart"/>
      <w:r>
        <w:t>lepidophage</w:t>
      </w:r>
      <w:proofErr w:type="spellEnd"/>
      <w:r>
        <w:t xml:space="preserve"> </w:t>
      </w:r>
      <w:proofErr w:type="spellStart"/>
      <w:r w:rsidRPr="008C5F8A">
        <w:rPr>
          <w:i/>
          <w:iCs/>
        </w:rPr>
        <w:t>Catoprion</w:t>
      </w:r>
      <w:proofErr w:type="spellEnd"/>
      <w:r>
        <w:t xml:space="preserve"> rams into the flanks of prey with its jaw entirely open, so that teeth are loaded in a compressive fashion (</w:t>
      </w:r>
      <w:proofErr w:type="spellStart"/>
      <w:r>
        <w:t>Janovetz</w:t>
      </w:r>
      <w:proofErr w:type="spellEnd"/>
      <w:r>
        <w:t xml:space="preserve">, 2005). These stouter teeth in </w:t>
      </w:r>
      <w:proofErr w:type="spellStart"/>
      <w:r>
        <w:t>lepidophages</w:t>
      </w:r>
      <w:proofErr w:type="spellEnd"/>
      <w:r>
        <w:t xml:space="preserve"> may resist spalling or fracture when impacting or leveraging scales from prey.</w:t>
      </w:r>
    </w:p>
    <w:p w14:paraId="3EE39565" w14:textId="77777777" w:rsidR="003B3309" w:rsidRDefault="003B3309" w:rsidP="003B3309">
      <w:pPr>
        <w:spacing w:line="276" w:lineRule="auto"/>
        <w:ind w:firstLine="360"/>
      </w:pPr>
      <w:r>
        <w:t>The other significant difference in feeding morphology among piranha diet guilds was the more saw-like (higher shearing quotient) nature of the dentition as a whole, which was greater for piscivores than either omnivores or ectoparasites. This means that piscivores engage prey with greater tooth surface areas than more herbivorous or ectoparasitic taxa. Importantly, this also suggests that piscivores have higher concavity between individual tooth cusps, which reduces the frictional forces generated while slicing through flesh (</w:t>
      </w:r>
      <w:r w:rsidRPr="003B4BE1">
        <w:t xml:space="preserve">Lucas </w:t>
      </w:r>
      <w:r>
        <w:t xml:space="preserve">and </w:t>
      </w:r>
      <w:r w:rsidRPr="003B4BE1">
        <w:t>Luke</w:t>
      </w:r>
      <w:r>
        <w:t xml:space="preserve">, </w:t>
      </w:r>
      <w:r w:rsidRPr="003B4BE1">
        <w:t>1984)</w:t>
      </w:r>
      <w:r>
        <w:t>. Vertebrate flesh is a tough composite structure, composed of fibrous collagen, stiff bone, and tough cartilage and tendinous sinew. Dentitions which are saw-like, and yet have more scalloped edges to tooth cusps, are more capable of both penetrating and tearing through tough flesh without binding of prey material between teeth (Moyer &amp; Bemis, 2017). Piscivorous piranhas appear to have dentitions well-suited for both puncturing and shearing through other fishes.</w:t>
      </w:r>
    </w:p>
    <w:p w14:paraId="3BE708B3" w14:textId="77777777" w:rsidR="003B3309" w:rsidRDefault="003B3309" w:rsidP="003B3309">
      <w:pPr>
        <w:spacing w:line="276" w:lineRule="auto"/>
      </w:pPr>
    </w:p>
    <w:p w14:paraId="2945A008" w14:textId="77777777" w:rsidR="003B3309" w:rsidRPr="008C5F8A" w:rsidRDefault="003B3309" w:rsidP="003B3309">
      <w:pPr>
        <w:spacing w:line="276" w:lineRule="auto"/>
        <w:rPr>
          <w:i/>
          <w:iCs/>
        </w:rPr>
      </w:pPr>
      <w:r w:rsidRPr="008C5F8A">
        <w:rPr>
          <w:i/>
          <w:iCs/>
        </w:rPr>
        <w:t xml:space="preserve">A size threshold for </w:t>
      </w:r>
      <w:r>
        <w:rPr>
          <w:i/>
          <w:iCs/>
        </w:rPr>
        <w:t>ectoparasites</w:t>
      </w:r>
      <w:r w:rsidRPr="008C5F8A">
        <w:rPr>
          <w:i/>
          <w:iCs/>
        </w:rPr>
        <w:t>?</w:t>
      </w:r>
    </w:p>
    <w:p w14:paraId="6F19270C" w14:textId="6A0BEC8D" w:rsidR="003B3309" w:rsidRDefault="003B3309" w:rsidP="003B3309">
      <w:pPr>
        <w:spacing w:line="276" w:lineRule="auto"/>
        <w:ind w:firstLine="360"/>
      </w:pPr>
      <w:r>
        <w:t xml:space="preserve">My results show that adult ectoparasites tend to be some of the smallest piranhas, indicating that they are potentially constrained with respect to maximum body size. This body size difference has been noted before, as a function of the relative size of prey to the size of their predators. </w:t>
      </w:r>
      <w:proofErr w:type="spellStart"/>
      <w:r>
        <w:t>Sazima</w:t>
      </w:r>
      <w:proofErr w:type="spellEnd"/>
      <w:r>
        <w:t xml:space="preserve"> (1983) observed that most juvenile piranhas stop eating scales as they transition to adults, possibly because they literally outgrow their initial prey resources (</w:t>
      </w:r>
      <w:proofErr w:type="spellStart"/>
      <w:r>
        <w:t>Sazima</w:t>
      </w:r>
      <w:proofErr w:type="spellEnd"/>
      <w:r>
        <w:t xml:space="preserve">, 1983). In a study on the gut contents of several species of piranha by Nico and </w:t>
      </w:r>
      <w:proofErr w:type="spellStart"/>
      <w:r>
        <w:t>Taphorn</w:t>
      </w:r>
      <w:proofErr w:type="spellEnd"/>
      <w:r>
        <w:t xml:space="preserve"> (1988), it was found that the largest </w:t>
      </w:r>
      <w:r w:rsidRPr="000261AF">
        <w:rPr>
          <w:i/>
          <w:iCs/>
        </w:rPr>
        <w:t>Serrasalmus elongatus</w:t>
      </w:r>
      <w:r>
        <w:t xml:space="preserve"> individuals caught were eating </w:t>
      </w:r>
      <w:r w:rsidRPr="000261AF">
        <w:t>small whole fish and chunks of fish flesh</w:t>
      </w:r>
      <w:r>
        <w:t>, in addition to their usual diet of fish fins. This could be because at a certain point the predatory fish is (a) no longer able to sustain itself on an ectoparasitic diet</w:t>
      </w:r>
      <w:r w:rsidR="00E7459F">
        <w:t xml:space="preserve"> or </w:t>
      </w:r>
      <w:r>
        <w:t>(b) unable to avoid consuming the flesh of the prey</w:t>
      </w:r>
      <w:r w:rsidR="00E7459F">
        <w:t xml:space="preserve"> either because of</w:t>
      </w:r>
      <w:r>
        <w:t xml:space="preserve"> the teeth </w:t>
      </w:r>
      <w:r w:rsidR="00E7459F">
        <w:t xml:space="preserve">or of the jaw becoming </w:t>
      </w:r>
      <w:proofErr w:type="spellStart"/>
      <w:r w:rsidR="00E7459F">
        <w:t>to</w:t>
      </w:r>
      <w:proofErr w:type="spellEnd"/>
      <w:r w:rsidR="00E7459F">
        <w:t xml:space="preserve"> large to grab the scales or fins without also </w:t>
      </w:r>
      <w:r w:rsidR="00D42200">
        <w:t xml:space="preserve">removing the flesh of the prey. </w:t>
      </w:r>
    </w:p>
    <w:p w14:paraId="32FBF6E3" w14:textId="77777777" w:rsidR="003B3309" w:rsidRDefault="003B3309" w:rsidP="003B3309">
      <w:pPr>
        <w:spacing w:line="276" w:lineRule="auto"/>
        <w:ind w:firstLine="360"/>
      </w:pPr>
      <w:r>
        <w:t xml:space="preserve">The slow rate of morphological evolution in ectoparasites also suggests that they are likely under strong constraints, but the reasons for this are currently not understood. Similarly, slow rates of morphological evolution have been documented before in piscivorous centrarchid fishes (Collar et al., 2009), with </w:t>
      </w:r>
      <w:proofErr w:type="spellStart"/>
      <w:r>
        <w:t>piscivory</w:t>
      </w:r>
      <w:proofErr w:type="spellEnd"/>
      <w:r>
        <w:t xml:space="preserve"> interpreted as an evolutionary dead-end for some taxa. Conversely, the higher rates of evolution in larger-bodied piranhas like </w:t>
      </w:r>
      <w:proofErr w:type="spellStart"/>
      <w:r w:rsidRPr="008C5F8A">
        <w:rPr>
          <w:i/>
          <w:iCs/>
        </w:rPr>
        <w:t>Pygocentrus</w:t>
      </w:r>
      <w:proofErr w:type="spellEnd"/>
      <w:r>
        <w:t xml:space="preserve"> and </w:t>
      </w:r>
      <w:r w:rsidRPr="008C5F8A">
        <w:rPr>
          <w:i/>
          <w:iCs/>
        </w:rPr>
        <w:lastRenderedPageBreak/>
        <w:t>Serrasalmus</w:t>
      </w:r>
      <w:r>
        <w:t xml:space="preserve"> do not seem to suggest constraints are acting on the evolution of these biting piscivores (centrarchids are suction feeders). While certainly limited to taking bite-sized chunks out of prey, piranhas are able to capture and process prey both smaller and much larger than themselves, an insurmountable obstacle for gape-limited suction-feeding or ram-feeding piscivores like basses or sunfish. However, it appears that in this case, those fish predators that feed on part of prey (fins, scales) are more constrained phenotypically than their </w:t>
      </w:r>
      <w:proofErr w:type="spellStart"/>
      <w:r>
        <w:t>hypercarnivorous</w:t>
      </w:r>
      <w:proofErr w:type="spellEnd"/>
      <w:r>
        <w:t xml:space="preserve"> cousins.</w:t>
      </w:r>
    </w:p>
    <w:p w14:paraId="073B424D" w14:textId="77777777" w:rsidR="003B3309" w:rsidRDefault="003B3309" w:rsidP="003B3309">
      <w:pPr>
        <w:spacing w:line="276" w:lineRule="auto"/>
        <w:rPr>
          <w:b/>
          <w:bCs/>
        </w:rPr>
      </w:pPr>
    </w:p>
    <w:p w14:paraId="076B43AA" w14:textId="77777777" w:rsidR="003B3309" w:rsidRDefault="003B3309" w:rsidP="003B3309">
      <w:pPr>
        <w:spacing w:line="276" w:lineRule="auto"/>
        <w:rPr>
          <w:b/>
          <w:bCs/>
        </w:rPr>
      </w:pPr>
    </w:p>
    <w:p w14:paraId="390F935F" w14:textId="77777777" w:rsidR="003B3309" w:rsidRPr="00077A24" w:rsidRDefault="003B3309" w:rsidP="003B3309">
      <w:pPr>
        <w:spacing w:line="276" w:lineRule="auto"/>
        <w:rPr>
          <w:b/>
          <w:bCs/>
        </w:rPr>
      </w:pPr>
      <w:r w:rsidRPr="00077A24">
        <w:rPr>
          <w:b/>
          <w:bCs/>
        </w:rPr>
        <w:t xml:space="preserve">AKNOWLEDGEMENTS </w:t>
      </w:r>
    </w:p>
    <w:p w14:paraId="25956959" w14:textId="77777777" w:rsidR="003B3309" w:rsidRDefault="003B3309" w:rsidP="003B3309">
      <w:pPr>
        <w:spacing w:line="276" w:lineRule="auto"/>
      </w:pPr>
      <w:r>
        <w:t xml:space="preserve">We thank the following people for their support: </w:t>
      </w:r>
      <w:r w:rsidRPr="00077A24">
        <w:t xml:space="preserve">M Dethier, </w:t>
      </w:r>
      <w:proofErr w:type="gramStart"/>
      <w:r w:rsidRPr="00077A24">
        <w:t>A</w:t>
      </w:r>
      <w:proofErr w:type="gramEnd"/>
      <w:r w:rsidRPr="00077A24">
        <w:t xml:space="preserve"> Ames for organizing spring research at FHL</w:t>
      </w:r>
      <w:r>
        <w:t xml:space="preserve">. </w:t>
      </w:r>
      <w:r w:rsidRPr="00077A24">
        <w:t xml:space="preserve">A Summers, K Cohen, J </w:t>
      </w:r>
      <w:proofErr w:type="spellStart"/>
      <w:r w:rsidRPr="00077A24">
        <w:t>Huie</w:t>
      </w:r>
      <w:proofErr w:type="spellEnd"/>
      <w:r w:rsidRPr="00077A24">
        <w:t xml:space="preserve">, M </w:t>
      </w:r>
      <w:proofErr w:type="spellStart"/>
      <w:r w:rsidRPr="00077A24">
        <w:t>Gerringer</w:t>
      </w:r>
      <w:proofErr w:type="spellEnd"/>
      <w:r w:rsidRPr="00077A24">
        <w:t xml:space="preserve"> (UW-FHL) for CT scanning help</w:t>
      </w:r>
      <w:r>
        <w:t>. We also thank the following museum staff for their aid in specimen curation</w:t>
      </w:r>
      <w:r w:rsidRPr="00077A24">
        <w:t xml:space="preserve">: M </w:t>
      </w:r>
      <w:proofErr w:type="spellStart"/>
      <w:r w:rsidRPr="00077A24">
        <w:t>Sabaj</w:t>
      </w:r>
      <w:proofErr w:type="spellEnd"/>
      <w:r w:rsidRPr="00077A24">
        <w:t xml:space="preserve">, M Arce (ANSP); J Armbruster, D </w:t>
      </w:r>
      <w:proofErr w:type="spellStart"/>
      <w:r w:rsidRPr="00077A24">
        <w:t>Werneke</w:t>
      </w:r>
      <w:proofErr w:type="spellEnd"/>
      <w:r w:rsidRPr="00077A24">
        <w:t xml:space="preserve">, M Hayes (AUM); C McMahan (FMNH); D Catania (CAS); M Burridge, M </w:t>
      </w:r>
      <w:proofErr w:type="spellStart"/>
      <w:r w:rsidRPr="00077A24">
        <w:t>Zur</w:t>
      </w:r>
      <w:proofErr w:type="spellEnd"/>
      <w:r w:rsidRPr="00077A24">
        <w:t xml:space="preserve">, E Holm, D Stacey (ROM); H Lopez-Fernandez, K Alofs, R Singer, R </w:t>
      </w:r>
      <w:proofErr w:type="spellStart"/>
      <w:r w:rsidRPr="00077A24">
        <w:t>Nagesan</w:t>
      </w:r>
      <w:proofErr w:type="spellEnd"/>
      <w:r w:rsidRPr="00077A24">
        <w:t xml:space="preserve"> (UMMZ).</w:t>
      </w:r>
      <w:r>
        <w:t xml:space="preserve"> </w:t>
      </w:r>
      <w:r w:rsidRPr="00077A24">
        <w:t xml:space="preserve">J Egan (WMU), T </w:t>
      </w:r>
      <w:proofErr w:type="spellStart"/>
      <w:r w:rsidRPr="00077A24">
        <w:t>Buser</w:t>
      </w:r>
      <w:proofErr w:type="spellEnd"/>
      <w:r w:rsidRPr="00077A24">
        <w:t xml:space="preserve"> (OSU)</w:t>
      </w:r>
      <w:r>
        <w:t xml:space="preserve"> assisted with statistical advice. </w:t>
      </w:r>
      <w:r w:rsidRPr="00077A24">
        <w:t xml:space="preserve">R Peterson, L Hughes, G </w:t>
      </w:r>
      <w:proofErr w:type="spellStart"/>
      <w:r w:rsidRPr="00077A24">
        <w:t>Orti</w:t>
      </w:r>
      <w:proofErr w:type="spellEnd"/>
      <w:r w:rsidRPr="00077A24">
        <w:t>, P Hernandez (GWU)</w:t>
      </w:r>
      <w:r>
        <w:t xml:space="preserve"> assisted with phylogenetic analyses. Finally, LM thanks</w:t>
      </w:r>
      <w:r w:rsidRPr="00077A24">
        <w:t xml:space="preserve"> M Kolmann for his mentorship and for running the project</w:t>
      </w:r>
      <w:r>
        <w:t>. This project was supported b</w:t>
      </w:r>
      <w:r w:rsidRPr="00077A24">
        <w:t xml:space="preserve">y NSF </w:t>
      </w:r>
      <w:proofErr w:type="spellStart"/>
      <w:r>
        <w:t>Post Doctoral</w:t>
      </w:r>
      <w:proofErr w:type="spellEnd"/>
      <w:r>
        <w:t xml:space="preserve"> Research Fellowship in Biology (PRFB) </w:t>
      </w:r>
      <w:r w:rsidRPr="00077A24">
        <w:t xml:space="preserve">1712015 to </w:t>
      </w:r>
      <w:r>
        <w:t xml:space="preserve">Dr. </w:t>
      </w:r>
      <w:r w:rsidRPr="00077A24">
        <w:t>M</w:t>
      </w:r>
      <w:r>
        <w:t xml:space="preserve">atthew </w:t>
      </w:r>
      <w:r w:rsidRPr="00077A24">
        <w:t>K</w:t>
      </w:r>
      <w:r>
        <w:t>olmann</w:t>
      </w:r>
    </w:p>
    <w:p w14:paraId="6FF739E5" w14:textId="77777777" w:rsidR="003B3309" w:rsidRDefault="003B3309" w:rsidP="003B3309">
      <w:pPr>
        <w:spacing w:line="276" w:lineRule="auto"/>
      </w:pPr>
    </w:p>
    <w:p w14:paraId="7A74F9BA" w14:textId="77777777" w:rsidR="003B3309" w:rsidRPr="002804AE" w:rsidRDefault="003B3309" w:rsidP="003B3309">
      <w:pPr>
        <w:spacing w:line="276" w:lineRule="auto"/>
      </w:pPr>
    </w:p>
    <w:p w14:paraId="749D585E" w14:textId="77777777" w:rsidR="003B3309" w:rsidRPr="0032652D" w:rsidRDefault="003B3309" w:rsidP="003B3309">
      <w:pPr>
        <w:spacing w:line="276" w:lineRule="auto"/>
        <w:rPr>
          <w:b/>
          <w:bCs/>
        </w:rPr>
      </w:pPr>
      <w:r w:rsidRPr="0032652D">
        <w:rPr>
          <w:b/>
          <w:bCs/>
        </w:rPr>
        <w:t>Figures and Tables</w:t>
      </w:r>
    </w:p>
    <w:p w14:paraId="5353FB78" w14:textId="77777777" w:rsidR="003B3309" w:rsidRPr="002804AE" w:rsidRDefault="003B3309" w:rsidP="003B3309">
      <w:pPr>
        <w:spacing w:line="276" w:lineRule="auto"/>
      </w:pPr>
    </w:p>
    <w:p w14:paraId="57E30508" w14:textId="77777777" w:rsidR="003B3309" w:rsidRPr="002804AE" w:rsidRDefault="003B3309" w:rsidP="003B3309">
      <w:pPr>
        <w:spacing w:line="276" w:lineRule="auto"/>
      </w:pPr>
      <w:r w:rsidRPr="002804AE">
        <w:t>Table 1</w:t>
      </w:r>
      <w:r>
        <w:t xml:space="preserve">. List of the specimens used in this study and their associated catalogue number and diet. </w:t>
      </w:r>
    </w:p>
    <w:tbl>
      <w:tblPr>
        <w:tblW w:w="8092" w:type="dxa"/>
        <w:tblCellMar>
          <w:left w:w="0" w:type="dxa"/>
          <w:right w:w="0" w:type="dxa"/>
        </w:tblCellMar>
        <w:tblLook w:val="04A0" w:firstRow="1" w:lastRow="0" w:firstColumn="1" w:lastColumn="0" w:noHBand="0" w:noVBand="1"/>
      </w:tblPr>
      <w:tblGrid>
        <w:gridCol w:w="3174"/>
        <w:gridCol w:w="2179"/>
        <w:gridCol w:w="2739"/>
      </w:tblGrid>
      <w:tr w:rsidR="00537648" w:rsidRPr="00537648" w14:paraId="0730CC06"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7C5514F5" w14:textId="77777777" w:rsidR="00537648" w:rsidRPr="00215FD1" w:rsidRDefault="00537648" w:rsidP="00537648">
            <w:pPr>
              <w:spacing w:line="276" w:lineRule="auto"/>
              <w:jc w:val="center"/>
              <w:rPr>
                <w:b/>
                <w:bCs/>
                <w:i/>
                <w:iCs/>
                <w:color w:val="000000"/>
                <w:sz w:val="20"/>
                <w:szCs w:val="20"/>
              </w:rPr>
            </w:pPr>
            <w:r w:rsidRPr="00215FD1">
              <w:rPr>
                <w:b/>
                <w:bCs/>
                <w:i/>
                <w:iCs/>
                <w:color w:val="000000"/>
                <w:sz w:val="20"/>
                <w:szCs w:val="20"/>
              </w:rPr>
              <w:t>Name</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6711EDA4" w14:textId="77777777" w:rsidR="00537648" w:rsidRPr="00215FD1" w:rsidRDefault="00537648" w:rsidP="00537648">
            <w:pPr>
              <w:spacing w:line="276" w:lineRule="auto"/>
              <w:jc w:val="center"/>
              <w:rPr>
                <w:b/>
                <w:bCs/>
                <w:color w:val="000000"/>
                <w:sz w:val="20"/>
                <w:szCs w:val="20"/>
              </w:rPr>
            </w:pPr>
            <w:r w:rsidRPr="00215FD1">
              <w:rPr>
                <w:b/>
                <w:bCs/>
                <w:color w:val="000000"/>
                <w:sz w:val="20"/>
                <w:szCs w:val="20"/>
              </w:rPr>
              <w:t>Specimen ID</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35D6A97C" w14:textId="77777777" w:rsidR="00537648" w:rsidRPr="00215FD1" w:rsidRDefault="00537648" w:rsidP="00537648">
            <w:pPr>
              <w:spacing w:line="276" w:lineRule="auto"/>
              <w:jc w:val="center"/>
              <w:rPr>
                <w:b/>
                <w:bCs/>
                <w:color w:val="000000"/>
                <w:sz w:val="20"/>
                <w:szCs w:val="20"/>
              </w:rPr>
            </w:pPr>
            <w:r w:rsidRPr="00215FD1">
              <w:rPr>
                <w:b/>
                <w:bCs/>
                <w:color w:val="000000"/>
                <w:sz w:val="20"/>
                <w:szCs w:val="20"/>
              </w:rPr>
              <w:t>Diet</w:t>
            </w:r>
          </w:p>
        </w:tc>
      </w:tr>
      <w:tr w:rsidR="00537648" w:rsidRPr="00537648" w14:paraId="22594A48"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760FAAB7"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Catoprion</w:t>
            </w:r>
            <w:proofErr w:type="spellEnd"/>
            <w:r w:rsidRPr="00537648">
              <w:rPr>
                <w:i/>
                <w:iCs/>
                <w:color w:val="000000"/>
                <w:sz w:val="20"/>
                <w:szCs w:val="20"/>
              </w:rPr>
              <w:t xml:space="preserve"> mento</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52151295" w14:textId="77777777" w:rsidR="00537648" w:rsidRPr="00537648" w:rsidRDefault="00537648" w:rsidP="00537648">
            <w:pPr>
              <w:spacing w:line="276" w:lineRule="auto"/>
              <w:jc w:val="center"/>
              <w:rPr>
                <w:color w:val="000000"/>
                <w:sz w:val="20"/>
                <w:szCs w:val="20"/>
              </w:rPr>
            </w:pPr>
            <w:r w:rsidRPr="00537648">
              <w:rPr>
                <w:color w:val="000000"/>
                <w:sz w:val="20"/>
                <w:szCs w:val="20"/>
              </w:rPr>
              <w:t>ROM 85951</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0D76D1BF"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4F584D6A"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568360FB"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Pristobrycon</w:t>
            </w:r>
            <w:proofErr w:type="spellEnd"/>
            <w:r w:rsidRPr="00537648">
              <w:rPr>
                <w:i/>
                <w:iCs/>
                <w:color w:val="000000"/>
                <w:sz w:val="20"/>
                <w:szCs w:val="20"/>
              </w:rPr>
              <w:t xml:space="preserve"> aureus</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092C5933" w14:textId="77777777" w:rsidR="00537648" w:rsidRPr="00537648" w:rsidRDefault="00537648" w:rsidP="00537648">
            <w:pPr>
              <w:spacing w:line="276" w:lineRule="auto"/>
              <w:jc w:val="center"/>
              <w:rPr>
                <w:color w:val="000000"/>
                <w:sz w:val="20"/>
                <w:szCs w:val="20"/>
              </w:rPr>
            </w:pPr>
            <w:r w:rsidRPr="00537648">
              <w:rPr>
                <w:color w:val="000000"/>
                <w:sz w:val="20"/>
                <w:szCs w:val="20"/>
              </w:rPr>
              <w:t>UMMZ 250945</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0566AF1B"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07542C51"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099EB49A"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Pristobrycon</w:t>
            </w:r>
            <w:proofErr w:type="spellEnd"/>
            <w:r w:rsidRPr="00537648">
              <w:rPr>
                <w:i/>
                <w:iCs/>
                <w:color w:val="000000"/>
                <w:sz w:val="20"/>
                <w:szCs w:val="20"/>
              </w:rPr>
              <w:t xml:space="preserve"> </w:t>
            </w:r>
            <w:proofErr w:type="spellStart"/>
            <w:r w:rsidRPr="00537648">
              <w:rPr>
                <w:i/>
                <w:iCs/>
                <w:color w:val="000000"/>
                <w:sz w:val="20"/>
                <w:szCs w:val="20"/>
              </w:rPr>
              <w:t>maculipinnis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28832A4D" w14:textId="77777777" w:rsidR="00537648" w:rsidRPr="00537648" w:rsidRDefault="00537648" w:rsidP="00537648">
            <w:pPr>
              <w:spacing w:line="276" w:lineRule="auto"/>
              <w:jc w:val="center"/>
              <w:rPr>
                <w:color w:val="000000"/>
                <w:sz w:val="20"/>
                <w:szCs w:val="20"/>
              </w:rPr>
            </w:pPr>
            <w:r w:rsidRPr="00537648">
              <w:rPr>
                <w:color w:val="000000"/>
                <w:sz w:val="20"/>
                <w:szCs w:val="20"/>
              </w:rPr>
              <w:t>UMMZ 219203</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4AFA81D9"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1CCEC37A"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4334C1AB"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Pristobrycon</w:t>
            </w:r>
            <w:proofErr w:type="spellEnd"/>
            <w:r w:rsidRPr="00537648">
              <w:rPr>
                <w:i/>
                <w:iCs/>
                <w:color w:val="000000"/>
                <w:sz w:val="20"/>
                <w:szCs w:val="20"/>
              </w:rPr>
              <w:t xml:space="preserve"> </w:t>
            </w:r>
            <w:proofErr w:type="spellStart"/>
            <w:r w:rsidRPr="00537648">
              <w:rPr>
                <w:i/>
                <w:iCs/>
                <w:color w:val="000000"/>
                <w:sz w:val="20"/>
                <w:szCs w:val="20"/>
              </w:rPr>
              <w:t>striolatus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59F69755" w14:textId="77777777" w:rsidR="00537648" w:rsidRPr="00537648" w:rsidRDefault="00537648" w:rsidP="00537648">
            <w:pPr>
              <w:spacing w:line="276" w:lineRule="auto"/>
              <w:jc w:val="center"/>
              <w:rPr>
                <w:color w:val="000000"/>
                <w:sz w:val="20"/>
                <w:szCs w:val="20"/>
              </w:rPr>
            </w:pPr>
            <w:r w:rsidRPr="00537648">
              <w:rPr>
                <w:color w:val="000000"/>
                <w:sz w:val="20"/>
                <w:szCs w:val="20"/>
              </w:rPr>
              <w:t>ANSP 166906</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64188C64"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2CC5670B"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432DEF6B"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Pristobrycon</w:t>
            </w:r>
            <w:proofErr w:type="spellEnd"/>
            <w:r w:rsidRPr="00537648">
              <w:rPr>
                <w:i/>
                <w:iCs/>
                <w:color w:val="000000"/>
                <w:sz w:val="20"/>
                <w:szCs w:val="20"/>
              </w:rPr>
              <w:t xml:space="preserve"> </w:t>
            </w:r>
            <w:proofErr w:type="spellStart"/>
            <w:r w:rsidRPr="00537648">
              <w:rPr>
                <w:i/>
                <w:iCs/>
                <w:color w:val="000000"/>
                <w:sz w:val="20"/>
                <w:szCs w:val="20"/>
              </w:rPr>
              <w:t>striolatus</w:t>
            </w:r>
            <w:proofErr w:type="spellEnd"/>
            <w:r w:rsidRPr="00537648">
              <w:rPr>
                <w:i/>
                <w:iCs/>
                <w:color w:val="000000"/>
                <w:sz w:val="20"/>
                <w:szCs w:val="20"/>
              </w:rPr>
              <w:t> </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5446BC61" w14:textId="77777777" w:rsidR="00537648" w:rsidRPr="00537648" w:rsidRDefault="00537648" w:rsidP="00537648">
            <w:pPr>
              <w:spacing w:line="276" w:lineRule="auto"/>
              <w:jc w:val="center"/>
              <w:rPr>
                <w:color w:val="000000"/>
                <w:sz w:val="20"/>
                <w:szCs w:val="20"/>
              </w:rPr>
            </w:pPr>
            <w:r w:rsidRPr="00537648">
              <w:rPr>
                <w:color w:val="000000"/>
                <w:sz w:val="20"/>
                <w:szCs w:val="20"/>
              </w:rPr>
              <w:t>ANSP 188672</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38B5AD48"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142374C5"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2C0EDA34"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Pygocentrus</w:t>
            </w:r>
            <w:proofErr w:type="spellEnd"/>
            <w:r w:rsidRPr="00537648">
              <w:rPr>
                <w:i/>
                <w:iCs/>
                <w:color w:val="000000"/>
                <w:sz w:val="20"/>
                <w:szCs w:val="20"/>
              </w:rPr>
              <w:t xml:space="preserve"> </w:t>
            </w:r>
            <w:proofErr w:type="spellStart"/>
            <w:r w:rsidRPr="00537648">
              <w:rPr>
                <w:i/>
                <w:iCs/>
                <w:color w:val="000000"/>
                <w:sz w:val="20"/>
                <w:szCs w:val="20"/>
              </w:rPr>
              <w:t>cariba</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50D5C220" w14:textId="77777777" w:rsidR="00537648" w:rsidRPr="00537648" w:rsidRDefault="00537648" w:rsidP="00537648">
            <w:pPr>
              <w:spacing w:line="276" w:lineRule="auto"/>
              <w:jc w:val="center"/>
              <w:rPr>
                <w:color w:val="000000"/>
                <w:sz w:val="20"/>
                <w:szCs w:val="20"/>
              </w:rPr>
            </w:pPr>
            <w:r w:rsidRPr="00537648">
              <w:rPr>
                <w:color w:val="000000"/>
                <w:sz w:val="20"/>
                <w:szCs w:val="20"/>
              </w:rPr>
              <w:t>FMNH 10365</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3385192C"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2B098608"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2F435D7E"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Pygocentrus</w:t>
            </w:r>
            <w:proofErr w:type="spellEnd"/>
            <w:r w:rsidRPr="00537648">
              <w:rPr>
                <w:i/>
                <w:iCs/>
                <w:color w:val="000000"/>
                <w:sz w:val="20"/>
                <w:szCs w:val="20"/>
              </w:rPr>
              <w:t xml:space="preserve"> </w:t>
            </w:r>
            <w:proofErr w:type="spellStart"/>
            <w:r w:rsidRPr="00537648">
              <w:rPr>
                <w:i/>
                <w:iCs/>
                <w:color w:val="000000"/>
                <w:sz w:val="20"/>
                <w:szCs w:val="20"/>
              </w:rPr>
              <w:t>cariba</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46667FE4" w14:textId="77777777" w:rsidR="00537648" w:rsidRPr="00537648" w:rsidRDefault="00537648" w:rsidP="00537648">
            <w:pPr>
              <w:spacing w:line="276" w:lineRule="auto"/>
              <w:jc w:val="center"/>
              <w:rPr>
                <w:color w:val="000000"/>
                <w:sz w:val="20"/>
                <w:szCs w:val="20"/>
              </w:rPr>
            </w:pPr>
            <w:r w:rsidRPr="00537648">
              <w:rPr>
                <w:color w:val="000000"/>
                <w:sz w:val="20"/>
                <w:szCs w:val="20"/>
              </w:rPr>
              <w:t>ANSP 198959 bar</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654534DA"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0F0B41DA"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2767BDE5"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Pygocentrus</w:t>
            </w:r>
            <w:proofErr w:type="spellEnd"/>
            <w:r w:rsidRPr="00537648">
              <w:rPr>
                <w:i/>
                <w:iCs/>
                <w:color w:val="000000"/>
                <w:sz w:val="20"/>
                <w:szCs w:val="20"/>
              </w:rPr>
              <w:t xml:space="preserve"> </w:t>
            </w:r>
            <w:proofErr w:type="spellStart"/>
            <w:r w:rsidRPr="00537648">
              <w:rPr>
                <w:i/>
                <w:iCs/>
                <w:color w:val="000000"/>
                <w:sz w:val="20"/>
                <w:szCs w:val="20"/>
              </w:rPr>
              <w:t>cariba</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51ECBDA0" w14:textId="77777777" w:rsidR="00537648" w:rsidRPr="00537648" w:rsidRDefault="00537648" w:rsidP="00537648">
            <w:pPr>
              <w:spacing w:line="276" w:lineRule="auto"/>
              <w:jc w:val="center"/>
              <w:rPr>
                <w:color w:val="000000"/>
                <w:sz w:val="20"/>
                <w:szCs w:val="20"/>
              </w:rPr>
            </w:pPr>
            <w:r w:rsidRPr="00537648">
              <w:rPr>
                <w:color w:val="000000"/>
                <w:sz w:val="20"/>
                <w:szCs w:val="20"/>
              </w:rPr>
              <w:t>ANSP 198959 D</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02338F40"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1D96CB48"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3DE9F322"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Pygocentrus</w:t>
            </w:r>
            <w:proofErr w:type="spellEnd"/>
            <w:r w:rsidRPr="00537648">
              <w:rPr>
                <w:i/>
                <w:iCs/>
                <w:color w:val="000000"/>
                <w:sz w:val="20"/>
                <w:szCs w:val="20"/>
              </w:rPr>
              <w:t xml:space="preserve"> nattereri</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53212CE7" w14:textId="77777777" w:rsidR="00537648" w:rsidRPr="00537648" w:rsidRDefault="00537648" w:rsidP="00537648">
            <w:pPr>
              <w:spacing w:line="276" w:lineRule="auto"/>
              <w:jc w:val="center"/>
              <w:rPr>
                <w:color w:val="000000"/>
                <w:sz w:val="20"/>
                <w:szCs w:val="20"/>
              </w:rPr>
            </w:pPr>
            <w:r w:rsidRPr="00537648">
              <w:rPr>
                <w:color w:val="000000"/>
                <w:sz w:val="20"/>
                <w:szCs w:val="20"/>
              </w:rPr>
              <w:t>ROM 85941N</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3AC473AF"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31B354DA"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3D01404E"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Pygocentrus</w:t>
            </w:r>
            <w:proofErr w:type="spellEnd"/>
            <w:r w:rsidRPr="00537648">
              <w:rPr>
                <w:i/>
                <w:iCs/>
                <w:color w:val="000000"/>
                <w:sz w:val="20"/>
                <w:szCs w:val="20"/>
              </w:rPr>
              <w:t xml:space="preserve"> nattereri</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740CBE2F" w14:textId="77777777" w:rsidR="00537648" w:rsidRPr="00537648" w:rsidRDefault="00537648" w:rsidP="00537648">
            <w:pPr>
              <w:spacing w:line="276" w:lineRule="auto"/>
              <w:jc w:val="center"/>
              <w:rPr>
                <w:color w:val="000000"/>
                <w:sz w:val="20"/>
                <w:szCs w:val="20"/>
              </w:rPr>
            </w:pPr>
            <w:r w:rsidRPr="00537648">
              <w:rPr>
                <w:color w:val="000000"/>
                <w:sz w:val="20"/>
                <w:szCs w:val="20"/>
              </w:rPr>
              <w:t>ROM 85941X</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27E906B7"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6B01ECAA"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47CAF5C7"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Pygocentrus</w:t>
            </w:r>
            <w:proofErr w:type="spellEnd"/>
            <w:r w:rsidRPr="00537648">
              <w:rPr>
                <w:i/>
                <w:iCs/>
                <w:color w:val="000000"/>
                <w:sz w:val="20"/>
                <w:szCs w:val="20"/>
              </w:rPr>
              <w:t xml:space="preserve"> nattereri</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5043B12D" w14:textId="77777777" w:rsidR="00537648" w:rsidRPr="00537648" w:rsidRDefault="00537648" w:rsidP="00537648">
            <w:pPr>
              <w:spacing w:line="276" w:lineRule="auto"/>
              <w:jc w:val="center"/>
              <w:rPr>
                <w:color w:val="000000"/>
                <w:sz w:val="20"/>
                <w:szCs w:val="20"/>
              </w:rPr>
            </w:pPr>
            <w:r w:rsidRPr="00537648">
              <w:rPr>
                <w:color w:val="000000"/>
                <w:sz w:val="20"/>
                <w:szCs w:val="20"/>
              </w:rPr>
              <w:t>ROM 85941Y</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4FF0FC0A"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5CB1ECB0"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43E11837"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t>Pygocentrus</w:t>
            </w:r>
            <w:proofErr w:type="spellEnd"/>
            <w:r w:rsidRPr="00537648">
              <w:rPr>
                <w:i/>
                <w:iCs/>
                <w:color w:val="000000"/>
                <w:sz w:val="20"/>
                <w:szCs w:val="20"/>
              </w:rPr>
              <w:t xml:space="preserve"> </w:t>
            </w:r>
            <w:proofErr w:type="spellStart"/>
            <w:r w:rsidRPr="00537648">
              <w:rPr>
                <w:i/>
                <w:iCs/>
                <w:color w:val="000000"/>
                <w:sz w:val="20"/>
                <w:szCs w:val="20"/>
              </w:rPr>
              <w:t>piraya</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2D6AC388" w14:textId="77777777" w:rsidR="00537648" w:rsidRPr="00537648" w:rsidRDefault="00537648" w:rsidP="00537648">
            <w:pPr>
              <w:spacing w:line="276" w:lineRule="auto"/>
              <w:jc w:val="center"/>
              <w:rPr>
                <w:color w:val="000000"/>
                <w:sz w:val="20"/>
                <w:szCs w:val="20"/>
              </w:rPr>
            </w:pPr>
            <w:r w:rsidRPr="00537648">
              <w:rPr>
                <w:color w:val="000000"/>
                <w:sz w:val="20"/>
                <w:szCs w:val="20"/>
              </w:rPr>
              <w:t>ROM 67437</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73DC122B"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5E372AA0"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30D1F986" w14:textId="77777777" w:rsidR="00537648" w:rsidRPr="00537648" w:rsidRDefault="00537648" w:rsidP="00537648">
            <w:pPr>
              <w:spacing w:line="276" w:lineRule="auto"/>
              <w:jc w:val="center"/>
              <w:rPr>
                <w:i/>
                <w:iCs/>
                <w:color w:val="000000"/>
                <w:sz w:val="20"/>
                <w:szCs w:val="20"/>
              </w:rPr>
            </w:pPr>
            <w:proofErr w:type="spellStart"/>
            <w:r w:rsidRPr="00537648">
              <w:rPr>
                <w:i/>
                <w:iCs/>
                <w:color w:val="000000"/>
                <w:sz w:val="20"/>
                <w:szCs w:val="20"/>
              </w:rPr>
              <w:lastRenderedPageBreak/>
              <w:t>Pygopristis</w:t>
            </w:r>
            <w:proofErr w:type="spellEnd"/>
            <w:r w:rsidRPr="00537648">
              <w:rPr>
                <w:i/>
                <w:iCs/>
                <w:color w:val="000000"/>
                <w:sz w:val="20"/>
                <w:szCs w:val="20"/>
              </w:rPr>
              <w:t xml:space="preserve"> </w:t>
            </w:r>
            <w:proofErr w:type="spellStart"/>
            <w:r w:rsidRPr="00537648">
              <w:rPr>
                <w:i/>
                <w:iCs/>
                <w:color w:val="000000"/>
                <w:sz w:val="20"/>
                <w:szCs w:val="20"/>
              </w:rPr>
              <w:t>denticulata</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025E5E81" w14:textId="77777777" w:rsidR="00537648" w:rsidRPr="00537648" w:rsidRDefault="00537648" w:rsidP="00537648">
            <w:pPr>
              <w:spacing w:line="276" w:lineRule="auto"/>
              <w:jc w:val="center"/>
              <w:rPr>
                <w:color w:val="000000"/>
                <w:sz w:val="20"/>
                <w:szCs w:val="20"/>
              </w:rPr>
            </w:pPr>
            <w:r w:rsidRPr="00537648">
              <w:rPr>
                <w:color w:val="000000"/>
                <w:sz w:val="20"/>
                <w:szCs w:val="20"/>
              </w:rPr>
              <w:t>CAS 20208</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795C1FA6"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0962046A"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056B2EB2"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aff</w:t>
            </w:r>
            <w:proofErr w:type="spellEnd"/>
            <w:r w:rsidRPr="00537648">
              <w:rPr>
                <w:i/>
                <w:iCs/>
                <w:color w:val="000000"/>
                <w:sz w:val="20"/>
                <w:szCs w:val="20"/>
              </w:rPr>
              <w:t xml:space="preserve">. </w:t>
            </w:r>
            <w:proofErr w:type="spellStart"/>
            <w:r w:rsidRPr="00537648">
              <w:rPr>
                <w:i/>
                <w:iCs/>
                <w:color w:val="000000"/>
                <w:sz w:val="20"/>
                <w:szCs w:val="20"/>
              </w:rPr>
              <w:t>rhombeus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7BEB0BB9" w14:textId="77777777" w:rsidR="00537648" w:rsidRPr="00537648" w:rsidRDefault="00537648" w:rsidP="00537648">
            <w:pPr>
              <w:spacing w:line="276" w:lineRule="auto"/>
              <w:jc w:val="center"/>
              <w:rPr>
                <w:color w:val="000000"/>
                <w:sz w:val="20"/>
                <w:szCs w:val="20"/>
              </w:rPr>
            </w:pPr>
            <w:r w:rsidRPr="00537648">
              <w:rPr>
                <w:color w:val="000000"/>
                <w:sz w:val="20"/>
                <w:szCs w:val="20"/>
              </w:rPr>
              <w:t>ANSP 197730</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032DA6BB"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5B7E7EE1"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10501DFF"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altispinis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6C9B6EAE" w14:textId="77777777" w:rsidR="00537648" w:rsidRPr="00537648" w:rsidRDefault="00537648" w:rsidP="00537648">
            <w:pPr>
              <w:spacing w:line="276" w:lineRule="auto"/>
              <w:jc w:val="center"/>
              <w:rPr>
                <w:color w:val="000000"/>
                <w:sz w:val="20"/>
                <w:szCs w:val="20"/>
              </w:rPr>
            </w:pPr>
            <w:r w:rsidRPr="00537648">
              <w:rPr>
                <w:color w:val="000000"/>
                <w:sz w:val="20"/>
                <w:szCs w:val="20"/>
              </w:rPr>
              <w:t>ROM 85776</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21F1FCDD"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7DCC28FD"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1ED65A5A"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altuvei</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2054F5A8" w14:textId="77777777" w:rsidR="00537648" w:rsidRPr="00537648" w:rsidRDefault="00537648" w:rsidP="00537648">
            <w:pPr>
              <w:spacing w:line="276" w:lineRule="auto"/>
              <w:jc w:val="center"/>
              <w:rPr>
                <w:color w:val="000000"/>
                <w:sz w:val="20"/>
                <w:szCs w:val="20"/>
              </w:rPr>
            </w:pPr>
            <w:r w:rsidRPr="00537648">
              <w:rPr>
                <w:color w:val="000000"/>
                <w:sz w:val="20"/>
                <w:szCs w:val="20"/>
              </w:rPr>
              <w:t>UMMZ 215066b</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7660E207"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4F62C0CB"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1C4D7B42"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altuvei</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637E4481" w14:textId="77777777" w:rsidR="00537648" w:rsidRPr="00537648" w:rsidRDefault="00537648" w:rsidP="00537648">
            <w:pPr>
              <w:spacing w:line="276" w:lineRule="auto"/>
              <w:jc w:val="center"/>
              <w:rPr>
                <w:color w:val="000000"/>
                <w:sz w:val="20"/>
                <w:szCs w:val="20"/>
              </w:rPr>
            </w:pPr>
            <w:r w:rsidRPr="00537648">
              <w:rPr>
                <w:color w:val="000000"/>
                <w:sz w:val="20"/>
                <w:szCs w:val="20"/>
              </w:rPr>
              <w:t>UMMZ 215066a</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7E16E52C"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09DAF5C4"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1A8B16AC"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brandtii</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64F17FAD" w14:textId="77777777" w:rsidR="00537648" w:rsidRPr="00537648" w:rsidRDefault="00537648" w:rsidP="00537648">
            <w:pPr>
              <w:spacing w:line="276" w:lineRule="auto"/>
              <w:jc w:val="center"/>
              <w:rPr>
                <w:color w:val="000000"/>
                <w:sz w:val="20"/>
                <w:szCs w:val="20"/>
              </w:rPr>
            </w:pPr>
            <w:r w:rsidRPr="00537648">
              <w:rPr>
                <w:color w:val="000000"/>
                <w:sz w:val="20"/>
                <w:szCs w:val="20"/>
              </w:rPr>
              <w:t>FMNH 56945Y</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1FBBFCB9"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1906EF2E"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3013084B"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brandtii</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6531DF8A" w14:textId="77777777" w:rsidR="00537648" w:rsidRPr="00537648" w:rsidRDefault="00537648" w:rsidP="00537648">
            <w:pPr>
              <w:spacing w:line="276" w:lineRule="auto"/>
              <w:jc w:val="center"/>
              <w:rPr>
                <w:color w:val="000000"/>
                <w:sz w:val="20"/>
                <w:szCs w:val="20"/>
              </w:rPr>
            </w:pPr>
            <w:r w:rsidRPr="00537648">
              <w:rPr>
                <w:color w:val="000000"/>
                <w:sz w:val="20"/>
                <w:szCs w:val="20"/>
              </w:rPr>
              <w:t>FMNH 56945P</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4559971C"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5244D071"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3A1281AA"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brandtii</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73053B4F" w14:textId="77777777" w:rsidR="00537648" w:rsidRPr="00537648" w:rsidRDefault="00537648" w:rsidP="00537648">
            <w:pPr>
              <w:spacing w:line="276" w:lineRule="auto"/>
              <w:jc w:val="center"/>
              <w:rPr>
                <w:color w:val="000000"/>
                <w:sz w:val="20"/>
                <w:szCs w:val="20"/>
              </w:rPr>
            </w:pPr>
            <w:r w:rsidRPr="00537648">
              <w:rPr>
                <w:color w:val="000000"/>
                <w:sz w:val="20"/>
                <w:szCs w:val="20"/>
              </w:rPr>
              <w:t>FMNH 56945P</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2AC13CC3"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118644CC"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34FD6375"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cf</w:t>
            </w:r>
            <w:proofErr w:type="spellEnd"/>
            <w:r w:rsidRPr="00537648">
              <w:rPr>
                <w:i/>
                <w:iCs/>
                <w:color w:val="000000"/>
                <w:sz w:val="20"/>
                <w:szCs w:val="20"/>
              </w:rPr>
              <w:t xml:space="preserve"> </w:t>
            </w:r>
            <w:proofErr w:type="spellStart"/>
            <w:r w:rsidRPr="00537648">
              <w:rPr>
                <w:i/>
                <w:iCs/>
                <w:color w:val="000000"/>
                <w:sz w:val="20"/>
                <w:szCs w:val="20"/>
              </w:rPr>
              <w:t>eigenmanni</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77DD4243" w14:textId="77777777" w:rsidR="00537648" w:rsidRPr="00537648" w:rsidRDefault="00537648" w:rsidP="00537648">
            <w:pPr>
              <w:spacing w:line="276" w:lineRule="auto"/>
              <w:jc w:val="center"/>
              <w:rPr>
                <w:color w:val="000000"/>
                <w:sz w:val="20"/>
                <w:szCs w:val="20"/>
              </w:rPr>
            </w:pPr>
            <w:r w:rsidRPr="00537648">
              <w:rPr>
                <w:color w:val="000000"/>
                <w:sz w:val="20"/>
                <w:szCs w:val="20"/>
              </w:rPr>
              <w:t>ANSP 1627</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7E43FE78"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3F571135"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6709FBAE"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compressus</w:t>
            </w:r>
            <w:proofErr w:type="spellEnd"/>
            <w:r w:rsidRPr="00537648">
              <w:rPr>
                <w:i/>
                <w:iCs/>
                <w:color w:val="000000"/>
                <w:sz w:val="20"/>
                <w:szCs w:val="20"/>
              </w:rPr>
              <w:t xml:space="preserve"> </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05093D8C" w14:textId="77777777" w:rsidR="00537648" w:rsidRPr="00537648" w:rsidRDefault="00537648" w:rsidP="00537648">
            <w:pPr>
              <w:spacing w:line="276" w:lineRule="auto"/>
              <w:jc w:val="center"/>
              <w:rPr>
                <w:color w:val="000000"/>
                <w:sz w:val="20"/>
                <w:szCs w:val="20"/>
              </w:rPr>
            </w:pPr>
            <w:r w:rsidRPr="00537648">
              <w:rPr>
                <w:color w:val="000000"/>
                <w:sz w:val="20"/>
                <w:szCs w:val="20"/>
              </w:rPr>
              <w:t>MK 1853</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4E8AD696"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687DDA8E"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0A3BFA7F"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compressus</w:t>
            </w:r>
            <w:proofErr w:type="spellEnd"/>
            <w:r w:rsidRPr="00537648">
              <w:rPr>
                <w:i/>
                <w:iCs/>
                <w:color w:val="000000"/>
                <w:sz w:val="20"/>
                <w:szCs w:val="20"/>
              </w:rPr>
              <w:t xml:space="preserve"> </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3A057E41" w14:textId="77777777" w:rsidR="00537648" w:rsidRPr="00537648" w:rsidRDefault="00537648" w:rsidP="00537648">
            <w:pPr>
              <w:spacing w:line="276" w:lineRule="auto"/>
              <w:jc w:val="center"/>
              <w:rPr>
                <w:color w:val="000000"/>
                <w:sz w:val="20"/>
                <w:szCs w:val="20"/>
              </w:rPr>
            </w:pPr>
            <w:r w:rsidRPr="00537648">
              <w:rPr>
                <w:color w:val="000000"/>
                <w:sz w:val="20"/>
                <w:szCs w:val="20"/>
              </w:rPr>
              <w:t>UMMZ 250776</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7FC94C37"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78608CE9"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3F366E1A"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eigenmanni</w:t>
            </w:r>
            <w:proofErr w:type="spellEnd"/>
            <w:r w:rsidRPr="00537648">
              <w:rPr>
                <w:i/>
                <w:iCs/>
                <w:color w:val="000000"/>
                <w:sz w:val="20"/>
                <w:szCs w:val="20"/>
              </w:rPr>
              <w:t xml:space="preserve"> </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262AA03B" w14:textId="77777777" w:rsidR="00537648" w:rsidRPr="00537648" w:rsidRDefault="00537648" w:rsidP="00537648">
            <w:pPr>
              <w:spacing w:line="276" w:lineRule="auto"/>
              <w:jc w:val="center"/>
              <w:rPr>
                <w:color w:val="000000"/>
                <w:sz w:val="20"/>
                <w:szCs w:val="20"/>
              </w:rPr>
            </w:pPr>
            <w:r w:rsidRPr="00537648">
              <w:rPr>
                <w:color w:val="000000"/>
                <w:sz w:val="20"/>
                <w:szCs w:val="20"/>
              </w:rPr>
              <w:t>ROM 86351</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4C51C788"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48B68ADD"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2B0AC50D"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eigenmanni</w:t>
            </w:r>
            <w:proofErr w:type="spellEnd"/>
            <w:r w:rsidRPr="00537648">
              <w:rPr>
                <w:i/>
                <w:iCs/>
                <w:color w:val="000000"/>
                <w:sz w:val="20"/>
                <w:szCs w:val="20"/>
              </w:rPr>
              <w:t xml:space="preserve"> </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573647AE" w14:textId="77777777" w:rsidR="00537648" w:rsidRPr="00537648" w:rsidRDefault="00537648" w:rsidP="00537648">
            <w:pPr>
              <w:spacing w:line="276" w:lineRule="auto"/>
              <w:jc w:val="center"/>
              <w:rPr>
                <w:color w:val="000000"/>
                <w:sz w:val="20"/>
                <w:szCs w:val="20"/>
              </w:rPr>
            </w:pPr>
            <w:r w:rsidRPr="00537648">
              <w:rPr>
                <w:color w:val="000000"/>
                <w:sz w:val="20"/>
                <w:szCs w:val="20"/>
              </w:rPr>
              <w:t>ROM 97245</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5868D4BF"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544BFE35"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1DFA1435"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Serrasalmus elongatus</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1DE5F984" w14:textId="77777777" w:rsidR="00537648" w:rsidRPr="00537648" w:rsidRDefault="00537648" w:rsidP="00537648">
            <w:pPr>
              <w:spacing w:line="276" w:lineRule="auto"/>
              <w:jc w:val="center"/>
              <w:rPr>
                <w:color w:val="000000"/>
                <w:sz w:val="20"/>
                <w:szCs w:val="20"/>
              </w:rPr>
            </w:pPr>
            <w:r w:rsidRPr="00537648">
              <w:rPr>
                <w:color w:val="000000"/>
                <w:sz w:val="20"/>
                <w:szCs w:val="20"/>
              </w:rPr>
              <w:t>ANSP 196874</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1AA202A4"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03ADEC1D"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02640CAD"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Serrasalmus elongatus</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5346FF05" w14:textId="77777777" w:rsidR="00537648" w:rsidRPr="00537648" w:rsidRDefault="00537648" w:rsidP="00537648">
            <w:pPr>
              <w:spacing w:line="276" w:lineRule="auto"/>
              <w:jc w:val="center"/>
              <w:rPr>
                <w:color w:val="000000"/>
                <w:sz w:val="20"/>
                <w:szCs w:val="20"/>
              </w:rPr>
            </w:pPr>
            <w:r w:rsidRPr="00537648">
              <w:rPr>
                <w:color w:val="000000"/>
                <w:sz w:val="20"/>
                <w:szCs w:val="20"/>
              </w:rPr>
              <w:t>FMNH 111314</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65B2492B"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77B16831"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4247C0D1"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geryi</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55BCF92D" w14:textId="77777777" w:rsidR="00537648" w:rsidRPr="00537648" w:rsidRDefault="00537648" w:rsidP="00537648">
            <w:pPr>
              <w:spacing w:line="276" w:lineRule="auto"/>
              <w:jc w:val="center"/>
              <w:rPr>
                <w:color w:val="000000"/>
                <w:sz w:val="20"/>
                <w:szCs w:val="20"/>
              </w:rPr>
            </w:pPr>
            <w:r w:rsidRPr="00537648">
              <w:rPr>
                <w:color w:val="000000"/>
                <w:sz w:val="20"/>
                <w:szCs w:val="20"/>
              </w:rPr>
              <w:t>ROM105321</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4DB018BA"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3574F3DF"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6BF70AB9"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gouldingi</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7F633CD6" w14:textId="77777777" w:rsidR="00537648" w:rsidRPr="00537648" w:rsidRDefault="00537648" w:rsidP="00537648">
            <w:pPr>
              <w:spacing w:line="276" w:lineRule="auto"/>
              <w:jc w:val="center"/>
              <w:rPr>
                <w:color w:val="000000"/>
                <w:sz w:val="20"/>
                <w:szCs w:val="20"/>
              </w:rPr>
            </w:pPr>
            <w:r w:rsidRPr="00537648">
              <w:rPr>
                <w:color w:val="000000"/>
                <w:sz w:val="20"/>
                <w:szCs w:val="20"/>
              </w:rPr>
              <w:t>AUM 43510</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1D21D1A9"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264E20C2"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62BC83AF"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hastatus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7514A9F6" w14:textId="77777777" w:rsidR="00537648" w:rsidRPr="00537648" w:rsidRDefault="00537648" w:rsidP="00537648">
            <w:pPr>
              <w:spacing w:line="276" w:lineRule="auto"/>
              <w:jc w:val="center"/>
              <w:rPr>
                <w:color w:val="000000"/>
                <w:sz w:val="20"/>
                <w:szCs w:val="20"/>
              </w:rPr>
            </w:pPr>
            <w:r w:rsidRPr="00537648">
              <w:rPr>
                <w:color w:val="000000"/>
                <w:sz w:val="20"/>
                <w:szCs w:val="20"/>
              </w:rPr>
              <w:t>UMMZ 258358</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34C936F5"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03E34BAD"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1E4B7E75"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hastatus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513F0906" w14:textId="77777777" w:rsidR="00537648" w:rsidRPr="00537648" w:rsidRDefault="00537648" w:rsidP="00537648">
            <w:pPr>
              <w:spacing w:line="276" w:lineRule="auto"/>
              <w:jc w:val="center"/>
              <w:rPr>
                <w:color w:val="000000"/>
                <w:sz w:val="20"/>
                <w:szCs w:val="20"/>
              </w:rPr>
            </w:pPr>
            <w:r w:rsidRPr="00537648">
              <w:rPr>
                <w:color w:val="000000"/>
                <w:sz w:val="20"/>
                <w:szCs w:val="20"/>
              </w:rPr>
              <w:t>UMMZ 258358</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7A49FFB2"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 </w:t>
            </w:r>
          </w:p>
        </w:tc>
      </w:tr>
      <w:tr w:rsidR="00537648" w:rsidRPr="00537648" w14:paraId="0CE8087C"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41DAD0A3"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humeralis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0282DE2D" w14:textId="77777777" w:rsidR="00537648" w:rsidRPr="00537648" w:rsidRDefault="00537648" w:rsidP="00537648">
            <w:pPr>
              <w:spacing w:line="276" w:lineRule="auto"/>
              <w:jc w:val="center"/>
              <w:rPr>
                <w:color w:val="000000"/>
                <w:sz w:val="20"/>
                <w:szCs w:val="20"/>
              </w:rPr>
            </w:pPr>
            <w:r w:rsidRPr="00537648">
              <w:rPr>
                <w:color w:val="000000"/>
                <w:sz w:val="20"/>
                <w:szCs w:val="20"/>
              </w:rPr>
              <w:t>FMNH 56969</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71921978"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401F35BD"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3C9A3937"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irritans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0391C75B" w14:textId="77777777" w:rsidR="00537648" w:rsidRPr="00537648" w:rsidRDefault="00537648" w:rsidP="00537648">
            <w:pPr>
              <w:spacing w:line="276" w:lineRule="auto"/>
              <w:jc w:val="center"/>
              <w:rPr>
                <w:color w:val="000000"/>
                <w:sz w:val="20"/>
                <w:szCs w:val="20"/>
              </w:rPr>
            </w:pPr>
            <w:r w:rsidRPr="00537648">
              <w:rPr>
                <w:color w:val="000000"/>
                <w:sz w:val="20"/>
                <w:szCs w:val="20"/>
              </w:rPr>
              <w:t>ANSP 202290</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0A998F68"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23A9DD7B"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085D6CE7"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irritans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03279A36" w14:textId="77777777" w:rsidR="00537648" w:rsidRPr="00537648" w:rsidRDefault="00537648" w:rsidP="00537648">
            <w:pPr>
              <w:spacing w:line="276" w:lineRule="auto"/>
              <w:jc w:val="center"/>
              <w:rPr>
                <w:color w:val="000000"/>
                <w:sz w:val="20"/>
                <w:szCs w:val="20"/>
              </w:rPr>
            </w:pPr>
            <w:r w:rsidRPr="00537648">
              <w:rPr>
                <w:color w:val="000000"/>
                <w:sz w:val="20"/>
                <w:szCs w:val="20"/>
              </w:rPr>
              <w:t>AUM 545065</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2153B740"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3A6B6FC5"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46A29040"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Serrasalmus maculatus</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6584B58C" w14:textId="77777777" w:rsidR="00537648" w:rsidRPr="00537648" w:rsidRDefault="00537648" w:rsidP="00537648">
            <w:pPr>
              <w:spacing w:line="276" w:lineRule="auto"/>
              <w:jc w:val="center"/>
              <w:rPr>
                <w:color w:val="000000"/>
                <w:sz w:val="20"/>
                <w:szCs w:val="20"/>
              </w:rPr>
            </w:pPr>
            <w:r w:rsidRPr="00537648">
              <w:rPr>
                <w:color w:val="000000"/>
                <w:sz w:val="20"/>
                <w:szCs w:val="20"/>
              </w:rPr>
              <w:t>ROM 103433</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2F35B4F2"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0D23FBB5"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46ABB9D3"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Serrasalmus maculatus</w:t>
            </w:r>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4504A4A6" w14:textId="77777777" w:rsidR="00537648" w:rsidRPr="00537648" w:rsidRDefault="00537648" w:rsidP="00537648">
            <w:pPr>
              <w:spacing w:line="276" w:lineRule="auto"/>
              <w:jc w:val="center"/>
              <w:rPr>
                <w:color w:val="000000"/>
                <w:sz w:val="20"/>
                <w:szCs w:val="20"/>
              </w:rPr>
            </w:pPr>
            <w:r w:rsidRPr="00537648">
              <w:rPr>
                <w:color w:val="000000"/>
                <w:sz w:val="20"/>
                <w:szCs w:val="20"/>
              </w:rPr>
              <w:t>ANSP 196873</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5E2D5BB4" w14:textId="77777777" w:rsidR="00537648" w:rsidRPr="00537648" w:rsidRDefault="00537648" w:rsidP="00537648">
            <w:pPr>
              <w:spacing w:line="276" w:lineRule="auto"/>
              <w:jc w:val="center"/>
              <w:rPr>
                <w:color w:val="000000"/>
                <w:sz w:val="20"/>
                <w:szCs w:val="20"/>
              </w:rPr>
            </w:pPr>
            <w:r w:rsidRPr="00537648">
              <w:rPr>
                <w:color w:val="000000"/>
                <w:sz w:val="20"/>
                <w:szCs w:val="20"/>
              </w:rPr>
              <w:t>Omnivore</w:t>
            </w:r>
          </w:p>
        </w:tc>
      </w:tr>
      <w:tr w:rsidR="00537648" w:rsidRPr="00537648" w14:paraId="0523C754"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387C1723"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marginatus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0B905F07" w14:textId="77777777" w:rsidR="00537648" w:rsidRPr="00537648" w:rsidRDefault="00537648" w:rsidP="00537648">
            <w:pPr>
              <w:spacing w:line="276" w:lineRule="auto"/>
              <w:jc w:val="center"/>
              <w:rPr>
                <w:color w:val="000000"/>
                <w:sz w:val="20"/>
                <w:szCs w:val="20"/>
              </w:rPr>
            </w:pPr>
            <w:r w:rsidRPr="00537648">
              <w:rPr>
                <w:color w:val="000000"/>
                <w:sz w:val="20"/>
                <w:szCs w:val="20"/>
              </w:rPr>
              <w:t>FMNH 71030</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3C9A43B2"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1F6206CB"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48A295D1"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medinai</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205A4486" w14:textId="77777777" w:rsidR="00537648" w:rsidRPr="00537648" w:rsidRDefault="00537648" w:rsidP="00537648">
            <w:pPr>
              <w:spacing w:line="276" w:lineRule="auto"/>
              <w:jc w:val="center"/>
              <w:rPr>
                <w:color w:val="000000"/>
                <w:sz w:val="20"/>
                <w:szCs w:val="20"/>
              </w:rPr>
            </w:pPr>
            <w:r w:rsidRPr="00537648">
              <w:rPr>
                <w:color w:val="000000"/>
                <w:sz w:val="20"/>
                <w:szCs w:val="20"/>
              </w:rPr>
              <w:t>ANSP 165387</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42039B1A"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61ED3665"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0EAB6521"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medinai</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60534C1F" w14:textId="77777777" w:rsidR="00537648" w:rsidRPr="00537648" w:rsidRDefault="00537648" w:rsidP="00537648">
            <w:pPr>
              <w:spacing w:line="276" w:lineRule="auto"/>
              <w:jc w:val="center"/>
              <w:rPr>
                <w:color w:val="000000"/>
                <w:sz w:val="20"/>
                <w:szCs w:val="20"/>
              </w:rPr>
            </w:pPr>
            <w:r w:rsidRPr="00537648">
              <w:rPr>
                <w:color w:val="000000"/>
                <w:sz w:val="20"/>
                <w:szCs w:val="20"/>
              </w:rPr>
              <w:t>AUM 53950</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769C36BF"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r w:rsidR="00537648" w:rsidRPr="00537648" w14:paraId="3426E4D5"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644CA804"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rhombeus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6BD68DCC" w14:textId="77777777" w:rsidR="00537648" w:rsidRPr="00537648" w:rsidRDefault="00537648" w:rsidP="00537648">
            <w:pPr>
              <w:spacing w:line="276" w:lineRule="auto"/>
              <w:jc w:val="center"/>
              <w:rPr>
                <w:color w:val="000000"/>
                <w:sz w:val="20"/>
                <w:szCs w:val="20"/>
              </w:rPr>
            </w:pPr>
            <w:r w:rsidRPr="00537648">
              <w:rPr>
                <w:color w:val="000000"/>
                <w:sz w:val="20"/>
                <w:szCs w:val="20"/>
              </w:rPr>
              <w:t>ROM 97470_S8</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210ABDFA"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118F4018"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53257E05"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rhombeus</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606059F6" w14:textId="77777777" w:rsidR="00537648" w:rsidRPr="00537648" w:rsidRDefault="00537648" w:rsidP="00537648">
            <w:pPr>
              <w:spacing w:line="276" w:lineRule="auto"/>
              <w:jc w:val="center"/>
              <w:rPr>
                <w:color w:val="000000"/>
                <w:sz w:val="20"/>
                <w:szCs w:val="20"/>
              </w:rPr>
            </w:pPr>
            <w:r w:rsidRPr="00537648">
              <w:rPr>
                <w:color w:val="000000"/>
                <w:sz w:val="20"/>
                <w:szCs w:val="20"/>
              </w:rPr>
              <w:t>ROM 100577</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6B680B88" w14:textId="77777777" w:rsidR="00537648" w:rsidRPr="00537648" w:rsidRDefault="00537648" w:rsidP="00537648">
            <w:pPr>
              <w:spacing w:line="276" w:lineRule="auto"/>
              <w:jc w:val="center"/>
              <w:rPr>
                <w:color w:val="000000"/>
                <w:sz w:val="20"/>
                <w:szCs w:val="20"/>
              </w:rPr>
            </w:pPr>
            <w:r w:rsidRPr="00537648">
              <w:rPr>
                <w:color w:val="000000"/>
                <w:sz w:val="20"/>
                <w:szCs w:val="20"/>
              </w:rPr>
              <w:t>Piscivore</w:t>
            </w:r>
          </w:p>
        </w:tc>
      </w:tr>
      <w:tr w:rsidR="00537648" w:rsidRPr="00537648" w14:paraId="6E60241D" w14:textId="77777777" w:rsidTr="00537648">
        <w:trPr>
          <w:trHeight w:val="315"/>
        </w:trPr>
        <w:tc>
          <w:tcPr>
            <w:tcW w:w="0" w:type="auto"/>
            <w:tcBorders>
              <w:top w:val="single" w:sz="6" w:space="0" w:color="CCCCCC"/>
              <w:left w:val="single" w:sz="6" w:space="0" w:color="CCCCCC"/>
              <w:bottom w:val="single" w:sz="6" w:space="0" w:color="000000"/>
              <w:right w:val="single" w:sz="6" w:space="0" w:color="CCCCCC"/>
            </w:tcBorders>
            <w:shd w:val="clear" w:color="auto" w:fill="F3F3F3"/>
            <w:tcMar>
              <w:top w:w="30" w:type="dxa"/>
              <w:left w:w="45" w:type="dxa"/>
              <w:bottom w:w="30" w:type="dxa"/>
              <w:right w:w="45" w:type="dxa"/>
            </w:tcMar>
            <w:vAlign w:val="bottom"/>
            <w:hideMark/>
          </w:tcPr>
          <w:p w14:paraId="3F9A8A8C" w14:textId="77777777" w:rsidR="00537648" w:rsidRPr="00537648" w:rsidRDefault="00537648" w:rsidP="00537648">
            <w:pPr>
              <w:spacing w:line="276" w:lineRule="auto"/>
              <w:jc w:val="center"/>
              <w:rPr>
                <w:i/>
                <w:iCs/>
                <w:color w:val="000000"/>
                <w:sz w:val="20"/>
                <w:szCs w:val="20"/>
              </w:rPr>
            </w:pPr>
            <w:r w:rsidRPr="00537648">
              <w:rPr>
                <w:i/>
                <w:iCs/>
                <w:color w:val="000000"/>
                <w:sz w:val="20"/>
                <w:szCs w:val="20"/>
              </w:rPr>
              <w:t xml:space="preserve">Serrasalmus </w:t>
            </w:r>
            <w:proofErr w:type="spellStart"/>
            <w:r w:rsidRPr="00537648">
              <w:rPr>
                <w:i/>
                <w:iCs/>
                <w:color w:val="000000"/>
                <w:sz w:val="20"/>
                <w:szCs w:val="20"/>
              </w:rPr>
              <w:t>sanchezi</w:t>
            </w:r>
            <w:proofErr w:type="spellEnd"/>
          </w:p>
        </w:tc>
        <w:tc>
          <w:tcPr>
            <w:tcW w:w="0" w:type="auto"/>
            <w:tcBorders>
              <w:top w:val="single" w:sz="6" w:space="0" w:color="CCCCCC"/>
              <w:left w:val="single" w:sz="6" w:space="0" w:color="CCCCCC"/>
              <w:bottom w:val="single" w:sz="6" w:space="0" w:color="000000"/>
              <w:right w:val="single" w:sz="6" w:space="0" w:color="000000"/>
            </w:tcBorders>
            <w:shd w:val="clear" w:color="auto" w:fill="F3F3F3"/>
            <w:tcMar>
              <w:top w:w="30" w:type="dxa"/>
              <w:left w:w="45" w:type="dxa"/>
              <w:bottom w:w="30" w:type="dxa"/>
              <w:right w:w="45" w:type="dxa"/>
            </w:tcMar>
            <w:vAlign w:val="bottom"/>
            <w:hideMark/>
          </w:tcPr>
          <w:p w14:paraId="26C1EEAF" w14:textId="77777777" w:rsidR="00537648" w:rsidRPr="00537648" w:rsidRDefault="00537648" w:rsidP="00537648">
            <w:pPr>
              <w:spacing w:line="276" w:lineRule="auto"/>
              <w:jc w:val="center"/>
              <w:rPr>
                <w:color w:val="000000"/>
                <w:sz w:val="20"/>
                <w:szCs w:val="20"/>
              </w:rPr>
            </w:pPr>
            <w:r w:rsidRPr="00537648">
              <w:rPr>
                <w:color w:val="000000"/>
                <w:sz w:val="20"/>
                <w:szCs w:val="20"/>
              </w:rPr>
              <w:t>ANSP 119852</w:t>
            </w:r>
          </w:p>
        </w:tc>
        <w:tc>
          <w:tcPr>
            <w:tcW w:w="2739" w:type="dxa"/>
            <w:tcBorders>
              <w:top w:val="single" w:sz="6" w:space="0" w:color="CCCCCC"/>
              <w:left w:val="single" w:sz="6" w:space="0" w:color="CCCCCC"/>
              <w:bottom w:val="single" w:sz="6" w:space="0" w:color="000000"/>
              <w:right w:val="single" w:sz="6" w:space="0" w:color="000000"/>
            </w:tcBorders>
            <w:shd w:val="clear" w:color="auto" w:fill="F3F3F3"/>
          </w:tcPr>
          <w:p w14:paraId="78EE7089" w14:textId="77777777" w:rsidR="00537648" w:rsidRPr="00537648" w:rsidRDefault="00537648" w:rsidP="00537648">
            <w:pPr>
              <w:spacing w:line="276" w:lineRule="auto"/>
              <w:jc w:val="center"/>
              <w:rPr>
                <w:color w:val="000000"/>
                <w:sz w:val="20"/>
                <w:szCs w:val="20"/>
              </w:rPr>
            </w:pPr>
            <w:r w:rsidRPr="00537648">
              <w:rPr>
                <w:color w:val="000000"/>
                <w:sz w:val="20"/>
                <w:szCs w:val="20"/>
              </w:rPr>
              <w:t>Ectoparasite</w:t>
            </w:r>
          </w:p>
        </w:tc>
      </w:tr>
    </w:tbl>
    <w:p w14:paraId="437AE1C8" w14:textId="77777777" w:rsidR="003B3309" w:rsidRDefault="003B3309" w:rsidP="003B3309">
      <w:pPr>
        <w:spacing w:line="276" w:lineRule="auto"/>
      </w:pPr>
    </w:p>
    <w:p w14:paraId="5C348262" w14:textId="77777777" w:rsidR="003B3309" w:rsidRDefault="003B3309" w:rsidP="003B3309">
      <w:pPr>
        <w:spacing w:line="276" w:lineRule="auto"/>
      </w:pPr>
    </w:p>
    <w:p w14:paraId="657AC370" w14:textId="77777777" w:rsidR="003B3309" w:rsidRDefault="003B3309" w:rsidP="003B3309">
      <w:pPr>
        <w:spacing w:line="276" w:lineRule="auto"/>
      </w:pPr>
    </w:p>
    <w:p w14:paraId="31A897B9" w14:textId="77777777" w:rsidR="003B3309" w:rsidRPr="002804AE" w:rsidRDefault="003B3309" w:rsidP="003B3309">
      <w:pPr>
        <w:spacing w:line="276" w:lineRule="auto"/>
      </w:pPr>
      <w:r>
        <w:t xml:space="preserve">Table 2. Loadings for the </w:t>
      </w:r>
      <w:proofErr w:type="spellStart"/>
      <w:r>
        <w:t>phylomorphospace</w:t>
      </w:r>
      <w:proofErr w:type="spellEnd"/>
      <w:r>
        <w:t xml:space="preserve">.  </w:t>
      </w:r>
    </w:p>
    <w:tbl>
      <w:tblPr>
        <w:tblW w:w="3840" w:type="dxa"/>
        <w:tblCellMar>
          <w:left w:w="0" w:type="dxa"/>
          <w:right w:w="0" w:type="dxa"/>
        </w:tblCellMar>
        <w:tblLook w:val="04A0" w:firstRow="1" w:lastRow="0" w:firstColumn="1" w:lastColumn="0" w:noHBand="0" w:noVBand="1"/>
      </w:tblPr>
      <w:tblGrid>
        <w:gridCol w:w="1074"/>
        <w:gridCol w:w="1001"/>
        <w:gridCol w:w="1001"/>
        <w:gridCol w:w="1001"/>
      </w:tblGrid>
      <w:tr w:rsidR="003B3309" w:rsidRPr="00960E84" w14:paraId="6950EE47" w14:textId="77777777" w:rsidTr="003B3309">
        <w:trPr>
          <w:trHeight w:val="288"/>
        </w:trPr>
        <w:tc>
          <w:tcPr>
            <w:tcW w:w="960" w:type="dxa"/>
            <w:tcBorders>
              <w:top w:val="nil"/>
              <w:left w:val="nil"/>
              <w:bottom w:val="nil"/>
              <w:right w:val="nil"/>
            </w:tcBorders>
            <w:noWrap/>
            <w:tcMar>
              <w:top w:w="15" w:type="dxa"/>
              <w:left w:w="15" w:type="dxa"/>
              <w:bottom w:w="0" w:type="dxa"/>
              <w:right w:w="15" w:type="dxa"/>
            </w:tcMar>
            <w:vAlign w:val="bottom"/>
            <w:hideMark/>
          </w:tcPr>
          <w:p w14:paraId="2BD16D99" w14:textId="77777777" w:rsidR="003B3309" w:rsidRPr="00960E84" w:rsidRDefault="003B3309" w:rsidP="003B3309">
            <w:pPr>
              <w:spacing w:line="276" w:lineRule="auto"/>
              <w:rPr>
                <w:sz w:val="20"/>
                <w:szCs w:val="20"/>
              </w:rPr>
            </w:pPr>
          </w:p>
        </w:tc>
        <w:tc>
          <w:tcPr>
            <w:tcW w:w="960" w:type="dxa"/>
            <w:tcBorders>
              <w:top w:val="nil"/>
              <w:left w:val="nil"/>
              <w:bottom w:val="nil"/>
              <w:right w:val="nil"/>
            </w:tcBorders>
            <w:noWrap/>
            <w:tcMar>
              <w:top w:w="0" w:type="dxa"/>
              <w:left w:w="15" w:type="dxa"/>
              <w:bottom w:w="0" w:type="dxa"/>
              <w:right w:w="15" w:type="dxa"/>
            </w:tcMar>
            <w:vAlign w:val="bottom"/>
            <w:hideMark/>
          </w:tcPr>
          <w:p w14:paraId="1C6654CF" w14:textId="77777777" w:rsidR="003B3309" w:rsidRPr="00960E84" w:rsidRDefault="003B3309" w:rsidP="003B3309">
            <w:pPr>
              <w:spacing w:line="276" w:lineRule="auto"/>
              <w:rPr>
                <w:rFonts w:ascii="Calibri" w:hAnsi="Calibri" w:cs="Calibri"/>
                <w:color w:val="000000"/>
              </w:rPr>
            </w:pPr>
            <w:r w:rsidRPr="00960E84">
              <w:rPr>
                <w:rFonts w:ascii="Calibri" w:hAnsi="Calibri" w:cs="Calibri"/>
                <w:color w:val="000000"/>
              </w:rPr>
              <w:t>           PC1</w:t>
            </w:r>
          </w:p>
        </w:tc>
        <w:tc>
          <w:tcPr>
            <w:tcW w:w="960" w:type="dxa"/>
            <w:tcBorders>
              <w:top w:val="nil"/>
              <w:left w:val="nil"/>
              <w:bottom w:val="nil"/>
              <w:right w:val="nil"/>
            </w:tcBorders>
            <w:noWrap/>
            <w:tcMar>
              <w:top w:w="0" w:type="dxa"/>
              <w:left w:w="15" w:type="dxa"/>
              <w:bottom w:w="0" w:type="dxa"/>
              <w:right w:w="15" w:type="dxa"/>
            </w:tcMar>
            <w:vAlign w:val="bottom"/>
            <w:hideMark/>
          </w:tcPr>
          <w:p w14:paraId="1CD054F4" w14:textId="77777777" w:rsidR="003B3309" w:rsidRPr="00960E84" w:rsidRDefault="003B3309" w:rsidP="003B3309">
            <w:pPr>
              <w:spacing w:line="276" w:lineRule="auto"/>
              <w:rPr>
                <w:rFonts w:ascii="Calibri" w:hAnsi="Calibri" w:cs="Calibri"/>
                <w:color w:val="000000"/>
              </w:rPr>
            </w:pPr>
            <w:r w:rsidRPr="00960E84">
              <w:rPr>
                <w:rFonts w:ascii="Calibri" w:hAnsi="Calibri" w:cs="Calibri"/>
                <w:color w:val="000000"/>
              </w:rPr>
              <w:t>           PC2</w:t>
            </w:r>
          </w:p>
        </w:tc>
        <w:tc>
          <w:tcPr>
            <w:tcW w:w="960" w:type="dxa"/>
            <w:tcBorders>
              <w:top w:val="nil"/>
              <w:left w:val="nil"/>
              <w:bottom w:val="nil"/>
              <w:right w:val="nil"/>
            </w:tcBorders>
            <w:noWrap/>
            <w:tcMar>
              <w:top w:w="0" w:type="dxa"/>
              <w:left w:w="15" w:type="dxa"/>
              <w:bottom w:w="0" w:type="dxa"/>
              <w:right w:w="15" w:type="dxa"/>
            </w:tcMar>
            <w:vAlign w:val="bottom"/>
            <w:hideMark/>
          </w:tcPr>
          <w:p w14:paraId="7F57E09D" w14:textId="77777777" w:rsidR="003B3309" w:rsidRPr="00960E84" w:rsidRDefault="003B3309" w:rsidP="003B3309">
            <w:pPr>
              <w:spacing w:line="276" w:lineRule="auto"/>
              <w:rPr>
                <w:rFonts w:ascii="Calibri" w:hAnsi="Calibri" w:cs="Calibri"/>
                <w:color w:val="000000"/>
              </w:rPr>
            </w:pPr>
            <w:r w:rsidRPr="00960E84">
              <w:rPr>
                <w:rFonts w:ascii="Calibri" w:hAnsi="Calibri" w:cs="Calibri"/>
                <w:color w:val="000000"/>
              </w:rPr>
              <w:t>           PC3</w:t>
            </w:r>
          </w:p>
        </w:tc>
      </w:tr>
      <w:tr w:rsidR="003B3309" w:rsidRPr="00960E84" w14:paraId="0BB91CED" w14:textId="77777777" w:rsidTr="003B3309">
        <w:trPr>
          <w:trHeight w:val="288"/>
        </w:trPr>
        <w:tc>
          <w:tcPr>
            <w:tcW w:w="0" w:type="auto"/>
            <w:tcBorders>
              <w:top w:val="nil"/>
              <w:left w:val="nil"/>
              <w:bottom w:val="nil"/>
              <w:right w:val="nil"/>
            </w:tcBorders>
            <w:noWrap/>
            <w:tcMar>
              <w:top w:w="0" w:type="dxa"/>
              <w:left w:w="15" w:type="dxa"/>
              <w:bottom w:w="0" w:type="dxa"/>
              <w:right w:w="15" w:type="dxa"/>
            </w:tcMar>
            <w:vAlign w:val="bottom"/>
            <w:hideMark/>
          </w:tcPr>
          <w:p w14:paraId="60D214C0" w14:textId="77777777" w:rsidR="003B3309" w:rsidRPr="00960E84" w:rsidRDefault="003B3309" w:rsidP="003B3309">
            <w:pPr>
              <w:spacing w:line="276" w:lineRule="auto"/>
              <w:rPr>
                <w:rFonts w:ascii="Calibri" w:hAnsi="Calibri" w:cs="Calibri"/>
                <w:color w:val="000000"/>
              </w:rPr>
            </w:pPr>
            <w:r w:rsidRPr="00960E84">
              <w:rPr>
                <w:rFonts w:ascii="Calibri" w:hAnsi="Calibri" w:cs="Calibri"/>
                <w:color w:val="000000"/>
              </w:rPr>
              <w:t>Open.MA</w:t>
            </w:r>
          </w:p>
        </w:tc>
        <w:tc>
          <w:tcPr>
            <w:tcW w:w="0" w:type="auto"/>
            <w:tcBorders>
              <w:top w:val="nil"/>
              <w:left w:val="nil"/>
              <w:bottom w:val="nil"/>
              <w:right w:val="nil"/>
            </w:tcBorders>
            <w:noWrap/>
            <w:tcMar>
              <w:top w:w="0" w:type="dxa"/>
              <w:left w:w="15" w:type="dxa"/>
              <w:bottom w:w="0" w:type="dxa"/>
              <w:right w:w="15" w:type="dxa"/>
            </w:tcMar>
            <w:vAlign w:val="bottom"/>
            <w:hideMark/>
          </w:tcPr>
          <w:p w14:paraId="7672E65C"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0.05</w:t>
            </w:r>
          </w:p>
        </w:tc>
        <w:tc>
          <w:tcPr>
            <w:tcW w:w="0" w:type="auto"/>
            <w:tcBorders>
              <w:top w:val="nil"/>
              <w:left w:val="nil"/>
              <w:bottom w:val="nil"/>
              <w:right w:val="nil"/>
            </w:tcBorders>
            <w:noWrap/>
            <w:tcMar>
              <w:top w:w="0" w:type="dxa"/>
              <w:left w:w="15" w:type="dxa"/>
              <w:bottom w:w="0" w:type="dxa"/>
              <w:right w:w="15" w:type="dxa"/>
            </w:tcMar>
            <w:vAlign w:val="bottom"/>
            <w:hideMark/>
          </w:tcPr>
          <w:p w14:paraId="30FC44BE"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0.92</w:t>
            </w:r>
          </w:p>
        </w:tc>
        <w:tc>
          <w:tcPr>
            <w:tcW w:w="0" w:type="auto"/>
            <w:tcBorders>
              <w:top w:val="nil"/>
              <w:left w:val="nil"/>
              <w:bottom w:val="nil"/>
              <w:right w:val="nil"/>
            </w:tcBorders>
            <w:noWrap/>
            <w:tcMar>
              <w:top w:w="0" w:type="dxa"/>
              <w:left w:w="15" w:type="dxa"/>
              <w:bottom w:w="0" w:type="dxa"/>
              <w:right w:w="15" w:type="dxa"/>
            </w:tcMar>
            <w:vAlign w:val="bottom"/>
            <w:hideMark/>
          </w:tcPr>
          <w:p w14:paraId="58E60776"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0.17</w:t>
            </w:r>
          </w:p>
        </w:tc>
      </w:tr>
      <w:tr w:rsidR="003B3309" w:rsidRPr="00960E84" w14:paraId="45544537" w14:textId="77777777" w:rsidTr="003B3309">
        <w:trPr>
          <w:trHeight w:val="288"/>
        </w:trPr>
        <w:tc>
          <w:tcPr>
            <w:tcW w:w="0" w:type="auto"/>
            <w:tcBorders>
              <w:top w:val="nil"/>
              <w:left w:val="nil"/>
              <w:bottom w:val="nil"/>
              <w:right w:val="nil"/>
            </w:tcBorders>
            <w:noWrap/>
            <w:tcMar>
              <w:top w:w="0" w:type="dxa"/>
              <w:left w:w="15" w:type="dxa"/>
              <w:bottom w:w="0" w:type="dxa"/>
              <w:right w:w="15" w:type="dxa"/>
            </w:tcMar>
            <w:vAlign w:val="bottom"/>
            <w:hideMark/>
          </w:tcPr>
          <w:p w14:paraId="57976884" w14:textId="77777777" w:rsidR="003B3309" w:rsidRPr="00960E84" w:rsidRDefault="003B3309" w:rsidP="003B3309">
            <w:pPr>
              <w:spacing w:line="276" w:lineRule="auto"/>
              <w:rPr>
                <w:rFonts w:ascii="Calibri" w:hAnsi="Calibri" w:cs="Calibri"/>
                <w:color w:val="000000"/>
              </w:rPr>
            </w:pPr>
            <w:r w:rsidRPr="00960E84">
              <w:rPr>
                <w:rFonts w:ascii="Calibri" w:hAnsi="Calibri" w:cs="Calibri"/>
                <w:color w:val="000000"/>
              </w:rPr>
              <w:t>Ant.MA</w:t>
            </w:r>
          </w:p>
        </w:tc>
        <w:tc>
          <w:tcPr>
            <w:tcW w:w="0" w:type="auto"/>
            <w:tcBorders>
              <w:top w:val="nil"/>
              <w:left w:val="nil"/>
              <w:bottom w:val="nil"/>
              <w:right w:val="nil"/>
            </w:tcBorders>
            <w:noWrap/>
            <w:tcMar>
              <w:top w:w="0" w:type="dxa"/>
              <w:left w:w="15" w:type="dxa"/>
              <w:bottom w:w="0" w:type="dxa"/>
              <w:right w:w="15" w:type="dxa"/>
            </w:tcMar>
            <w:vAlign w:val="bottom"/>
            <w:hideMark/>
          </w:tcPr>
          <w:p w14:paraId="66918789"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0.24</w:t>
            </w:r>
          </w:p>
        </w:tc>
        <w:tc>
          <w:tcPr>
            <w:tcW w:w="0" w:type="auto"/>
            <w:tcBorders>
              <w:top w:val="nil"/>
              <w:left w:val="nil"/>
              <w:bottom w:val="nil"/>
              <w:right w:val="nil"/>
            </w:tcBorders>
            <w:noWrap/>
            <w:tcMar>
              <w:top w:w="0" w:type="dxa"/>
              <w:left w:w="15" w:type="dxa"/>
              <w:bottom w:w="0" w:type="dxa"/>
              <w:right w:w="15" w:type="dxa"/>
            </w:tcMar>
            <w:vAlign w:val="bottom"/>
            <w:hideMark/>
          </w:tcPr>
          <w:p w14:paraId="78098F13"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-0.39</w:t>
            </w:r>
          </w:p>
        </w:tc>
        <w:tc>
          <w:tcPr>
            <w:tcW w:w="0" w:type="auto"/>
            <w:tcBorders>
              <w:top w:val="nil"/>
              <w:left w:val="nil"/>
              <w:bottom w:val="nil"/>
              <w:right w:val="nil"/>
            </w:tcBorders>
            <w:noWrap/>
            <w:tcMar>
              <w:top w:w="0" w:type="dxa"/>
              <w:left w:w="15" w:type="dxa"/>
              <w:bottom w:w="0" w:type="dxa"/>
              <w:right w:w="15" w:type="dxa"/>
            </w:tcMar>
            <w:vAlign w:val="bottom"/>
            <w:hideMark/>
          </w:tcPr>
          <w:p w14:paraId="21C2B2DB"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-0.82</w:t>
            </w:r>
          </w:p>
        </w:tc>
      </w:tr>
      <w:tr w:rsidR="003B3309" w:rsidRPr="00960E84" w14:paraId="563178B8" w14:textId="77777777" w:rsidTr="003B3309">
        <w:trPr>
          <w:trHeight w:val="288"/>
        </w:trPr>
        <w:tc>
          <w:tcPr>
            <w:tcW w:w="0" w:type="auto"/>
            <w:tcBorders>
              <w:top w:val="nil"/>
              <w:left w:val="nil"/>
              <w:bottom w:val="nil"/>
              <w:right w:val="nil"/>
            </w:tcBorders>
            <w:noWrap/>
            <w:tcMar>
              <w:top w:w="0" w:type="dxa"/>
              <w:left w:w="15" w:type="dxa"/>
              <w:bottom w:w="0" w:type="dxa"/>
              <w:right w:w="15" w:type="dxa"/>
            </w:tcMar>
            <w:vAlign w:val="bottom"/>
            <w:hideMark/>
          </w:tcPr>
          <w:p w14:paraId="4CF017A9" w14:textId="77777777" w:rsidR="003B3309" w:rsidRPr="00960E84" w:rsidRDefault="003B3309" w:rsidP="003B3309">
            <w:pPr>
              <w:spacing w:line="276" w:lineRule="auto"/>
              <w:rPr>
                <w:rFonts w:ascii="Calibri" w:hAnsi="Calibri" w:cs="Calibri"/>
                <w:color w:val="000000"/>
              </w:rPr>
            </w:pPr>
            <w:r w:rsidRPr="00960E84">
              <w:rPr>
                <w:rFonts w:ascii="Calibri" w:hAnsi="Calibri" w:cs="Calibri"/>
                <w:color w:val="000000"/>
              </w:rPr>
              <w:t>Post.MA</w:t>
            </w:r>
          </w:p>
        </w:tc>
        <w:tc>
          <w:tcPr>
            <w:tcW w:w="0" w:type="auto"/>
            <w:tcBorders>
              <w:top w:val="nil"/>
              <w:left w:val="nil"/>
              <w:bottom w:val="nil"/>
              <w:right w:val="nil"/>
            </w:tcBorders>
            <w:noWrap/>
            <w:tcMar>
              <w:top w:w="0" w:type="dxa"/>
              <w:left w:w="15" w:type="dxa"/>
              <w:bottom w:w="0" w:type="dxa"/>
              <w:right w:w="15" w:type="dxa"/>
            </w:tcMar>
            <w:vAlign w:val="bottom"/>
            <w:hideMark/>
          </w:tcPr>
          <w:p w14:paraId="31C88F94"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-0.82</w:t>
            </w:r>
          </w:p>
        </w:tc>
        <w:tc>
          <w:tcPr>
            <w:tcW w:w="0" w:type="auto"/>
            <w:tcBorders>
              <w:top w:val="nil"/>
              <w:left w:val="nil"/>
              <w:bottom w:val="nil"/>
              <w:right w:val="nil"/>
            </w:tcBorders>
            <w:noWrap/>
            <w:tcMar>
              <w:top w:w="0" w:type="dxa"/>
              <w:left w:w="15" w:type="dxa"/>
              <w:bottom w:w="0" w:type="dxa"/>
              <w:right w:w="15" w:type="dxa"/>
            </w:tcMar>
            <w:vAlign w:val="bottom"/>
            <w:hideMark/>
          </w:tcPr>
          <w:p w14:paraId="7638EACB"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-0.12</w:t>
            </w:r>
          </w:p>
        </w:tc>
        <w:tc>
          <w:tcPr>
            <w:tcW w:w="0" w:type="auto"/>
            <w:tcBorders>
              <w:top w:val="nil"/>
              <w:left w:val="nil"/>
              <w:bottom w:val="nil"/>
              <w:right w:val="nil"/>
            </w:tcBorders>
            <w:noWrap/>
            <w:tcMar>
              <w:top w:w="0" w:type="dxa"/>
              <w:left w:w="15" w:type="dxa"/>
              <w:bottom w:w="0" w:type="dxa"/>
              <w:right w:w="15" w:type="dxa"/>
            </w:tcMar>
            <w:vAlign w:val="bottom"/>
            <w:hideMark/>
          </w:tcPr>
          <w:p w14:paraId="00945946"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-0.46</w:t>
            </w:r>
          </w:p>
        </w:tc>
      </w:tr>
      <w:tr w:rsidR="003B3309" w:rsidRPr="00960E84" w14:paraId="25893C47" w14:textId="77777777" w:rsidTr="003B3309">
        <w:trPr>
          <w:trHeight w:val="288"/>
        </w:trPr>
        <w:tc>
          <w:tcPr>
            <w:tcW w:w="0" w:type="auto"/>
            <w:tcBorders>
              <w:top w:val="nil"/>
              <w:left w:val="nil"/>
              <w:bottom w:val="nil"/>
              <w:right w:val="nil"/>
            </w:tcBorders>
            <w:noWrap/>
            <w:tcMar>
              <w:top w:w="0" w:type="dxa"/>
              <w:left w:w="15" w:type="dxa"/>
              <w:bottom w:w="0" w:type="dxa"/>
              <w:right w:w="15" w:type="dxa"/>
            </w:tcMar>
            <w:vAlign w:val="bottom"/>
            <w:hideMark/>
          </w:tcPr>
          <w:p w14:paraId="42F0FDB7" w14:textId="77777777" w:rsidR="003B3309" w:rsidRPr="00960E84" w:rsidRDefault="003B3309" w:rsidP="003B3309">
            <w:pPr>
              <w:spacing w:line="276" w:lineRule="auto"/>
              <w:rPr>
                <w:rFonts w:ascii="Calibri" w:hAnsi="Calibri" w:cs="Calibri"/>
                <w:color w:val="000000"/>
              </w:rPr>
            </w:pPr>
            <w:proofErr w:type="spellStart"/>
            <w:r w:rsidRPr="00960E84">
              <w:rPr>
                <w:rFonts w:ascii="Calibri" w:hAnsi="Calibri" w:cs="Calibri"/>
                <w:color w:val="000000"/>
              </w:rPr>
              <w:t>Jaw.length</w:t>
            </w:r>
            <w:proofErr w:type="spellEnd"/>
          </w:p>
        </w:tc>
        <w:tc>
          <w:tcPr>
            <w:tcW w:w="0" w:type="auto"/>
            <w:tcBorders>
              <w:top w:val="nil"/>
              <w:left w:val="nil"/>
              <w:bottom w:val="nil"/>
              <w:right w:val="nil"/>
            </w:tcBorders>
            <w:noWrap/>
            <w:tcMar>
              <w:top w:w="0" w:type="dxa"/>
              <w:left w:w="15" w:type="dxa"/>
              <w:bottom w:w="0" w:type="dxa"/>
              <w:right w:w="15" w:type="dxa"/>
            </w:tcMar>
            <w:vAlign w:val="bottom"/>
            <w:hideMark/>
          </w:tcPr>
          <w:p w14:paraId="324236BD"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-0.69</w:t>
            </w:r>
          </w:p>
        </w:tc>
        <w:tc>
          <w:tcPr>
            <w:tcW w:w="0" w:type="auto"/>
            <w:tcBorders>
              <w:top w:val="nil"/>
              <w:left w:val="nil"/>
              <w:bottom w:val="nil"/>
              <w:right w:val="nil"/>
            </w:tcBorders>
            <w:noWrap/>
            <w:tcMar>
              <w:top w:w="0" w:type="dxa"/>
              <w:left w:w="15" w:type="dxa"/>
              <w:bottom w:w="0" w:type="dxa"/>
              <w:right w:w="15" w:type="dxa"/>
            </w:tcMar>
            <w:vAlign w:val="bottom"/>
            <w:hideMark/>
          </w:tcPr>
          <w:p w14:paraId="313AC1A9"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0.13</w:t>
            </w:r>
          </w:p>
        </w:tc>
        <w:tc>
          <w:tcPr>
            <w:tcW w:w="0" w:type="auto"/>
            <w:tcBorders>
              <w:top w:val="nil"/>
              <w:left w:val="nil"/>
              <w:bottom w:val="nil"/>
              <w:right w:val="nil"/>
            </w:tcBorders>
            <w:noWrap/>
            <w:tcMar>
              <w:top w:w="0" w:type="dxa"/>
              <w:left w:w="15" w:type="dxa"/>
              <w:bottom w:w="0" w:type="dxa"/>
              <w:right w:w="15" w:type="dxa"/>
            </w:tcMar>
            <w:vAlign w:val="bottom"/>
            <w:hideMark/>
          </w:tcPr>
          <w:p w14:paraId="3624316F"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0.06</w:t>
            </w:r>
          </w:p>
        </w:tc>
      </w:tr>
      <w:tr w:rsidR="003B3309" w:rsidRPr="00960E84" w14:paraId="2F0694FB" w14:textId="77777777" w:rsidTr="003B3309">
        <w:trPr>
          <w:trHeight w:val="288"/>
        </w:trPr>
        <w:tc>
          <w:tcPr>
            <w:tcW w:w="0" w:type="auto"/>
            <w:tcBorders>
              <w:top w:val="nil"/>
              <w:left w:val="nil"/>
              <w:bottom w:val="nil"/>
              <w:right w:val="nil"/>
            </w:tcBorders>
            <w:noWrap/>
            <w:tcMar>
              <w:top w:w="0" w:type="dxa"/>
              <w:left w:w="15" w:type="dxa"/>
              <w:bottom w:w="0" w:type="dxa"/>
              <w:right w:w="15" w:type="dxa"/>
            </w:tcMar>
            <w:vAlign w:val="bottom"/>
            <w:hideMark/>
          </w:tcPr>
          <w:p w14:paraId="1CDA382D" w14:textId="77777777" w:rsidR="003B3309" w:rsidRPr="00960E84" w:rsidRDefault="003B3309" w:rsidP="003B3309">
            <w:pPr>
              <w:spacing w:line="276" w:lineRule="auto"/>
              <w:rPr>
                <w:rFonts w:ascii="Calibri" w:hAnsi="Calibri" w:cs="Calibri"/>
                <w:color w:val="000000"/>
              </w:rPr>
            </w:pPr>
            <w:proofErr w:type="spellStart"/>
            <w:r w:rsidRPr="00960E84">
              <w:rPr>
                <w:rFonts w:ascii="Calibri" w:hAnsi="Calibri" w:cs="Calibri"/>
                <w:color w:val="000000"/>
              </w:rPr>
              <w:t>Jaw.width</w:t>
            </w:r>
            <w:proofErr w:type="spellEnd"/>
          </w:p>
        </w:tc>
        <w:tc>
          <w:tcPr>
            <w:tcW w:w="0" w:type="auto"/>
            <w:tcBorders>
              <w:top w:val="nil"/>
              <w:left w:val="nil"/>
              <w:bottom w:val="nil"/>
              <w:right w:val="nil"/>
            </w:tcBorders>
            <w:noWrap/>
            <w:tcMar>
              <w:top w:w="0" w:type="dxa"/>
              <w:left w:w="15" w:type="dxa"/>
              <w:bottom w:w="0" w:type="dxa"/>
              <w:right w:w="15" w:type="dxa"/>
            </w:tcMar>
            <w:vAlign w:val="bottom"/>
            <w:hideMark/>
          </w:tcPr>
          <w:p w14:paraId="7AA9DBA7"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-0.32</w:t>
            </w:r>
          </w:p>
        </w:tc>
        <w:tc>
          <w:tcPr>
            <w:tcW w:w="0" w:type="auto"/>
            <w:tcBorders>
              <w:top w:val="nil"/>
              <w:left w:val="nil"/>
              <w:bottom w:val="nil"/>
              <w:right w:val="nil"/>
            </w:tcBorders>
            <w:noWrap/>
            <w:tcMar>
              <w:top w:w="0" w:type="dxa"/>
              <w:left w:w="15" w:type="dxa"/>
              <w:bottom w:w="0" w:type="dxa"/>
              <w:right w:w="15" w:type="dxa"/>
            </w:tcMar>
            <w:vAlign w:val="bottom"/>
            <w:hideMark/>
          </w:tcPr>
          <w:p w14:paraId="615C968B"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0.3</w:t>
            </w:r>
          </w:p>
        </w:tc>
        <w:tc>
          <w:tcPr>
            <w:tcW w:w="0" w:type="auto"/>
            <w:tcBorders>
              <w:top w:val="nil"/>
              <w:left w:val="nil"/>
              <w:bottom w:val="nil"/>
              <w:right w:val="nil"/>
            </w:tcBorders>
            <w:noWrap/>
            <w:tcMar>
              <w:top w:w="0" w:type="dxa"/>
              <w:left w:w="15" w:type="dxa"/>
              <w:bottom w:w="0" w:type="dxa"/>
              <w:right w:w="15" w:type="dxa"/>
            </w:tcMar>
            <w:vAlign w:val="bottom"/>
            <w:hideMark/>
          </w:tcPr>
          <w:p w14:paraId="38083C85"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0.18</w:t>
            </w:r>
          </w:p>
        </w:tc>
      </w:tr>
      <w:tr w:rsidR="003B3309" w:rsidRPr="00960E84" w14:paraId="32D55E02" w14:textId="77777777" w:rsidTr="003B3309">
        <w:trPr>
          <w:trHeight w:val="288"/>
        </w:trPr>
        <w:tc>
          <w:tcPr>
            <w:tcW w:w="0" w:type="auto"/>
            <w:tcBorders>
              <w:top w:val="nil"/>
              <w:left w:val="nil"/>
              <w:bottom w:val="nil"/>
              <w:right w:val="nil"/>
            </w:tcBorders>
            <w:noWrap/>
            <w:tcMar>
              <w:top w:w="0" w:type="dxa"/>
              <w:left w:w="15" w:type="dxa"/>
              <w:bottom w:w="0" w:type="dxa"/>
              <w:right w:w="15" w:type="dxa"/>
            </w:tcMar>
            <w:vAlign w:val="bottom"/>
            <w:hideMark/>
          </w:tcPr>
          <w:p w14:paraId="2A8E32C8" w14:textId="77777777" w:rsidR="003B3309" w:rsidRPr="00960E84" w:rsidRDefault="003B3309" w:rsidP="003B3309">
            <w:pPr>
              <w:spacing w:line="276" w:lineRule="auto"/>
              <w:rPr>
                <w:rFonts w:ascii="Calibri" w:hAnsi="Calibri" w:cs="Calibri"/>
                <w:color w:val="000000"/>
              </w:rPr>
            </w:pPr>
            <w:proofErr w:type="spellStart"/>
            <w:r w:rsidRPr="00960E84">
              <w:rPr>
                <w:rFonts w:ascii="Calibri" w:hAnsi="Calibri" w:cs="Calibri"/>
                <w:color w:val="000000"/>
              </w:rPr>
              <w:t>SagCrestH</w:t>
            </w:r>
            <w:proofErr w:type="spellEnd"/>
          </w:p>
        </w:tc>
        <w:tc>
          <w:tcPr>
            <w:tcW w:w="0" w:type="auto"/>
            <w:tcBorders>
              <w:top w:val="nil"/>
              <w:left w:val="nil"/>
              <w:bottom w:val="nil"/>
              <w:right w:val="nil"/>
            </w:tcBorders>
            <w:noWrap/>
            <w:tcMar>
              <w:top w:w="0" w:type="dxa"/>
              <w:left w:w="15" w:type="dxa"/>
              <w:bottom w:w="0" w:type="dxa"/>
              <w:right w:w="15" w:type="dxa"/>
            </w:tcMar>
            <w:vAlign w:val="bottom"/>
            <w:hideMark/>
          </w:tcPr>
          <w:p w14:paraId="2C3EF514"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0.61</w:t>
            </w:r>
          </w:p>
        </w:tc>
        <w:tc>
          <w:tcPr>
            <w:tcW w:w="0" w:type="auto"/>
            <w:tcBorders>
              <w:top w:val="nil"/>
              <w:left w:val="nil"/>
              <w:bottom w:val="nil"/>
              <w:right w:val="nil"/>
            </w:tcBorders>
            <w:noWrap/>
            <w:tcMar>
              <w:top w:w="0" w:type="dxa"/>
              <w:left w:w="15" w:type="dxa"/>
              <w:bottom w:w="0" w:type="dxa"/>
              <w:right w:w="15" w:type="dxa"/>
            </w:tcMar>
            <w:vAlign w:val="bottom"/>
            <w:hideMark/>
          </w:tcPr>
          <w:p w14:paraId="064CD29E"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-0.25</w:t>
            </w:r>
          </w:p>
        </w:tc>
        <w:tc>
          <w:tcPr>
            <w:tcW w:w="0" w:type="auto"/>
            <w:tcBorders>
              <w:top w:val="nil"/>
              <w:left w:val="nil"/>
              <w:bottom w:val="nil"/>
              <w:right w:val="nil"/>
            </w:tcBorders>
            <w:noWrap/>
            <w:tcMar>
              <w:top w:w="0" w:type="dxa"/>
              <w:left w:w="15" w:type="dxa"/>
              <w:bottom w:w="0" w:type="dxa"/>
              <w:right w:w="15" w:type="dxa"/>
            </w:tcMar>
            <w:vAlign w:val="bottom"/>
            <w:hideMark/>
          </w:tcPr>
          <w:p w14:paraId="4C389C6A"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0.39</w:t>
            </w:r>
          </w:p>
        </w:tc>
      </w:tr>
      <w:tr w:rsidR="003B3309" w:rsidRPr="00960E84" w14:paraId="23F29A21" w14:textId="77777777" w:rsidTr="003B3309">
        <w:trPr>
          <w:trHeight w:val="288"/>
        </w:trPr>
        <w:tc>
          <w:tcPr>
            <w:tcW w:w="0" w:type="auto"/>
            <w:tcBorders>
              <w:top w:val="nil"/>
              <w:left w:val="nil"/>
              <w:bottom w:val="nil"/>
              <w:right w:val="nil"/>
            </w:tcBorders>
            <w:noWrap/>
            <w:tcMar>
              <w:top w:w="0" w:type="dxa"/>
              <w:left w:w="15" w:type="dxa"/>
              <w:bottom w:w="0" w:type="dxa"/>
              <w:right w:w="15" w:type="dxa"/>
            </w:tcMar>
            <w:vAlign w:val="bottom"/>
            <w:hideMark/>
          </w:tcPr>
          <w:p w14:paraId="3E8441DA" w14:textId="77777777" w:rsidR="003B3309" w:rsidRPr="00960E84" w:rsidRDefault="003B3309" w:rsidP="003B3309">
            <w:pPr>
              <w:spacing w:line="276" w:lineRule="auto"/>
              <w:rPr>
                <w:rFonts w:ascii="Calibri" w:hAnsi="Calibri" w:cs="Calibri"/>
                <w:color w:val="000000"/>
              </w:rPr>
            </w:pPr>
            <w:proofErr w:type="spellStart"/>
            <w:r w:rsidRPr="00960E84">
              <w:rPr>
                <w:rFonts w:ascii="Calibri" w:hAnsi="Calibri" w:cs="Calibri"/>
                <w:color w:val="000000"/>
              </w:rPr>
              <w:t>OccOff</w:t>
            </w:r>
            <w:proofErr w:type="spellEnd"/>
          </w:p>
        </w:tc>
        <w:tc>
          <w:tcPr>
            <w:tcW w:w="0" w:type="auto"/>
            <w:tcBorders>
              <w:top w:val="nil"/>
              <w:left w:val="nil"/>
              <w:bottom w:val="nil"/>
              <w:right w:val="nil"/>
            </w:tcBorders>
            <w:noWrap/>
            <w:tcMar>
              <w:top w:w="0" w:type="dxa"/>
              <w:left w:w="15" w:type="dxa"/>
              <w:bottom w:w="0" w:type="dxa"/>
              <w:right w:w="15" w:type="dxa"/>
            </w:tcMar>
            <w:vAlign w:val="bottom"/>
            <w:hideMark/>
          </w:tcPr>
          <w:p w14:paraId="72DF1AD7"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0.44</w:t>
            </w:r>
          </w:p>
        </w:tc>
        <w:tc>
          <w:tcPr>
            <w:tcW w:w="0" w:type="auto"/>
            <w:tcBorders>
              <w:top w:val="nil"/>
              <w:left w:val="nil"/>
              <w:bottom w:val="nil"/>
              <w:right w:val="nil"/>
            </w:tcBorders>
            <w:noWrap/>
            <w:tcMar>
              <w:top w:w="0" w:type="dxa"/>
              <w:left w:w="15" w:type="dxa"/>
              <w:bottom w:w="0" w:type="dxa"/>
              <w:right w:w="15" w:type="dxa"/>
            </w:tcMar>
            <w:vAlign w:val="bottom"/>
            <w:hideMark/>
          </w:tcPr>
          <w:p w14:paraId="7415915B"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0.49</w:t>
            </w:r>
          </w:p>
        </w:tc>
        <w:tc>
          <w:tcPr>
            <w:tcW w:w="0" w:type="auto"/>
            <w:tcBorders>
              <w:top w:val="nil"/>
              <w:left w:val="nil"/>
              <w:bottom w:val="nil"/>
              <w:right w:val="nil"/>
            </w:tcBorders>
            <w:noWrap/>
            <w:tcMar>
              <w:top w:w="0" w:type="dxa"/>
              <w:left w:w="15" w:type="dxa"/>
              <w:bottom w:w="0" w:type="dxa"/>
              <w:right w:w="15" w:type="dxa"/>
            </w:tcMar>
            <w:vAlign w:val="bottom"/>
            <w:hideMark/>
          </w:tcPr>
          <w:p w14:paraId="7A763595"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-0.31</w:t>
            </w:r>
          </w:p>
        </w:tc>
      </w:tr>
      <w:tr w:rsidR="003B3309" w:rsidRPr="00960E84" w14:paraId="7F923213" w14:textId="77777777" w:rsidTr="003B3309">
        <w:trPr>
          <w:trHeight w:val="288"/>
        </w:trPr>
        <w:tc>
          <w:tcPr>
            <w:tcW w:w="0" w:type="auto"/>
            <w:tcBorders>
              <w:top w:val="nil"/>
              <w:left w:val="nil"/>
              <w:bottom w:val="nil"/>
              <w:right w:val="nil"/>
            </w:tcBorders>
            <w:noWrap/>
            <w:tcMar>
              <w:top w:w="0" w:type="dxa"/>
              <w:left w:w="15" w:type="dxa"/>
              <w:bottom w:w="0" w:type="dxa"/>
              <w:right w:w="15" w:type="dxa"/>
            </w:tcMar>
            <w:vAlign w:val="bottom"/>
            <w:hideMark/>
          </w:tcPr>
          <w:p w14:paraId="2D0FA75A" w14:textId="77777777" w:rsidR="003B3309" w:rsidRPr="00960E84" w:rsidRDefault="003B3309" w:rsidP="003B3309">
            <w:pPr>
              <w:spacing w:line="276" w:lineRule="auto"/>
              <w:rPr>
                <w:rFonts w:ascii="Calibri" w:hAnsi="Calibri" w:cs="Calibri"/>
                <w:color w:val="000000"/>
              </w:rPr>
            </w:pPr>
            <w:proofErr w:type="spellStart"/>
            <w:r w:rsidRPr="00960E84">
              <w:rPr>
                <w:rFonts w:ascii="Calibri" w:hAnsi="Calibri" w:cs="Calibri"/>
                <w:color w:val="000000"/>
              </w:rPr>
              <w:t>ShearQuo</w:t>
            </w:r>
            <w:proofErr w:type="spellEnd"/>
          </w:p>
        </w:tc>
        <w:tc>
          <w:tcPr>
            <w:tcW w:w="0" w:type="auto"/>
            <w:tcBorders>
              <w:top w:val="nil"/>
              <w:left w:val="nil"/>
              <w:bottom w:val="nil"/>
              <w:right w:val="nil"/>
            </w:tcBorders>
            <w:noWrap/>
            <w:tcMar>
              <w:top w:w="0" w:type="dxa"/>
              <w:left w:w="15" w:type="dxa"/>
              <w:bottom w:w="0" w:type="dxa"/>
              <w:right w:w="15" w:type="dxa"/>
            </w:tcMar>
            <w:vAlign w:val="bottom"/>
            <w:hideMark/>
          </w:tcPr>
          <w:p w14:paraId="4C93E67C"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0.81</w:t>
            </w:r>
          </w:p>
        </w:tc>
        <w:tc>
          <w:tcPr>
            <w:tcW w:w="0" w:type="auto"/>
            <w:tcBorders>
              <w:top w:val="nil"/>
              <w:left w:val="nil"/>
              <w:bottom w:val="nil"/>
              <w:right w:val="nil"/>
            </w:tcBorders>
            <w:noWrap/>
            <w:tcMar>
              <w:top w:w="0" w:type="dxa"/>
              <w:left w:w="15" w:type="dxa"/>
              <w:bottom w:w="0" w:type="dxa"/>
              <w:right w:w="15" w:type="dxa"/>
            </w:tcMar>
            <w:vAlign w:val="bottom"/>
            <w:hideMark/>
          </w:tcPr>
          <w:p w14:paraId="60FE0520"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-0.1</w:t>
            </w:r>
          </w:p>
        </w:tc>
        <w:tc>
          <w:tcPr>
            <w:tcW w:w="0" w:type="auto"/>
            <w:tcBorders>
              <w:top w:val="nil"/>
              <w:left w:val="nil"/>
              <w:bottom w:val="nil"/>
              <w:right w:val="nil"/>
            </w:tcBorders>
            <w:noWrap/>
            <w:tcMar>
              <w:top w:w="0" w:type="dxa"/>
              <w:left w:w="15" w:type="dxa"/>
              <w:bottom w:w="0" w:type="dxa"/>
              <w:right w:w="15" w:type="dxa"/>
            </w:tcMar>
            <w:vAlign w:val="bottom"/>
            <w:hideMark/>
          </w:tcPr>
          <w:p w14:paraId="0C1793EA"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-0.05</w:t>
            </w:r>
          </w:p>
        </w:tc>
      </w:tr>
      <w:tr w:rsidR="003B3309" w:rsidRPr="00960E84" w14:paraId="43A4E6F9" w14:textId="77777777" w:rsidTr="003B3309">
        <w:trPr>
          <w:trHeight w:val="288"/>
        </w:trPr>
        <w:tc>
          <w:tcPr>
            <w:tcW w:w="0" w:type="auto"/>
            <w:tcBorders>
              <w:top w:val="nil"/>
              <w:left w:val="nil"/>
              <w:bottom w:val="nil"/>
              <w:right w:val="nil"/>
            </w:tcBorders>
            <w:noWrap/>
            <w:tcMar>
              <w:top w:w="0" w:type="dxa"/>
              <w:left w:w="15" w:type="dxa"/>
              <w:bottom w:w="0" w:type="dxa"/>
              <w:right w:w="15" w:type="dxa"/>
            </w:tcMar>
            <w:vAlign w:val="bottom"/>
            <w:hideMark/>
          </w:tcPr>
          <w:p w14:paraId="2697FA57" w14:textId="77777777" w:rsidR="003B3309" w:rsidRPr="00960E84" w:rsidRDefault="003B3309" w:rsidP="003B3309">
            <w:pPr>
              <w:spacing w:line="276" w:lineRule="auto"/>
              <w:rPr>
                <w:rFonts w:ascii="Calibri" w:hAnsi="Calibri" w:cs="Calibri"/>
                <w:color w:val="000000"/>
              </w:rPr>
            </w:pPr>
            <w:proofErr w:type="spellStart"/>
            <w:r w:rsidRPr="00960E84">
              <w:rPr>
                <w:rFonts w:ascii="Calibri" w:hAnsi="Calibri" w:cs="Calibri"/>
                <w:color w:val="000000"/>
              </w:rPr>
              <w:t>InclAngle</w:t>
            </w:r>
            <w:proofErr w:type="spellEnd"/>
          </w:p>
        </w:tc>
        <w:tc>
          <w:tcPr>
            <w:tcW w:w="0" w:type="auto"/>
            <w:tcBorders>
              <w:top w:val="nil"/>
              <w:left w:val="nil"/>
              <w:bottom w:val="nil"/>
              <w:right w:val="nil"/>
            </w:tcBorders>
            <w:noWrap/>
            <w:tcMar>
              <w:top w:w="0" w:type="dxa"/>
              <w:left w:w="15" w:type="dxa"/>
              <w:bottom w:w="0" w:type="dxa"/>
              <w:right w:w="15" w:type="dxa"/>
            </w:tcMar>
            <w:vAlign w:val="bottom"/>
            <w:hideMark/>
          </w:tcPr>
          <w:p w14:paraId="2F6BA3C3"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0.05</w:t>
            </w:r>
          </w:p>
        </w:tc>
        <w:tc>
          <w:tcPr>
            <w:tcW w:w="0" w:type="auto"/>
            <w:tcBorders>
              <w:top w:val="nil"/>
              <w:left w:val="nil"/>
              <w:bottom w:val="nil"/>
              <w:right w:val="nil"/>
            </w:tcBorders>
            <w:noWrap/>
            <w:tcMar>
              <w:top w:w="0" w:type="dxa"/>
              <w:left w:w="15" w:type="dxa"/>
              <w:bottom w:w="0" w:type="dxa"/>
              <w:right w:w="15" w:type="dxa"/>
            </w:tcMar>
            <w:vAlign w:val="bottom"/>
            <w:hideMark/>
          </w:tcPr>
          <w:p w14:paraId="4F76469B"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0.52</w:t>
            </w:r>
          </w:p>
        </w:tc>
        <w:tc>
          <w:tcPr>
            <w:tcW w:w="0" w:type="auto"/>
            <w:tcBorders>
              <w:top w:val="nil"/>
              <w:left w:val="nil"/>
              <w:bottom w:val="nil"/>
              <w:right w:val="nil"/>
            </w:tcBorders>
            <w:noWrap/>
            <w:tcMar>
              <w:top w:w="0" w:type="dxa"/>
              <w:left w:w="15" w:type="dxa"/>
              <w:bottom w:w="0" w:type="dxa"/>
              <w:right w:w="15" w:type="dxa"/>
            </w:tcMar>
            <w:vAlign w:val="bottom"/>
            <w:hideMark/>
          </w:tcPr>
          <w:p w14:paraId="077F8F30"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-0.27</w:t>
            </w:r>
          </w:p>
        </w:tc>
      </w:tr>
      <w:tr w:rsidR="003B3309" w:rsidRPr="00960E84" w14:paraId="0EDE38D6" w14:textId="77777777" w:rsidTr="003B3309">
        <w:trPr>
          <w:trHeight w:val="288"/>
        </w:trPr>
        <w:tc>
          <w:tcPr>
            <w:tcW w:w="0" w:type="auto"/>
            <w:tcBorders>
              <w:top w:val="nil"/>
              <w:left w:val="nil"/>
              <w:bottom w:val="nil"/>
              <w:right w:val="nil"/>
            </w:tcBorders>
            <w:noWrap/>
            <w:tcMar>
              <w:top w:w="0" w:type="dxa"/>
              <w:left w:w="15" w:type="dxa"/>
              <w:bottom w:w="0" w:type="dxa"/>
              <w:right w:w="15" w:type="dxa"/>
            </w:tcMar>
            <w:vAlign w:val="bottom"/>
            <w:hideMark/>
          </w:tcPr>
          <w:p w14:paraId="283DC3B0" w14:textId="77777777" w:rsidR="003B3309" w:rsidRPr="00960E84" w:rsidRDefault="003B3309" w:rsidP="003B3309">
            <w:pPr>
              <w:spacing w:line="276" w:lineRule="auto"/>
              <w:rPr>
                <w:rFonts w:ascii="Calibri" w:hAnsi="Calibri" w:cs="Calibri"/>
                <w:color w:val="000000"/>
              </w:rPr>
            </w:pPr>
            <w:r w:rsidRPr="00960E84">
              <w:rPr>
                <w:rFonts w:ascii="Calibri" w:hAnsi="Calibri" w:cs="Calibri"/>
                <w:color w:val="000000"/>
              </w:rPr>
              <w:t>Tooth.AR</w:t>
            </w:r>
          </w:p>
        </w:tc>
        <w:tc>
          <w:tcPr>
            <w:tcW w:w="0" w:type="auto"/>
            <w:tcBorders>
              <w:top w:val="nil"/>
              <w:left w:val="nil"/>
              <w:bottom w:val="nil"/>
              <w:right w:val="nil"/>
            </w:tcBorders>
            <w:noWrap/>
            <w:tcMar>
              <w:top w:w="0" w:type="dxa"/>
              <w:left w:w="15" w:type="dxa"/>
              <w:bottom w:w="0" w:type="dxa"/>
              <w:right w:w="15" w:type="dxa"/>
            </w:tcMar>
            <w:vAlign w:val="bottom"/>
            <w:hideMark/>
          </w:tcPr>
          <w:p w14:paraId="6488F99F"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0.29</w:t>
            </w:r>
          </w:p>
        </w:tc>
        <w:tc>
          <w:tcPr>
            <w:tcW w:w="0" w:type="auto"/>
            <w:tcBorders>
              <w:top w:val="nil"/>
              <w:left w:val="nil"/>
              <w:bottom w:val="nil"/>
              <w:right w:val="nil"/>
            </w:tcBorders>
            <w:noWrap/>
            <w:tcMar>
              <w:top w:w="0" w:type="dxa"/>
              <w:left w:w="15" w:type="dxa"/>
              <w:bottom w:w="0" w:type="dxa"/>
              <w:right w:w="15" w:type="dxa"/>
            </w:tcMar>
            <w:vAlign w:val="bottom"/>
            <w:hideMark/>
          </w:tcPr>
          <w:p w14:paraId="75DD3BEC"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0.43</w:t>
            </w:r>
          </w:p>
        </w:tc>
        <w:tc>
          <w:tcPr>
            <w:tcW w:w="0" w:type="auto"/>
            <w:tcBorders>
              <w:top w:val="nil"/>
              <w:left w:val="nil"/>
              <w:bottom w:val="nil"/>
              <w:right w:val="nil"/>
            </w:tcBorders>
            <w:noWrap/>
            <w:tcMar>
              <w:top w:w="0" w:type="dxa"/>
              <w:left w:w="15" w:type="dxa"/>
              <w:bottom w:w="0" w:type="dxa"/>
              <w:right w:w="15" w:type="dxa"/>
            </w:tcMar>
            <w:vAlign w:val="bottom"/>
            <w:hideMark/>
          </w:tcPr>
          <w:p w14:paraId="4350D3E8" w14:textId="77777777" w:rsidR="003B3309" w:rsidRPr="00960E84" w:rsidRDefault="003B3309" w:rsidP="003B3309">
            <w:pPr>
              <w:spacing w:line="276" w:lineRule="auto"/>
              <w:jc w:val="right"/>
              <w:rPr>
                <w:rFonts w:ascii="Calibri" w:hAnsi="Calibri" w:cs="Calibri"/>
                <w:color w:val="000000"/>
              </w:rPr>
            </w:pPr>
            <w:r w:rsidRPr="00960E84">
              <w:rPr>
                <w:rFonts w:ascii="Calibri" w:hAnsi="Calibri" w:cs="Calibri"/>
                <w:color w:val="000000"/>
              </w:rPr>
              <w:t>-0.49</w:t>
            </w:r>
          </w:p>
        </w:tc>
      </w:tr>
    </w:tbl>
    <w:p w14:paraId="7E371D24" w14:textId="77777777" w:rsidR="003B3309" w:rsidRDefault="003B3309" w:rsidP="003B3309">
      <w:pPr>
        <w:spacing w:line="276" w:lineRule="auto"/>
      </w:pPr>
    </w:p>
    <w:p w14:paraId="2365DF26" w14:textId="77777777" w:rsidR="003B3309" w:rsidRPr="002804AE" w:rsidRDefault="003B3309" w:rsidP="003B3309">
      <w:pPr>
        <w:spacing w:line="276" w:lineRule="auto"/>
      </w:pPr>
    </w:p>
    <w:p w14:paraId="162E6C08" w14:textId="77777777" w:rsidR="003B3309" w:rsidRPr="002804AE" w:rsidRDefault="003B3309" w:rsidP="003B3309">
      <w:pPr>
        <w:spacing w:line="276" w:lineRule="auto"/>
      </w:pPr>
      <w:r w:rsidRPr="002804AE">
        <w:rPr>
          <w:noProof/>
        </w:rPr>
        <w:drawing>
          <wp:inline distT="0" distB="0" distL="0" distR="0" wp14:anchorId="087D7EA6" wp14:editId="517051B0">
            <wp:extent cx="5943600" cy="2431415"/>
            <wp:effectExtent l="0" t="0" r="0" b="0"/>
            <wp:docPr id="1" name="Picture 1" descr="A picture containing indoor, cake, sitt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943600" cy="2431415"/>
                    </a:xfrm>
                    <a:prstGeom prst="rect">
                      <a:avLst/>
                    </a:prstGeom>
                  </pic:spPr>
                </pic:pic>
              </a:graphicData>
            </a:graphic>
          </wp:inline>
        </w:drawing>
      </w:r>
    </w:p>
    <w:p w14:paraId="785255DD" w14:textId="58C9FD12" w:rsidR="005B4BF6" w:rsidRDefault="003B3309" w:rsidP="003B3309">
      <w:pPr>
        <w:spacing w:line="276" w:lineRule="auto"/>
      </w:pPr>
      <w:r w:rsidRPr="002804AE">
        <w:t xml:space="preserve">Figure 1. </w:t>
      </w:r>
      <w:r>
        <w:t>Anatomical schematic outlining the functional morphometrics measured along the lower jaw and associated dentition.</w:t>
      </w:r>
      <w:r w:rsidR="005B4BF6">
        <w:t xml:space="preserve"> Open in lever is the Opening in-lever (jaw joint to insertion of </w:t>
      </w:r>
      <w:proofErr w:type="spellStart"/>
      <w:r w:rsidR="005B4BF6">
        <w:t>sternohyoideus</w:t>
      </w:r>
      <w:proofErr w:type="spellEnd"/>
      <w:r w:rsidR="005B4BF6">
        <w:t>. Close in-lever is the closing in lever (</w:t>
      </w:r>
      <w:r w:rsidR="005B4BF6">
        <w:rPr>
          <w:bCs/>
          <w:iCs/>
        </w:rPr>
        <w:t xml:space="preserve">jaw joint to the </w:t>
      </w:r>
      <w:r w:rsidR="005B4BF6" w:rsidRPr="002804AE">
        <w:rPr>
          <w:bCs/>
          <w:iCs/>
        </w:rPr>
        <w:t>insertion of</w:t>
      </w:r>
      <w:r w:rsidR="005B4BF6">
        <w:rPr>
          <w:bCs/>
          <w:iCs/>
        </w:rPr>
        <w:t xml:space="preserve"> </w:t>
      </w:r>
      <w:r w:rsidR="005B4BF6" w:rsidRPr="002804AE">
        <w:rPr>
          <w:bCs/>
          <w:iCs/>
        </w:rPr>
        <w:t>the jaw adductors</w:t>
      </w:r>
      <w:r w:rsidR="005B4BF6">
        <w:t>). Ant. Out Lever is the anterior out-lever (jaw joint to base of first tooth). Pos. Out Lever is the posterior out-lever (</w:t>
      </w:r>
      <w:r w:rsidR="005B4BF6" w:rsidRPr="00783EC4">
        <w:rPr>
          <w:bCs/>
          <w:iCs/>
        </w:rPr>
        <w:t>jaw joint to base of rear-most tooth</w:t>
      </w:r>
      <w:r w:rsidR="005B4BF6">
        <w:rPr>
          <w:bCs/>
          <w:iCs/>
        </w:rPr>
        <w:t xml:space="preserve">). Tn </w:t>
      </w:r>
      <w:proofErr w:type="spellStart"/>
      <w:r w:rsidR="005B4BF6">
        <w:rPr>
          <w:bCs/>
          <w:iCs/>
        </w:rPr>
        <w:t>CuspL</w:t>
      </w:r>
      <w:proofErr w:type="spellEnd"/>
      <w:r w:rsidR="005B4BF6">
        <w:rPr>
          <w:bCs/>
          <w:iCs/>
        </w:rPr>
        <w:t xml:space="preserve"> is the cusp length of the n tooth.  </w:t>
      </w:r>
    </w:p>
    <w:p w14:paraId="1B21841E" w14:textId="77777777" w:rsidR="005B4BF6" w:rsidRDefault="005B4BF6" w:rsidP="003B3309">
      <w:pPr>
        <w:spacing w:line="276" w:lineRule="auto"/>
      </w:pPr>
    </w:p>
    <w:p w14:paraId="42BA43F0" w14:textId="77777777" w:rsidR="003B3309" w:rsidRDefault="003B3309" w:rsidP="003B3309">
      <w:pPr>
        <w:spacing w:line="276" w:lineRule="auto"/>
      </w:pPr>
      <w:r w:rsidRPr="002804AE">
        <w:rPr>
          <w:noProof/>
        </w:rPr>
        <w:lastRenderedPageBreak/>
        <w:drawing>
          <wp:inline distT="0" distB="0" distL="0" distR="0" wp14:anchorId="5CFAAD4B" wp14:editId="17D706B7">
            <wp:extent cx="5943600" cy="37592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43600" cy="3759200"/>
                    </a:xfrm>
                    <a:prstGeom prst="rect">
                      <a:avLst/>
                    </a:prstGeom>
                  </pic:spPr>
                </pic:pic>
              </a:graphicData>
            </a:graphic>
          </wp:inline>
        </w:drawing>
      </w:r>
    </w:p>
    <w:p w14:paraId="7ECD2F24" w14:textId="27330FEC" w:rsidR="003B3309" w:rsidRPr="002804AE" w:rsidRDefault="003B3309" w:rsidP="003B3309">
      <w:pPr>
        <w:spacing w:line="276" w:lineRule="auto"/>
      </w:pPr>
      <w:r>
        <w:t>Figure 2. Comparison of tooth aspect ratio (Tooth AR) across the different piranha diet groups. Piscivores were significantly different from omnivores (p =</w:t>
      </w:r>
      <w:r w:rsidR="00D73858">
        <w:t xml:space="preserve"> 0.002</w:t>
      </w:r>
      <w:r>
        <w:t xml:space="preserve">) and ectoparasites (p = </w:t>
      </w:r>
      <w:r w:rsidR="00D73858" w:rsidRPr="00D73858">
        <w:t>0.02</w:t>
      </w:r>
      <w:r w:rsidR="00D73858">
        <w:t>3</w:t>
      </w:r>
      <w:r>
        <w:t>).</w:t>
      </w:r>
    </w:p>
    <w:p w14:paraId="209679EE" w14:textId="77777777" w:rsidR="003B3309" w:rsidRDefault="003B3309" w:rsidP="003B3309">
      <w:pPr>
        <w:spacing w:line="276" w:lineRule="auto"/>
      </w:pPr>
      <w:r w:rsidRPr="002804AE">
        <w:rPr>
          <w:noProof/>
        </w:rPr>
        <w:drawing>
          <wp:inline distT="0" distB="0" distL="0" distR="0" wp14:anchorId="2F29669C" wp14:editId="62523720">
            <wp:extent cx="5943600" cy="3271520"/>
            <wp:effectExtent l="0" t="0" r="0" b="508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t="12973"/>
                    <a:stretch/>
                  </pic:blipFill>
                  <pic:spPr bwMode="auto">
                    <a:xfrm>
                      <a:off x="0" y="0"/>
                      <a:ext cx="5943600" cy="3271520"/>
                    </a:xfrm>
                    <a:prstGeom prst="rect">
                      <a:avLst/>
                    </a:prstGeom>
                    <a:ln>
                      <a:noFill/>
                    </a:ln>
                    <a:extLst>
                      <a:ext uri="{53640926-AAD7-44D8-BBD7-CCE9431645EC}">
                        <a14:shadowObscured xmlns:a14="http://schemas.microsoft.com/office/drawing/2010/main"/>
                      </a:ext>
                    </a:extLst>
                  </pic:spPr>
                </pic:pic>
              </a:graphicData>
            </a:graphic>
          </wp:inline>
        </w:drawing>
      </w:r>
    </w:p>
    <w:p w14:paraId="47D0710F" w14:textId="4BD2B3E8" w:rsidR="003B3309" w:rsidRDefault="003B3309" w:rsidP="003B3309">
      <w:pPr>
        <w:spacing w:line="276" w:lineRule="auto"/>
      </w:pPr>
      <w:r>
        <w:t xml:space="preserve">Figure 3. Comparison of the shearing quotient (serratedness of the dentition) across the different piranha diet groups. Piscivores were significantly different from omnivores (p = </w:t>
      </w:r>
      <w:r w:rsidR="00D73858">
        <w:t>0.028</w:t>
      </w:r>
      <w:r>
        <w:t>) and</w:t>
      </w:r>
      <w:r w:rsidR="00D73858">
        <w:t xml:space="preserve"> did not significantly differ from the</w:t>
      </w:r>
      <w:r>
        <w:t xml:space="preserve"> ectoparasites (p = </w:t>
      </w:r>
      <w:r w:rsidR="00D73858">
        <w:t>0.11</w:t>
      </w:r>
      <w:r>
        <w:t>).</w:t>
      </w:r>
    </w:p>
    <w:p w14:paraId="228E1EDF" w14:textId="77777777" w:rsidR="003B3309" w:rsidRDefault="003B3309" w:rsidP="003B3309">
      <w:pPr>
        <w:spacing w:line="276" w:lineRule="auto"/>
      </w:pPr>
    </w:p>
    <w:p w14:paraId="4143235C" w14:textId="77777777" w:rsidR="003B3309" w:rsidRPr="002804AE" w:rsidRDefault="003B3309" w:rsidP="003B3309">
      <w:pPr>
        <w:spacing w:line="276" w:lineRule="auto"/>
      </w:pPr>
    </w:p>
    <w:p w14:paraId="47B04BCD" w14:textId="77777777" w:rsidR="003B3309" w:rsidRDefault="003B3309" w:rsidP="003B3309">
      <w:pPr>
        <w:spacing w:line="276" w:lineRule="auto"/>
      </w:pPr>
      <w:r w:rsidRPr="002804AE">
        <w:rPr>
          <w:noProof/>
        </w:rPr>
        <w:drawing>
          <wp:inline distT="0" distB="0" distL="0" distR="0" wp14:anchorId="0719B945" wp14:editId="00E53C1A">
            <wp:extent cx="4838355" cy="3337560"/>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8591"/>
                    <a:stretch/>
                  </pic:blipFill>
                  <pic:spPr bwMode="auto">
                    <a:xfrm>
                      <a:off x="0" y="0"/>
                      <a:ext cx="4838636" cy="3337754"/>
                    </a:xfrm>
                    <a:prstGeom prst="rect">
                      <a:avLst/>
                    </a:prstGeom>
                    <a:ln>
                      <a:noFill/>
                    </a:ln>
                    <a:extLst>
                      <a:ext uri="{53640926-AAD7-44D8-BBD7-CCE9431645EC}">
                        <a14:shadowObscured xmlns:a14="http://schemas.microsoft.com/office/drawing/2010/main"/>
                      </a:ext>
                    </a:extLst>
                  </pic:spPr>
                </pic:pic>
              </a:graphicData>
            </a:graphic>
          </wp:inline>
        </w:drawing>
      </w:r>
    </w:p>
    <w:p w14:paraId="5158C6F9" w14:textId="77777777" w:rsidR="003B3309" w:rsidRDefault="003B3309" w:rsidP="003B3309">
      <w:pPr>
        <w:spacing w:line="276" w:lineRule="auto"/>
      </w:pPr>
      <w:r>
        <w:t xml:space="preserve">Figure 4. Phylogenetic tree of piranhas (Kolmann et al., </w:t>
      </w:r>
      <w:r w:rsidRPr="008C5F8A">
        <w:rPr>
          <w:i/>
          <w:iCs/>
        </w:rPr>
        <w:t>in review</w:t>
      </w:r>
      <w:r>
        <w:t>) overlain with diet transitions among piscivores, omnivores, and ectoparasites. There are at least four independent instances of fin- or scale- feeding across the five piranha genera.</w:t>
      </w:r>
    </w:p>
    <w:p w14:paraId="55D60D95" w14:textId="77777777" w:rsidR="003B3309" w:rsidRDefault="003B3309" w:rsidP="003B3309">
      <w:pPr>
        <w:spacing w:line="276" w:lineRule="auto"/>
      </w:pPr>
    </w:p>
    <w:p w14:paraId="0FD3DFC7" w14:textId="77777777" w:rsidR="003B3309" w:rsidRDefault="003B3309" w:rsidP="003B3309">
      <w:pPr>
        <w:spacing w:line="276" w:lineRule="auto"/>
      </w:pPr>
    </w:p>
    <w:p w14:paraId="4E3C962E" w14:textId="77777777" w:rsidR="003B3309" w:rsidRDefault="003B3309" w:rsidP="003B3309">
      <w:pPr>
        <w:spacing w:line="276" w:lineRule="auto"/>
      </w:pPr>
    </w:p>
    <w:p w14:paraId="055A4818" w14:textId="77777777" w:rsidR="003B3309" w:rsidRDefault="003B3309" w:rsidP="003B3309">
      <w:pPr>
        <w:spacing w:line="276" w:lineRule="auto"/>
      </w:pPr>
      <w:r>
        <w:rPr>
          <w:noProof/>
        </w:rPr>
        <w:lastRenderedPageBreak/>
        <mc:AlternateContent>
          <mc:Choice Requires="wps">
            <w:drawing>
              <wp:anchor distT="0" distB="0" distL="114300" distR="114300" simplePos="0" relativeHeight="251659264" behindDoc="0" locked="0" layoutInCell="1" allowOverlap="1" wp14:anchorId="753F4F1D" wp14:editId="18CB090B">
                <wp:simplePos x="0" y="0"/>
                <wp:positionH relativeFrom="column">
                  <wp:posOffset>302260</wp:posOffset>
                </wp:positionH>
                <wp:positionV relativeFrom="paragraph">
                  <wp:posOffset>1397000</wp:posOffset>
                </wp:positionV>
                <wp:extent cx="1031631" cy="433753"/>
                <wp:effectExtent l="0" t="0" r="0" b="0"/>
                <wp:wrapNone/>
                <wp:docPr id="33" name="Text Box 33"/>
                <wp:cNvGraphicFramePr/>
                <a:graphic xmlns:a="http://schemas.openxmlformats.org/drawingml/2006/main">
                  <a:graphicData uri="http://schemas.microsoft.com/office/word/2010/wordprocessingShape">
                    <wps:wsp>
                      <wps:cNvSpPr txBox="1"/>
                      <wps:spPr>
                        <a:xfrm>
                          <a:off x="0" y="0"/>
                          <a:ext cx="1031631" cy="433753"/>
                        </a:xfrm>
                        <a:prstGeom prst="rect">
                          <a:avLst/>
                        </a:prstGeom>
                        <a:solidFill>
                          <a:schemeClr val="lt1"/>
                        </a:solidFill>
                        <a:ln w="6350">
                          <a:noFill/>
                        </a:ln>
                      </wps:spPr>
                      <wps:txbx>
                        <w:txbxContent>
                          <w:p w14:paraId="71699761" w14:textId="77777777" w:rsidR="003B3309" w:rsidRPr="003525D4" w:rsidRDefault="003B3309" w:rsidP="003B3309">
                            <w:pPr>
                              <w:rPr>
                                <w:sz w:val="36"/>
                                <w:szCs w:val="36"/>
                              </w:rPr>
                            </w:pPr>
                            <w:r w:rsidRPr="003525D4">
                              <w:rPr>
                                <w:sz w:val="36"/>
                                <w:szCs w:val="3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53F4F1D" id="_x0000_t202" coordsize="21600,21600" o:spt="202" path="m,l,21600r21600,l21600,xe">
                <v:stroke joinstyle="miter"/>
                <v:path gradientshapeok="t" o:connecttype="rect"/>
              </v:shapetype>
              <v:shape id="Text Box 33" o:spid="_x0000_s1026" type="#_x0000_t202" style="position:absolute;margin-left:23.8pt;margin-top:110pt;width:81.25pt;height:34.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" fillcolor="white [3201]" stroked="f" strokeweight=".5pt">
                <v:textbox>
                  <w:txbxContent>
                    <w:p w14:paraId="71699761" w14:textId="77777777" w:rsidR="003B3309" w:rsidRPr="003525D4" w:rsidRDefault="003B3309" w:rsidP="003B3309">
                      <w:pPr>
                        <w:rPr>
                          <w:sz w:val="36"/>
                          <w:szCs w:val="36"/>
                        </w:rPr>
                      </w:pPr>
                      <w:r w:rsidRPr="003525D4">
                        <w:rPr>
                          <w:sz w:val="36"/>
                          <w:szCs w:val="36"/>
                        </w:rPr>
                        <w:t>A</w:t>
                      </w:r>
                    </w:p>
                  </w:txbxContent>
                </v:textbox>
              </v:shape>
            </w:pict>
          </mc:Fallback>
        </mc:AlternateContent>
      </w:r>
      <w:r w:rsidRPr="00477871">
        <w:rPr>
          <w:noProof/>
        </w:rPr>
        <w:drawing>
          <wp:inline distT="0" distB="0" distL="0" distR="0" wp14:anchorId="4026B39A" wp14:editId="27C4F529">
            <wp:extent cx="5943600" cy="3759200"/>
            <wp:effectExtent l="0" t="0" r="635" b="508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3759200"/>
                    </a:xfrm>
                    <a:prstGeom prst="rect">
                      <a:avLst/>
                    </a:prstGeom>
                  </pic:spPr>
                </pic:pic>
              </a:graphicData>
            </a:graphic>
          </wp:inline>
        </w:drawing>
      </w:r>
    </w:p>
    <w:p w14:paraId="738C6AFA" w14:textId="77777777" w:rsidR="003B3309" w:rsidRDefault="003B3309" w:rsidP="003B3309">
      <w:pPr>
        <w:spacing w:line="276" w:lineRule="auto"/>
      </w:pPr>
      <w:r>
        <w:rPr>
          <w:noProof/>
        </w:rPr>
        <mc:AlternateContent>
          <mc:Choice Requires="wps">
            <w:drawing>
              <wp:anchor distT="0" distB="0" distL="114300" distR="114300" simplePos="0" relativeHeight="251660288" behindDoc="0" locked="0" layoutInCell="1" allowOverlap="1" wp14:anchorId="49FDF40B" wp14:editId="2E883525">
                <wp:simplePos x="0" y="0"/>
                <wp:positionH relativeFrom="column">
                  <wp:posOffset>121920</wp:posOffset>
                </wp:positionH>
                <wp:positionV relativeFrom="paragraph">
                  <wp:posOffset>1335405</wp:posOffset>
                </wp:positionV>
                <wp:extent cx="1031631" cy="433753"/>
                <wp:effectExtent l="0" t="0" r="0" b="0"/>
                <wp:wrapNone/>
                <wp:docPr id="34" name="Text Box 34"/>
                <wp:cNvGraphicFramePr/>
                <a:graphic xmlns:a="http://schemas.openxmlformats.org/drawingml/2006/main">
                  <a:graphicData uri="http://schemas.microsoft.com/office/word/2010/wordprocessingShape">
                    <wps:wsp>
                      <wps:cNvSpPr txBox="1"/>
                      <wps:spPr>
                        <a:xfrm>
                          <a:off x="0" y="0"/>
                          <a:ext cx="1031631" cy="433753"/>
                        </a:xfrm>
                        <a:prstGeom prst="rect">
                          <a:avLst/>
                        </a:prstGeom>
                        <a:solidFill>
                          <a:schemeClr val="lt1"/>
                        </a:solidFill>
                        <a:ln w="6350">
                          <a:noFill/>
                        </a:ln>
                      </wps:spPr>
                      <wps:txbx>
                        <w:txbxContent>
                          <w:p w14:paraId="33B77625" w14:textId="77777777" w:rsidR="003B3309" w:rsidRPr="003525D4" w:rsidRDefault="003B3309" w:rsidP="003B3309">
                            <w:pPr>
                              <w:rPr>
                                <w:sz w:val="36"/>
                                <w:szCs w:val="36"/>
                              </w:rPr>
                            </w:pPr>
                            <w:r>
                              <w:rPr>
                                <w:sz w:val="36"/>
                                <w:szCs w:val="3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9FDF40B" id="Text Box 34" o:spid="_x0000_s1027" type="#_x0000_t202" style="position:absolute;margin-left:9.6pt;margin-top:105.15pt;width:81.25pt;height:34.1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" fillcolor="white [3201]" stroked="f" strokeweight=".5pt">
                <v:textbox>
                  <w:txbxContent>
                    <w:p w14:paraId="33B77625" w14:textId="77777777" w:rsidR="003B3309" w:rsidRPr="003525D4" w:rsidRDefault="003B3309" w:rsidP="003B3309">
                      <w:pPr>
                        <w:rPr>
                          <w:sz w:val="36"/>
                          <w:szCs w:val="36"/>
                        </w:rPr>
                      </w:pPr>
                      <w:r>
                        <w:rPr>
                          <w:sz w:val="36"/>
                          <w:szCs w:val="36"/>
                        </w:rPr>
                        <w:t>B</w:t>
                      </w:r>
                    </w:p>
                  </w:txbxContent>
                </v:textbox>
              </v:shape>
            </w:pict>
          </mc:Fallback>
        </mc:AlternateContent>
      </w:r>
      <w:r w:rsidRPr="00477871">
        <w:rPr>
          <w:noProof/>
        </w:rPr>
        <w:drawing>
          <wp:inline distT="0" distB="0" distL="0" distR="0" wp14:anchorId="3A6B9C8A" wp14:editId="4D613AA4">
            <wp:extent cx="5943600" cy="3790950"/>
            <wp:effectExtent l="0" t="0" r="0" b="635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3790950"/>
                    </a:xfrm>
                    <a:prstGeom prst="rect">
                      <a:avLst/>
                    </a:prstGeom>
                  </pic:spPr>
                </pic:pic>
              </a:graphicData>
            </a:graphic>
          </wp:inline>
        </w:drawing>
      </w:r>
    </w:p>
    <w:p w14:paraId="6CF0E3BE" w14:textId="77777777" w:rsidR="003B3309" w:rsidRDefault="003B3309" w:rsidP="003B3309">
      <w:pPr>
        <w:spacing w:line="276" w:lineRule="auto"/>
      </w:pPr>
      <w:r>
        <w:rPr>
          <w:noProof/>
        </w:rPr>
        <w:lastRenderedPageBreak/>
        <mc:AlternateContent>
          <mc:Choice Requires="wps">
            <w:drawing>
              <wp:anchor distT="0" distB="0" distL="114300" distR="114300" simplePos="0" relativeHeight="251661312" behindDoc="0" locked="0" layoutInCell="1" allowOverlap="1" wp14:anchorId="26137D9F" wp14:editId="54C700A5">
                <wp:simplePos x="0" y="0"/>
                <wp:positionH relativeFrom="margin">
                  <wp:posOffset>53340</wp:posOffset>
                </wp:positionH>
                <wp:positionV relativeFrom="paragraph">
                  <wp:posOffset>1455420</wp:posOffset>
                </wp:positionV>
                <wp:extent cx="1031631" cy="433753"/>
                <wp:effectExtent l="0" t="0" r="0" b="4445"/>
                <wp:wrapNone/>
                <wp:docPr id="36" name="Text Box 36"/>
                <wp:cNvGraphicFramePr/>
                <a:graphic xmlns:a="http://schemas.openxmlformats.org/drawingml/2006/main">
                  <a:graphicData uri="http://schemas.microsoft.com/office/word/2010/wordprocessingShape">
                    <wps:wsp>
                      <wps:cNvSpPr txBox="1"/>
                      <wps:spPr>
                        <a:xfrm>
                          <a:off x="0" y="0"/>
                          <a:ext cx="1031631" cy="433753"/>
                        </a:xfrm>
                        <a:prstGeom prst="rect">
                          <a:avLst/>
                        </a:prstGeom>
                        <a:solidFill>
                          <a:schemeClr val="lt1"/>
                        </a:solidFill>
                        <a:ln w="6350">
                          <a:noFill/>
                        </a:ln>
                      </wps:spPr>
                      <wps:txbx>
                        <w:txbxContent>
                          <w:p w14:paraId="43EAE773" w14:textId="77777777" w:rsidR="003B3309" w:rsidRPr="003525D4" w:rsidRDefault="003B3309" w:rsidP="003B3309">
                            <w:pPr>
                              <w:rPr>
                                <w:sz w:val="36"/>
                                <w:szCs w:val="36"/>
                              </w:rPr>
                            </w:pPr>
                            <w:r>
                              <w:rPr>
                                <w:sz w:val="36"/>
                                <w:szCs w:val="36"/>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137D9F" id="Text Box 36" o:spid="_x0000_s1028" type="#_x0000_t202" style="position:absolute;margin-left:4.2pt;margin-top:114.6pt;width:81.25pt;height:34.15pt;z-index:25166131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" fillcolor="white [3201]" stroked="f" strokeweight=".5pt">
                <v:textbox>
                  <w:txbxContent>
                    <w:p w14:paraId="43EAE773" w14:textId="77777777" w:rsidR="003B3309" w:rsidRPr="003525D4" w:rsidRDefault="003B3309" w:rsidP="003B3309">
                      <w:pPr>
                        <w:rPr>
                          <w:sz w:val="36"/>
                          <w:szCs w:val="36"/>
                        </w:rPr>
                      </w:pPr>
                      <w:r>
                        <w:rPr>
                          <w:sz w:val="36"/>
                          <w:szCs w:val="36"/>
                        </w:rPr>
                        <w:t>C</w:t>
                      </w:r>
                    </w:p>
                  </w:txbxContent>
                </v:textbox>
                <w10:wrap anchorx="margin"/>
              </v:shape>
            </w:pict>
          </mc:Fallback>
        </mc:AlternateContent>
      </w:r>
      <w:r w:rsidRPr="00477871">
        <w:rPr>
          <w:noProof/>
        </w:rPr>
        <w:drawing>
          <wp:inline distT="0" distB="0" distL="0" distR="0" wp14:anchorId="7170A982" wp14:editId="0A23CBD4">
            <wp:extent cx="5943600" cy="3790950"/>
            <wp:effectExtent l="0" t="0" r="0" b="63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3790950"/>
                    </a:xfrm>
                    <a:prstGeom prst="rect">
                      <a:avLst/>
                    </a:prstGeom>
                  </pic:spPr>
                </pic:pic>
              </a:graphicData>
            </a:graphic>
          </wp:inline>
        </w:drawing>
      </w:r>
    </w:p>
    <w:p w14:paraId="705DD1A7" w14:textId="77777777" w:rsidR="003B3309" w:rsidRPr="002804AE" w:rsidRDefault="003B3309" w:rsidP="003B3309">
      <w:pPr>
        <w:spacing w:line="276" w:lineRule="auto"/>
      </w:pPr>
      <w:r>
        <w:t xml:space="preserve">Figure 5. Continuous character state maps of % volume of prey items present in published gut content studies. A) </w:t>
      </w:r>
      <w:proofErr w:type="spellStart"/>
      <w:r>
        <w:t>omnivory</w:t>
      </w:r>
      <w:proofErr w:type="spellEnd"/>
      <w:r>
        <w:t xml:space="preserve">, B) </w:t>
      </w:r>
      <w:proofErr w:type="spellStart"/>
      <w:r>
        <w:t>ectoparasitism</w:t>
      </w:r>
      <w:proofErr w:type="spellEnd"/>
      <w:r>
        <w:t xml:space="preserve">, and C) </w:t>
      </w:r>
      <w:proofErr w:type="spellStart"/>
      <w:r>
        <w:t>piscivory</w:t>
      </w:r>
      <w:proofErr w:type="spellEnd"/>
      <w:r>
        <w:t xml:space="preserve">. </w:t>
      </w:r>
    </w:p>
    <w:p w14:paraId="5A40E795" w14:textId="77777777" w:rsidR="003B3309" w:rsidRDefault="003B3309" w:rsidP="003B3309">
      <w:pPr>
        <w:spacing w:line="276" w:lineRule="auto"/>
      </w:pPr>
      <w:r w:rsidRPr="002804AE">
        <w:rPr>
          <w:noProof/>
        </w:rPr>
        <w:drawing>
          <wp:inline distT="0" distB="0" distL="0" distR="0" wp14:anchorId="1A4F3133" wp14:editId="6B1F394E">
            <wp:extent cx="5943600" cy="3738873"/>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9679"/>
                    <a:stretch/>
                  </pic:blipFill>
                  <pic:spPr bwMode="auto">
                    <a:xfrm>
                      <a:off x="0" y="0"/>
                      <a:ext cx="5943600" cy="3738873"/>
                    </a:xfrm>
                    <a:prstGeom prst="rect">
                      <a:avLst/>
                    </a:prstGeom>
                    <a:ln>
                      <a:noFill/>
                    </a:ln>
                    <a:extLst>
                      <a:ext uri="{53640926-AAD7-44D8-BBD7-CCE9431645EC}">
                        <a14:shadowObscured xmlns:a14="http://schemas.microsoft.com/office/drawing/2010/main"/>
                      </a:ext>
                    </a:extLst>
                  </pic:spPr>
                </pic:pic>
              </a:graphicData>
            </a:graphic>
          </wp:inline>
        </w:drawing>
      </w:r>
    </w:p>
    <w:p w14:paraId="070118F9" w14:textId="2E340148" w:rsidR="003B3309" w:rsidRDefault="003B3309" w:rsidP="003B3309">
      <w:pPr>
        <w:spacing w:line="276" w:lineRule="auto"/>
      </w:pPr>
      <w:r>
        <w:lastRenderedPageBreak/>
        <w:t xml:space="preserve">Figure 6. Comparisons of maximum body size (SL) across different piranha diet groups. Piscivores were significantly different from omnivores (p = </w:t>
      </w:r>
      <w:r w:rsidR="00D73858">
        <w:t>0.092</w:t>
      </w:r>
      <w:r>
        <w:t xml:space="preserve">) and ectoparasites (p = </w:t>
      </w:r>
      <w:r w:rsidR="00D73858">
        <w:t>0.008</w:t>
      </w:r>
      <w:r>
        <w:t>).</w:t>
      </w:r>
    </w:p>
    <w:p w14:paraId="5027B3C4" w14:textId="77777777" w:rsidR="003B3309" w:rsidRPr="002804AE" w:rsidRDefault="003B3309" w:rsidP="003B3309">
      <w:pPr>
        <w:spacing w:line="276" w:lineRule="auto"/>
      </w:pPr>
    </w:p>
    <w:p w14:paraId="1E283F98" w14:textId="77777777" w:rsidR="003B3309" w:rsidRPr="002804AE" w:rsidRDefault="003B3309" w:rsidP="003B3309">
      <w:pPr>
        <w:spacing w:line="276" w:lineRule="auto"/>
      </w:pPr>
      <w:r w:rsidRPr="002804AE">
        <w:rPr>
          <w:noProof/>
        </w:rPr>
        <w:drawing>
          <wp:inline distT="0" distB="0" distL="0" distR="0" wp14:anchorId="27E665FD" wp14:editId="4CE3701A">
            <wp:extent cx="5943600" cy="3611880"/>
            <wp:effectExtent l="0" t="0" r="0" b="0"/>
            <wp:docPr id="22" name="Picture 22"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3611880"/>
                    </a:xfrm>
                    <a:prstGeom prst="rect">
                      <a:avLst/>
                    </a:prstGeom>
                  </pic:spPr>
                </pic:pic>
              </a:graphicData>
            </a:graphic>
          </wp:inline>
        </w:drawing>
      </w:r>
    </w:p>
    <w:p w14:paraId="091C7873" w14:textId="77777777" w:rsidR="003B3309" w:rsidRPr="002804AE" w:rsidRDefault="003B3309" w:rsidP="003B3309">
      <w:pPr>
        <w:spacing w:line="276" w:lineRule="auto"/>
      </w:pPr>
      <w:r>
        <w:t xml:space="preserve">Figure 7. </w:t>
      </w:r>
      <w:proofErr w:type="spellStart"/>
      <w:r>
        <w:t>Morphospace</w:t>
      </w:r>
      <w:proofErr w:type="spellEnd"/>
      <w:r>
        <w:t xml:space="preserve"> comparing the tree diet groups. Axis values described by Table 3. </w:t>
      </w:r>
    </w:p>
    <w:p w14:paraId="2445792B" w14:textId="77777777" w:rsidR="003B3309" w:rsidRDefault="003B3309" w:rsidP="003B3309">
      <w:pPr>
        <w:spacing w:line="276" w:lineRule="auto"/>
      </w:pPr>
      <w:r w:rsidRPr="0032723F">
        <w:rPr>
          <w:noProof/>
        </w:rPr>
        <w:lastRenderedPageBreak/>
        <w:drawing>
          <wp:inline distT="0" distB="0" distL="0" distR="0" wp14:anchorId="4C508371" wp14:editId="47CF5267">
            <wp:extent cx="5943600" cy="3972560"/>
            <wp:effectExtent l="0" t="0" r="0" b="2540"/>
            <wp:docPr id="28" name="Picture 28" descr="A picture containing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3972560"/>
                    </a:xfrm>
                    <a:prstGeom prst="rect">
                      <a:avLst/>
                    </a:prstGeom>
                  </pic:spPr>
                </pic:pic>
              </a:graphicData>
            </a:graphic>
          </wp:inline>
        </w:drawing>
      </w:r>
    </w:p>
    <w:p w14:paraId="1846329A" w14:textId="77777777" w:rsidR="003B3309" w:rsidRDefault="003B3309" w:rsidP="003B3309">
      <w:pPr>
        <w:spacing w:line="276" w:lineRule="auto"/>
      </w:pPr>
      <w:r>
        <w:t>Figure 8.</w:t>
      </w:r>
      <w:r w:rsidRPr="00314F55">
        <w:t xml:space="preserve"> </w:t>
      </w:r>
      <w:r>
        <w:t xml:space="preserve">Comparisons of the rate of morphological evolutionary change across different piranha diet groups. Asterisks represent where there is a significant difference among pairwise comparisons, i.e. between brackets.  </w:t>
      </w:r>
    </w:p>
    <w:p w14:paraId="580FF877" w14:textId="77777777" w:rsidR="003B3309" w:rsidRDefault="003B3309" w:rsidP="003B3309">
      <w:pPr>
        <w:spacing w:line="276" w:lineRule="auto"/>
      </w:pPr>
      <w:r>
        <w:br w:type="page"/>
      </w:r>
    </w:p>
    <w:p w14:paraId="77BBC1BF" w14:textId="77777777" w:rsidR="003B3309" w:rsidRDefault="003B3309" w:rsidP="003B3309">
      <w:pPr>
        <w:spacing w:line="276" w:lineRule="auto"/>
        <w:rPr>
          <w:b/>
          <w:bCs/>
        </w:rPr>
      </w:pPr>
      <w:r w:rsidRPr="002804AE">
        <w:rPr>
          <w:b/>
          <w:bCs/>
        </w:rPr>
        <w:lastRenderedPageBreak/>
        <w:t>References</w:t>
      </w:r>
    </w:p>
    <w:p w14:paraId="7904B864" w14:textId="77777777" w:rsidR="003B3309" w:rsidRPr="002804AE" w:rsidRDefault="003B3309" w:rsidP="003B3309">
      <w:pPr>
        <w:spacing w:line="276" w:lineRule="auto"/>
        <w:rPr>
          <w:b/>
          <w:bCs/>
        </w:rPr>
      </w:pPr>
    </w:p>
    <w:p w14:paraId="4522C5D8" w14:textId="77777777" w:rsidR="003B3309" w:rsidRPr="002804AE" w:rsidRDefault="003B3309" w:rsidP="003B3309">
      <w:pPr>
        <w:spacing w:line="276" w:lineRule="auto"/>
        <w:ind w:left="720" w:hanging="720"/>
      </w:pPr>
      <w:r w:rsidRPr="002804AE">
        <w:t>Anderson, P.S., 2009. Biomechanics, functional patterns, and disparity in Late Devonian arthrodires. Paleobiology, 35(3), pp.321-342.</w:t>
      </w:r>
    </w:p>
    <w:p w14:paraId="620CD080" w14:textId="0AB54FFE" w:rsidR="003B3309" w:rsidRDefault="003B3309" w:rsidP="003B3309">
      <w:pPr>
        <w:spacing w:line="276" w:lineRule="auto"/>
        <w:ind w:left="720" w:hanging="720"/>
      </w:pPr>
      <w:proofErr w:type="spellStart"/>
      <w:r w:rsidRPr="002804AE">
        <w:t>Arbour</w:t>
      </w:r>
      <w:proofErr w:type="spellEnd"/>
      <w:r w:rsidRPr="002804AE">
        <w:t>, J.H. and López-Fernández, H., 2013. Ecological variation in South American geophagine cichlids arose during an early burst of adaptive morphological and functional evolution. Proceedings of the Royal Society B: Biological Sciences, 280(1763), p.20130849.</w:t>
      </w:r>
    </w:p>
    <w:p w14:paraId="68CA782C" w14:textId="3C5EE3EE" w:rsidR="009F0AD9" w:rsidRDefault="009F0AD9" w:rsidP="009F0AD9">
      <w:pPr>
        <w:spacing w:line="276" w:lineRule="auto"/>
        <w:ind w:left="720" w:hanging="720"/>
      </w:pPr>
      <w:proofErr w:type="spellStart"/>
      <w:r w:rsidRPr="009F0AD9">
        <w:t>Betancur</w:t>
      </w:r>
      <w:proofErr w:type="spellEnd"/>
      <w:r w:rsidRPr="009F0AD9">
        <w:t xml:space="preserve">‐R., Ricardo, et al. “Phylogenomic Incongruence, Hypothesis Testing, and Taxonomic Sampling: The Monophyly of Characiform Fishes*.” </w:t>
      </w:r>
      <w:r w:rsidRPr="009F0AD9">
        <w:rPr>
          <w:i/>
          <w:iCs/>
        </w:rPr>
        <w:t>Evolution</w:t>
      </w:r>
      <w:r w:rsidRPr="009F0AD9">
        <w:t xml:space="preserve">, vol. 73, no. 2, Feb. 2019, pp. 329–45. </w:t>
      </w:r>
      <w:r w:rsidRPr="009F0AD9">
        <w:rPr>
          <w:i/>
          <w:iCs/>
        </w:rPr>
        <w:t>DOI.org (</w:t>
      </w:r>
      <w:proofErr w:type="spellStart"/>
      <w:r w:rsidRPr="009F0AD9">
        <w:rPr>
          <w:i/>
          <w:iCs/>
        </w:rPr>
        <w:t>Crossref</w:t>
      </w:r>
      <w:proofErr w:type="spellEnd"/>
      <w:r w:rsidRPr="009F0AD9">
        <w:rPr>
          <w:i/>
          <w:iCs/>
        </w:rPr>
        <w:t>)</w:t>
      </w:r>
      <w:r w:rsidRPr="009F0AD9">
        <w:t>, doi:</w:t>
      </w:r>
      <w:hyperlink r:id="rId15" w:history="1">
        <w:r w:rsidRPr="009F0AD9">
          <w:rPr>
            <w:rStyle w:val="Hyperlink"/>
          </w:rPr>
          <w:t>10.1111/evo.13649</w:t>
        </w:r>
      </w:hyperlink>
      <w:r w:rsidRPr="009F0AD9">
        <w:t>.</w:t>
      </w:r>
    </w:p>
    <w:p w14:paraId="20A7A0F5" w14:textId="77777777" w:rsidR="003B3309" w:rsidRPr="002804AE" w:rsidRDefault="003B3309" w:rsidP="003B3309">
      <w:pPr>
        <w:spacing w:line="276" w:lineRule="auto"/>
      </w:pPr>
      <w:r w:rsidRPr="00377CFD">
        <w:t xml:space="preserve">Birch, James M. </w:t>
      </w:r>
      <w:r w:rsidRPr="00377CFD">
        <w:rPr>
          <w:i/>
          <w:iCs/>
        </w:rPr>
        <w:t>Skull Allometry in the Marine Toad, Bufo Marinus</w:t>
      </w:r>
      <w:r w:rsidRPr="00377CFD">
        <w:t>. p. 12.</w:t>
      </w:r>
    </w:p>
    <w:p w14:paraId="59D6A467" w14:textId="77777777" w:rsidR="003B3309" w:rsidRPr="002804AE" w:rsidRDefault="003B3309" w:rsidP="003B3309">
      <w:pPr>
        <w:spacing w:line="276" w:lineRule="auto"/>
        <w:ind w:left="720" w:hanging="720"/>
      </w:pPr>
      <w:proofErr w:type="spellStart"/>
      <w:r w:rsidRPr="002804AE">
        <w:t>Bollback</w:t>
      </w:r>
      <w:proofErr w:type="spellEnd"/>
      <w:r w:rsidRPr="002804AE">
        <w:t>, J.P., 2006. SIMMAP: stochastic character mapping of discrete traits on phylogenies. BMC bioinformatics, 7(1), p.88.</w:t>
      </w:r>
    </w:p>
    <w:p w14:paraId="1A6DF59C" w14:textId="77777777" w:rsidR="003B3309" w:rsidRPr="002804AE" w:rsidRDefault="003B3309" w:rsidP="003B3309">
      <w:pPr>
        <w:spacing w:line="276" w:lineRule="auto"/>
        <w:ind w:left="720" w:hanging="720"/>
      </w:pPr>
      <w:proofErr w:type="spellStart"/>
      <w:r w:rsidRPr="002804AE">
        <w:t>Buser</w:t>
      </w:r>
      <w:proofErr w:type="spellEnd"/>
      <w:r w:rsidRPr="002804AE">
        <w:t xml:space="preserve">, T.J., Finnegan, D.L., Summers, A.P. and Kolmann, M.A., 2019. Have niche, will travel. New means of linking diet and </w:t>
      </w:r>
      <w:proofErr w:type="spellStart"/>
      <w:r w:rsidRPr="002804AE">
        <w:t>ecomorphology</w:t>
      </w:r>
      <w:proofErr w:type="spellEnd"/>
      <w:r w:rsidRPr="002804AE">
        <w:t xml:space="preserve"> reveals niche conservatism in freshwater </w:t>
      </w:r>
      <w:proofErr w:type="spellStart"/>
      <w:r w:rsidRPr="002804AE">
        <w:t>cottoid</w:t>
      </w:r>
      <w:proofErr w:type="spellEnd"/>
      <w:r w:rsidRPr="002804AE">
        <w:t xml:space="preserve"> fishes. Integrative Organismal Biology, 1(1), </w:t>
      </w:r>
      <w:proofErr w:type="gramStart"/>
      <w:r w:rsidRPr="002804AE">
        <w:t>p.obz</w:t>
      </w:r>
      <w:proofErr w:type="gramEnd"/>
      <w:r w:rsidRPr="002804AE">
        <w:t>023.</w:t>
      </w:r>
    </w:p>
    <w:p w14:paraId="0774349F" w14:textId="77777777" w:rsidR="003B3309" w:rsidRDefault="003B3309" w:rsidP="003B3309">
      <w:pPr>
        <w:spacing w:line="276" w:lineRule="auto"/>
        <w:ind w:left="720" w:hanging="720"/>
      </w:pPr>
      <w:proofErr w:type="spellStart"/>
      <w:r w:rsidRPr="002804AE">
        <w:t>Buser</w:t>
      </w:r>
      <w:proofErr w:type="spellEnd"/>
      <w:r w:rsidRPr="002804AE">
        <w:t xml:space="preserve">, T.J., Boyd, O.F., Cortés, Á., Donatelli, C.M., Kolmann, M.A., </w:t>
      </w:r>
      <w:proofErr w:type="spellStart"/>
      <w:r w:rsidRPr="002804AE">
        <w:t>Luparell</w:t>
      </w:r>
      <w:proofErr w:type="spellEnd"/>
      <w:r w:rsidRPr="002804AE">
        <w:t xml:space="preserve">, J.L., Pfeiffenberger, J.A., </w:t>
      </w:r>
      <w:proofErr w:type="spellStart"/>
      <w:r w:rsidRPr="002804AE">
        <w:t>Sidlauskas</w:t>
      </w:r>
      <w:proofErr w:type="spellEnd"/>
      <w:r w:rsidRPr="002804AE">
        <w:t>, B.L. and Summers, A.P., 2020. The natural historian’s guide to the CT galaxy: step-by-step instructions for preparing and analyzing computed tomographic (CT) data using cross-platform, open access software. Integrative Organismal Biology.</w:t>
      </w:r>
    </w:p>
    <w:p w14:paraId="10136E2A" w14:textId="77777777" w:rsidR="003B3309" w:rsidRDefault="003B3309" w:rsidP="003B3309">
      <w:pPr>
        <w:spacing w:line="276" w:lineRule="auto"/>
      </w:pPr>
      <w:r w:rsidRPr="00377CFD">
        <w:t xml:space="preserve">Camp, Ariel L., et al. “Swimming Muscles Power Suction Feeding in Largemouth Bass.” </w:t>
      </w:r>
    </w:p>
    <w:p w14:paraId="5475EFCA" w14:textId="534FDD0F" w:rsidR="003B3309" w:rsidRDefault="003B3309" w:rsidP="003B3309">
      <w:pPr>
        <w:spacing w:line="276" w:lineRule="auto"/>
        <w:ind w:left="720"/>
      </w:pPr>
      <w:r w:rsidRPr="00377CFD">
        <w:rPr>
          <w:i/>
          <w:iCs/>
        </w:rPr>
        <w:t>Proceedings of the National Academy of Sciences</w:t>
      </w:r>
      <w:r w:rsidRPr="00377CFD">
        <w:t xml:space="preserve">, vol. 112, no. 28, July 2015, pp. 8690–95. </w:t>
      </w:r>
      <w:r w:rsidRPr="00377CFD">
        <w:rPr>
          <w:i/>
          <w:iCs/>
        </w:rPr>
        <w:t>DOI.org (</w:t>
      </w:r>
      <w:proofErr w:type="spellStart"/>
      <w:r w:rsidRPr="00377CFD">
        <w:rPr>
          <w:i/>
          <w:iCs/>
        </w:rPr>
        <w:t>Crossref</w:t>
      </w:r>
      <w:proofErr w:type="spellEnd"/>
      <w:r w:rsidRPr="00377CFD">
        <w:rPr>
          <w:i/>
          <w:iCs/>
        </w:rPr>
        <w:t>)</w:t>
      </w:r>
      <w:r w:rsidRPr="00377CFD">
        <w:t>, doi:</w:t>
      </w:r>
      <w:hyperlink r:id="rId16" w:history="1">
        <w:r w:rsidRPr="00377CFD">
          <w:rPr>
            <w:color w:val="0000FF"/>
            <w:u w:val="single"/>
          </w:rPr>
          <w:t>10.1073/pnas.1508055112</w:t>
        </w:r>
      </w:hyperlink>
      <w:r>
        <w:t>.</w:t>
      </w:r>
    </w:p>
    <w:p w14:paraId="51076911" w14:textId="77777777" w:rsidR="00D77A6C" w:rsidRDefault="00D77A6C" w:rsidP="00D77A6C">
      <w:pPr>
        <w:spacing w:line="276" w:lineRule="auto"/>
      </w:pPr>
      <w:r w:rsidRPr="00D77A6C">
        <w:t xml:space="preserve">Collar, D.C., O'Meara, B.C., Wainwright, P.C. and Near, T.J., 2009. </w:t>
      </w:r>
      <w:proofErr w:type="spellStart"/>
      <w:r w:rsidRPr="00D77A6C">
        <w:t>Piscivory</w:t>
      </w:r>
      <w:proofErr w:type="spellEnd"/>
      <w:r w:rsidRPr="00D77A6C">
        <w:t xml:space="preserve"> limits </w:t>
      </w:r>
    </w:p>
    <w:p w14:paraId="28EBD56F" w14:textId="77777777" w:rsidR="00D77A6C" w:rsidRDefault="00D77A6C" w:rsidP="00D77A6C">
      <w:pPr>
        <w:spacing w:line="276" w:lineRule="auto"/>
        <w:ind w:firstLine="720"/>
        <w:rPr>
          <w:i/>
          <w:iCs/>
        </w:rPr>
      </w:pPr>
      <w:r w:rsidRPr="00D77A6C">
        <w:t>diversification of feeding morphology in centrarchid fishes. </w:t>
      </w:r>
      <w:r w:rsidRPr="00D77A6C">
        <w:rPr>
          <w:i/>
          <w:iCs/>
        </w:rPr>
        <w:t xml:space="preserve">Evolution: International </w:t>
      </w:r>
    </w:p>
    <w:p w14:paraId="39E074DF" w14:textId="24569701" w:rsidR="00D77A6C" w:rsidRDefault="00D77A6C" w:rsidP="00D77A6C">
      <w:pPr>
        <w:spacing w:line="276" w:lineRule="auto"/>
        <w:ind w:left="720"/>
      </w:pPr>
      <w:r w:rsidRPr="00D77A6C">
        <w:rPr>
          <w:i/>
          <w:iCs/>
        </w:rPr>
        <w:t>Journal of Organic Evolution</w:t>
      </w:r>
      <w:r w:rsidRPr="00D77A6C">
        <w:t>, </w:t>
      </w:r>
      <w:r w:rsidRPr="00D77A6C">
        <w:rPr>
          <w:i/>
          <w:iCs/>
        </w:rPr>
        <w:t>63</w:t>
      </w:r>
      <w:r w:rsidRPr="00D77A6C">
        <w:t>(6), pp.1557-1573.</w:t>
      </w:r>
    </w:p>
    <w:p w14:paraId="219A2EAF" w14:textId="77777777" w:rsidR="003B3309" w:rsidRDefault="003B3309" w:rsidP="003B3309">
      <w:pPr>
        <w:spacing w:line="276" w:lineRule="auto"/>
      </w:pPr>
      <w:r w:rsidRPr="003B3309">
        <w:t xml:space="preserve">Crofts, S., 2015. Finite element modeling of occlusal variation in </w:t>
      </w:r>
      <w:proofErr w:type="spellStart"/>
      <w:r w:rsidRPr="003B3309">
        <w:t>durophagous</w:t>
      </w:r>
      <w:proofErr w:type="spellEnd"/>
      <w:r w:rsidRPr="003B3309">
        <w:t xml:space="preserve"> tooth </w:t>
      </w:r>
    </w:p>
    <w:p w14:paraId="41416D13" w14:textId="32FDBF26" w:rsidR="003B3309" w:rsidRDefault="003B3309" w:rsidP="00215FD1">
      <w:pPr>
        <w:spacing w:line="276" w:lineRule="auto"/>
        <w:ind w:firstLine="720"/>
      </w:pPr>
      <w:r w:rsidRPr="003B3309">
        <w:t>systems. </w:t>
      </w:r>
      <w:r w:rsidRPr="003B3309">
        <w:rPr>
          <w:i/>
          <w:iCs/>
        </w:rPr>
        <w:t>Journal of Experimental Biology</w:t>
      </w:r>
      <w:r w:rsidRPr="003B3309">
        <w:t>, </w:t>
      </w:r>
      <w:r w:rsidRPr="003B3309">
        <w:rPr>
          <w:i/>
          <w:iCs/>
        </w:rPr>
        <w:t>218</w:t>
      </w:r>
      <w:r w:rsidRPr="003B3309">
        <w:t>(17), pp.2705-2711.</w:t>
      </w:r>
    </w:p>
    <w:p w14:paraId="19060111" w14:textId="77777777" w:rsidR="003B3309" w:rsidRDefault="003B3309" w:rsidP="003B3309">
      <w:pPr>
        <w:spacing w:line="276" w:lineRule="auto"/>
      </w:pPr>
      <w:r w:rsidRPr="003B3309">
        <w:t xml:space="preserve">Crofts, S.B. and Summers, A.P., 2014. How to best smash a snail: the effect of tooth shape on </w:t>
      </w:r>
    </w:p>
    <w:p w14:paraId="36B568B6" w14:textId="01368156" w:rsidR="003B3309" w:rsidRDefault="003B3309" w:rsidP="00215FD1">
      <w:pPr>
        <w:spacing w:line="276" w:lineRule="auto"/>
        <w:ind w:firstLine="720"/>
      </w:pPr>
      <w:r w:rsidRPr="003B3309">
        <w:t>crushing load. </w:t>
      </w:r>
      <w:r w:rsidRPr="003B3309">
        <w:rPr>
          <w:i/>
          <w:iCs/>
        </w:rPr>
        <w:t>Journal of the Royal Society Interface</w:t>
      </w:r>
      <w:r w:rsidRPr="003B3309">
        <w:t>, </w:t>
      </w:r>
      <w:r w:rsidRPr="003B3309">
        <w:rPr>
          <w:i/>
          <w:iCs/>
        </w:rPr>
        <w:t>11</w:t>
      </w:r>
      <w:r w:rsidRPr="003B3309">
        <w:t>(92), p.20131053.</w:t>
      </w:r>
    </w:p>
    <w:p w14:paraId="1CDEF3A3" w14:textId="77777777" w:rsidR="009F0AD9" w:rsidRDefault="009F0AD9" w:rsidP="009F0AD9">
      <w:pPr>
        <w:spacing w:line="276" w:lineRule="auto"/>
      </w:pPr>
      <w:r w:rsidRPr="009F0AD9">
        <w:t>Dwyer, Sarah. “Cookie Cutter Shark (</w:t>
      </w:r>
      <w:proofErr w:type="spellStart"/>
      <w:r w:rsidRPr="009F0AD9">
        <w:t>Isistius</w:t>
      </w:r>
      <w:proofErr w:type="spellEnd"/>
      <w:r w:rsidRPr="009F0AD9">
        <w:t xml:space="preserve"> Sp.) Bites on Cetaceans, with Particular Reference </w:t>
      </w:r>
    </w:p>
    <w:p w14:paraId="0D2813D8" w14:textId="77777777" w:rsidR="009F0AD9" w:rsidRDefault="009F0AD9" w:rsidP="009F0AD9">
      <w:pPr>
        <w:spacing w:line="276" w:lineRule="auto"/>
        <w:ind w:firstLine="720"/>
      </w:pPr>
      <w:r w:rsidRPr="009F0AD9">
        <w:t xml:space="preserve">to Killer Whales (Orca) (Orcinus Orca).” </w:t>
      </w:r>
      <w:r w:rsidRPr="009F0AD9">
        <w:rPr>
          <w:i/>
          <w:iCs/>
        </w:rPr>
        <w:t>Aquatic Mammals</w:t>
      </w:r>
      <w:r w:rsidRPr="009F0AD9">
        <w:t xml:space="preserve">, vol. 37, no. 2, June 2011, </w:t>
      </w:r>
    </w:p>
    <w:p w14:paraId="230C7D76" w14:textId="558E090E" w:rsidR="009F0AD9" w:rsidRDefault="009F0AD9" w:rsidP="009F0AD9">
      <w:pPr>
        <w:spacing w:line="276" w:lineRule="auto"/>
        <w:ind w:firstLine="720"/>
      </w:pPr>
      <w:r w:rsidRPr="009F0AD9">
        <w:t xml:space="preserve">pp. 111–38. </w:t>
      </w:r>
      <w:r w:rsidRPr="009F0AD9">
        <w:rPr>
          <w:i/>
          <w:iCs/>
        </w:rPr>
        <w:t>DOI.org (</w:t>
      </w:r>
      <w:proofErr w:type="spellStart"/>
      <w:r w:rsidRPr="009F0AD9">
        <w:rPr>
          <w:i/>
          <w:iCs/>
        </w:rPr>
        <w:t>Crossref</w:t>
      </w:r>
      <w:proofErr w:type="spellEnd"/>
      <w:r w:rsidRPr="009F0AD9">
        <w:rPr>
          <w:i/>
          <w:iCs/>
        </w:rPr>
        <w:t>)</w:t>
      </w:r>
      <w:r w:rsidRPr="009F0AD9">
        <w:t>, doi:</w:t>
      </w:r>
      <w:hyperlink r:id="rId17" w:history="1">
        <w:r w:rsidRPr="009F0AD9">
          <w:rPr>
            <w:rStyle w:val="Hyperlink"/>
          </w:rPr>
          <w:t>10.1578/AM.37.2.2011.111</w:t>
        </w:r>
      </w:hyperlink>
      <w:r w:rsidRPr="009F0AD9">
        <w:t>.</w:t>
      </w:r>
    </w:p>
    <w:p w14:paraId="4B7CEA81" w14:textId="77777777" w:rsidR="003B3309" w:rsidRDefault="003B3309" w:rsidP="003B3309">
      <w:pPr>
        <w:spacing w:line="276" w:lineRule="auto"/>
      </w:pPr>
      <w:r w:rsidRPr="00377CFD">
        <w:t xml:space="preserve">Fedorov, Andriy, et al. “3D Slicer as an Image Computing Platform for the Quantitative Imaging </w:t>
      </w:r>
    </w:p>
    <w:p w14:paraId="123D33B4" w14:textId="77777777" w:rsidR="003B3309" w:rsidRPr="00377CFD" w:rsidRDefault="003B3309" w:rsidP="003B3309">
      <w:pPr>
        <w:spacing w:line="276" w:lineRule="auto"/>
        <w:ind w:left="720"/>
      </w:pPr>
      <w:r w:rsidRPr="00377CFD">
        <w:t xml:space="preserve">Network.” </w:t>
      </w:r>
      <w:r w:rsidRPr="00377CFD">
        <w:rPr>
          <w:i/>
          <w:iCs/>
        </w:rPr>
        <w:t>Magnetic Resonance Imaging</w:t>
      </w:r>
      <w:r w:rsidRPr="00377CFD">
        <w:t xml:space="preserve">, vol. 30, no. 9, Nov. 2012, pp. 1323–41. </w:t>
      </w:r>
      <w:r w:rsidRPr="00377CFD">
        <w:rPr>
          <w:i/>
          <w:iCs/>
        </w:rPr>
        <w:t>PubMed Central</w:t>
      </w:r>
      <w:r w:rsidRPr="00377CFD">
        <w:t>, doi:</w:t>
      </w:r>
      <w:hyperlink r:id="rId18" w:history="1">
        <w:r w:rsidRPr="00377CFD">
          <w:rPr>
            <w:color w:val="0000FF"/>
            <w:u w:val="single"/>
          </w:rPr>
          <w:t>10.1016/j.mri.2012.05.001</w:t>
        </w:r>
      </w:hyperlink>
      <w:r w:rsidRPr="00377CFD">
        <w:t>.</w:t>
      </w:r>
    </w:p>
    <w:p w14:paraId="50F535E4" w14:textId="77777777" w:rsidR="003B3309" w:rsidRDefault="003B3309" w:rsidP="003B3309">
      <w:pPr>
        <w:spacing w:line="276" w:lineRule="auto"/>
      </w:pPr>
      <w:r w:rsidRPr="00377CFD">
        <w:t xml:space="preserve">Freeman, P. W., and C. A. </w:t>
      </w:r>
      <w:proofErr w:type="spellStart"/>
      <w:r w:rsidRPr="00377CFD">
        <w:t>Lemen</w:t>
      </w:r>
      <w:proofErr w:type="spellEnd"/>
      <w:r w:rsidRPr="00377CFD">
        <w:t xml:space="preserve">. “The Trade-off between Tooth Strength and Tooth </w:t>
      </w:r>
    </w:p>
    <w:p w14:paraId="6A2139D4" w14:textId="77777777" w:rsidR="003B3309" w:rsidRDefault="003B3309" w:rsidP="003B3309">
      <w:pPr>
        <w:spacing w:line="276" w:lineRule="auto"/>
        <w:ind w:firstLine="720"/>
      </w:pPr>
      <w:r w:rsidRPr="00377CFD">
        <w:t xml:space="preserve">Penetration: Predicting Optimal Shape of Canine Teeth.” </w:t>
      </w:r>
      <w:r w:rsidRPr="00377CFD">
        <w:rPr>
          <w:i/>
          <w:iCs/>
        </w:rPr>
        <w:t>Journal of Zoology</w:t>
      </w:r>
      <w:r w:rsidRPr="00377CFD">
        <w:t xml:space="preserve">, vol. 273, </w:t>
      </w:r>
    </w:p>
    <w:p w14:paraId="17B4573B" w14:textId="77777777" w:rsidR="003B3309" w:rsidRPr="00377CFD" w:rsidRDefault="003B3309" w:rsidP="003B3309">
      <w:pPr>
        <w:spacing w:line="276" w:lineRule="auto"/>
        <w:ind w:left="720"/>
      </w:pPr>
      <w:r w:rsidRPr="00377CFD">
        <w:lastRenderedPageBreak/>
        <w:t xml:space="preserve">no. 3, Nov. 2007, pp. 273–80. </w:t>
      </w:r>
      <w:r w:rsidRPr="00377CFD">
        <w:rPr>
          <w:i/>
          <w:iCs/>
        </w:rPr>
        <w:t>DOI.org (</w:t>
      </w:r>
      <w:proofErr w:type="spellStart"/>
      <w:r w:rsidRPr="00377CFD">
        <w:rPr>
          <w:i/>
          <w:iCs/>
        </w:rPr>
        <w:t>Crossref</w:t>
      </w:r>
      <w:proofErr w:type="spellEnd"/>
      <w:r w:rsidRPr="00377CFD">
        <w:rPr>
          <w:i/>
          <w:iCs/>
        </w:rPr>
        <w:t>)</w:t>
      </w:r>
      <w:r w:rsidRPr="00377CFD">
        <w:t>, doi:</w:t>
      </w:r>
      <w:hyperlink r:id="rId19" w:history="1">
        <w:r w:rsidRPr="00377CFD">
          <w:rPr>
            <w:color w:val="0000FF"/>
            <w:u w:val="single"/>
          </w:rPr>
          <w:t>10.1111/j.1469-7998.2007.00325.x</w:t>
        </w:r>
      </w:hyperlink>
      <w:r w:rsidRPr="00377CFD">
        <w:t>.</w:t>
      </w:r>
    </w:p>
    <w:p w14:paraId="7C832468" w14:textId="77777777" w:rsidR="003B3309" w:rsidRPr="00377CFD" w:rsidRDefault="003B3309" w:rsidP="003B3309">
      <w:pPr>
        <w:spacing w:line="276" w:lineRule="auto"/>
      </w:pPr>
      <w:proofErr w:type="spellStart"/>
      <w:r w:rsidRPr="00377CFD">
        <w:t>Gery</w:t>
      </w:r>
      <w:proofErr w:type="spellEnd"/>
      <w:r w:rsidRPr="00377CFD">
        <w:t xml:space="preserve">, Jacques. </w:t>
      </w:r>
      <w:proofErr w:type="spellStart"/>
      <w:r w:rsidRPr="00377CFD">
        <w:rPr>
          <w:i/>
          <w:iCs/>
        </w:rPr>
        <w:t>Characoids</w:t>
      </w:r>
      <w:proofErr w:type="spellEnd"/>
      <w:r w:rsidRPr="00377CFD">
        <w:rPr>
          <w:i/>
          <w:iCs/>
        </w:rPr>
        <w:t xml:space="preserve"> of the World</w:t>
      </w:r>
      <w:r w:rsidRPr="00377CFD">
        <w:t xml:space="preserve">. T. F. H. </w:t>
      </w:r>
      <w:proofErr w:type="spellStart"/>
      <w:r w:rsidRPr="00377CFD">
        <w:t>Publ</w:t>
      </w:r>
      <w:proofErr w:type="spellEnd"/>
      <w:r w:rsidRPr="00377CFD">
        <w:t>, 1977.</w:t>
      </w:r>
    </w:p>
    <w:p w14:paraId="4E18AFE7" w14:textId="77777777" w:rsidR="003B3309" w:rsidRPr="002804AE" w:rsidRDefault="003B3309" w:rsidP="003B3309">
      <w:pPr>
        <w:spacing w:line="276" w:lineRule="auto"/>
        <w:ind w:left="720" w:hanging="720"/>
      </w:pPr>
      <w:proofErr w:type="spellStart"/>
      <w:r w:rsidRPr="00377CFD">
        <w:t>Grubh</w:t>
      </w:r>
      <w:proofErr w:type="spellEnd"/>
      <w:r w:rsidRPr="00377CFD">
        <w:t xml:space="preserve">, </w:t>
      </w:r>
      <w:proofErr w:type="spellStart"/>
      <w:r w:rsidRPr="00377CFD">
        <w:t>Archis</w:t>
      </w:r>
      <w:proofErr w:type="spellEnd"/>
      <w:r w:rsidRPr="00377CFD">
        <w:t xml:space="preserve"> R., and Kirk O. </w:t>
      </w:r>
      <w:proofErr w:type="spellStart"/>
      <w:r w:rsidRPr="00377CFD">
        <w:t>Winemiller</w:t>
      </w:r>
      <w:proofErr w:type="spellEnd"/>
      <w:r w:rsidRPr="00377CFD">
        <w:t xml:space="preserve">. “Ontogeny of Scale Feeding in the Asian Glassfish, </w:t>
      </w:r>
      <w:r w:rsidRPr="008C5F8A">
        <w:rPr>
          <w:i/>
          <w:iCs/>
        </w:rPr>
        <w:t xml:space="preserve">Chanda </w:t>
      </w:r>
      <w:proofErr w:type="spellStart"/>
      <w:r>
        <w:rPr>
          <w:i/>
          <w:iCs/>
        </w:rPr>
        <w:t>n</w:t>
      </w:r>
      <w:r w:rsidRPr="008C5F8A">
        <w:rPr>
          <w:i/>
          <w:iCs/>
        </w:rPr>
        <w:t>ama</w:t>
      </w:r>
      <w:proofErr w:type="spellEnd"/>
      <w:r w:rsidRPr="00377CFD">
        <w:t xml:space="preserve"> (</w:t>
      </w:r>
      <w:proofErr w:type="spellStart"/>
      <w:r w:rsidRPr="00377CFD">
        <w:t>Ambassidae</w:t>
      </w:r>
      <w:proofErr w:type="spellEnd"/>
      <w:r w:rsidRPr="00377CFD">
        <w:t xml:space="preserve">).” </w:t>
      </w:r>
      <w:proofErr w:type="spellStart"/>
      <w:r w:rsidRPr="00377CFD">
        <w:rPr>
          <w:i/>
          <w:iCs/>
        </w:rPr>
        <w:t>Copeia</w:t>
      </w:r>
      <w:proofErr w:type="spellEnd"/>
      <w:r w:rsidRPr="00377CFD">
        <w:t xml:space="preserve">, edited by M. E. Douglas, vol. 2004, no. 4, Dec. 2004, pp. 903–07. </w:t>
      </w:r>
      <w:r w:rsidRPr="00377CFD">
        <w:rPr>
          <w:i/>
          <w:iCs/>
        </w:rPr>
        <w:t>DOI.org (</w:t>
      </w:r>
      <w:proofErr w:type="spellStart"/>
      <w:r w:rsidRPr="00377CFD">
        <w:rPr>
          <w:i/>
          <w:iCs/>
        </w:rPr>
        <w:t>Crossref</w:t>
      </w:r>
      <w:proofErr w:type="spellEnd"/>
      <w:r w:rsidRPr="00377CFD">
        <w:rPr>
          <w:i/>
          <w:iCs/>
        </w:rPr>
        <w:t>)</w:t>
      </w:r>
      <w:r w:rsidRPr="00377CFD">
        <w:t>, doi:</w:t>
      </w:r>
      <w:hyperlink r:id="rId20" w:history="1">
        <w:r w:rsidRPr="00377CFD">
          <w:rPr>
            <w:color w:val="0000FF"/>
            <w:u w:val="single"/>
          </w:rPr>
          <w:t>10.1643/CE-02-095R1</w:t>
        </w:r>
      </w:hyperlink>
      <w:r w:rsidRPr="00377CFD">
        <w:t>.</w:t>
      </w:r>
    </w:p>
    <w:p w14:paraId="24211027" w14:textId="7BAD3DF0" w:rsidR="003B3309" w:rsidRDefault="003B3309" w:rsidP="003B3309">
      <w:pPr>
        <w:spacing w:line="276" w:lineRule="auto"/>
        <w:ind w:left="720" w:hanging="720"/>
      </w:pPr>
      <w:proofErr w:type="spellStart"/>
      <w:r w:rsidRPr="002804AE">
        <w:t>Huie</w:t>
      </w:r>
      <w:proofErr w:type="spellEnd"/>
      <w:r w:rsidRPr="002804AE">
        <w:t>, J.M., Summers, A.P. and Kolmann, M.A., 2019. Body shape separates guilds of rheophilic herbivores (</w:t>
      </w:r>
      <w:proofErr w:type="spellStart"/>
      <w:r w:rsidRPr="002804AE">
        <w:t>Myleinae</w:t>
      </w:r>
      <w:proofErr w:type="spellEnd"/>
      <w:r w:rsidRPr="002804AE">
        <w:t xml:space="preserve">: </w:t>
      </w:r>
      <w:proofErr w:type="spellStart"/>
      <w:r w:rsidRPr="002804AE">
        <w:t>Serrasalmidae</w:t>
      </w:r>
      <w:proofErr w:type="spellEnd"/>
      <w:r w:rsidRPr="002804AE">
        <w:t>) better than feeding morphology. Proceedings of the Academy of Natural Sciences of Philadelphia. 166(1), pp.1-15.</w:t>
      </w:r>
    </w:p>
    <w:p w14:paraId="0629DF55" w14:textId="47322542" w:rsidR="002D140C" w:rsidRPr="002804AE" w:rsidRDefault="002D140C" w:rsidP="002D140C">
      <w:pPr>
        <w:spacing w:line="276" w:lineRule="auto"/>
        <w:ind w:left="720" w:hanging="720"/>
      </w:pPr>
      <w:proofErr w:type="spellStart"/>
      <w:r w:rsidRPr="002D140C">
        <w:t>Janovetz</w:t>
      </w:r>
      <w:proofErr w:type="spellEnd"/>
      <w:r w:rsidRPr="002D140C">
        <w:t xml:space="preserve"> J. 2005. Functional morphology of feeding in the</w:t>
      </w:r>
      <w:r w:rsidR="00157FCA">
        <w:t xml:space="preserve"> </w:t>
      </w:r>
      <w:r w:rsidRPr="002D140C">
        <w:t>scale-eating specialist</w:t>
      </w:r>
      <w:r>
        <w:t xml:space="preserve"> </w:t>
      </w:r>
      <w:proofErr w:type="spellStart"/>
      <w:r w:rsidRPr="002D140C">
        <w:t>Cataprion</w:t>
      </w:r>
      <w:proofErr w:type="spellEnd"/>
      <w:r w:rsidRPr="002D140C">
        <w:t xml:space="preserve"> mento. J Exp Biol 208:4757–4768.</w:t>
      </w:r>
    </w:p>
    <w:p w14:paraId="23757CD7" w14:textId="77777777" w:rsidR="003B3309" w:rsidRPr="002804AE" w:rsidRDefault="003B3309" w:rsidP="003B3309">
      <w:pPr>
        <w:spacing w:line="276" w:lineRule="auto"/>
        <w:ind w:left="720" w:hanging="720"/>
      </w:pPr>
      <w:r w:rsidRPr="002804AE">
        <w:t xml:space="preserve">Kay, R.F. and Covert, H.H., 1984. Anatomy and </w:t>
      </w:r>
      <w:proofErr w:type="spellStart"/>
      <w:r w:rsidRPr="002804AE">
        <w:t>behaviour</w:t>
      </w:r>
      <w:proofErr w:type="spellEnd"/>
      <w:r w:rsidRPr="002804AE">
        <w:t xml:space="preserve"> of extinct primates. In Food acquisition and processing in primates (pp. 467-508). Springer, Boston, MA.</w:t>
      </w:r>
    </w:p>
    <w:p w14:paraId="6D430152" w14:textId="77777777" w:rsidR="003B3309" w:rsidRDefault="003B3309" w:rsidP="003B3309">
      <w:pPr>
        <w:spacing w:line="276" w:lineRule="auto"/>
        <w:ind w:left="720" w:hanging="720"/>
      </w:pPr>
      <w:r w:rsidRPr="002804AE">
        <w:t xml:space="preserve">Kolmann, M.A., </w:t>
      </w:r>
      <w:proofErr w:type="spellStart"/>
      <w:r w:rsidRPr="002804AE">
        <w:t>Huie</w:t>
      </w:r>
      <w:proofErr w:type="spellEnd"/>
      <w:r w:rsidRPr="002804AE">
        <w:t>, J.M., Evans, K. and Summers, A.P., 2018a. Specialized specialists and the narrow niche fallacy: a tale of scale-feeding fishes. Royal Society open science. 5(1), p.171581.</w:t>
      </w:r>
    </w:p>
    <w:p w14:paraId="3E968FFD" w14:textId="77777777" w:rsidR="003B3309" w:rsidRDefault="003B3309" w:rsidP="003B3309">
      <w:pPr>
        <w:spacing w:line="276" w:lineRule="auto"/>
        <w:ind w:left="720" w:hanging="720"/>
      </w:pPr>
      <w:r w:rsidRPr="00377CFD">
        <w:t xml:space="preserve">Lewis, R. W. “Fish Cutaneous Mucus: A New Source of Skin Surface Lipid.” </w:t>
      </w:r>
      <w:r w:rsidRPr="00377CFD">
        <w:rPr>
          <w:i/>
          <w:iCs/>
        </w:rPr>
        <w:t>Lipids</w:t>
      </w:r>
      <w:r w:rsidRPr="00377CFD">
        <w:t xml:space="preserve">, vol. 5, no. </w:t>
      </w:r>
    </w:p>
    <w:p w14:paraId="311EB7A6" w14:textId="66C89B5F" w:rsidR="003B3309" w:rsidRDefault="003B3309" w:rsidP="003B3309">
      <w:pPr>
        <w:spacing w:line="276" w:lineRule="auto"/>
        <w:ind w:firstLine="720"/>
      </w:pPr>
      <w:r w:rsidRPr="00377CFD">
        <w:t xml:space="preserve">11, Nov. 1970, pp. 947–49. </w:t>
      </w:r>
      <w:r w:rsidRPr="00377CFD">
        <w:rPr>
          <w:i/>
          <w:iCs/>
        </w:rPr>
        <w:t>Springer Link</w:t>
      </w:r>
      <w:r w:rsidRPr="00377CFD">
        <w:t>, doi:</w:t>
      </w:r>
      <w:hyperlink r:id="rId21" w:history="1">
        <w:r w:rsidRPr="00377CFD">
          <w:rPr>
            <w:color w:val="0000FF"/>
            <w:u w:val="single"/>
          </w:rPr>
          <w:t>10.1007/BF02531127</w:t>
        </w:r>
      </w:hyperlink>
      <w:r>
        <w:t xml:space="preserve">. </w:t>
      </w:r>
    </w:p>
    <w:p w14:paraId="3F2D709A" w14:textId="77777777" w:rsidR="003B3309" w:rsidRDefault="003B3309" w:rsidP="003B3309">
      <w:pPr>
        <w:spacing w:line="276" w:lineRule="auto"/>
      </w:pPr>
      <w:r w:rsidRPr="003B3309">
        <w:t xml:space="preserve">Moyer, J.K. and Bemis, W.E., 2017. Shark teeth as edged weapons: serrated teeth of three </w:t>
      </w:r>
    </w:p>
    <w:p w14:paraId="4DA9A832" w14:textId="60EEB9FE" w:rsidR="003B3309" w:rsidRDefault="003B3309" w:rsidP="003B3309">
      <w:pPr>
        <w:spacing w:line="276" w:lineRule="auto"/>
        <w:ind w:firstLine="720"/>
      </w:pPr>
      <w:r w:rsidRPr="003B3309">
        <w:t>species of selachians. </w:t>
      </w:r>
      <w:r w:rsidRPr="003B3309">
        <w:rPr>
          <w:i/>
          <w:iCs/>
        </w:rPr>
        <w:t>Zoology</w:t>
      </w:r>
      <w:r w:rsidRPr="003B3309">
        <w:t>, </w:t>
      </w:r>
      <w:r w:rsidRPr="003B3309">
        <w:rPr>
          <w:i/>
          <w:iCs/>
        </w:rPr>
        <w:t>120</w:t>
      </w:r>
      <w:r w:rsidRPr="003B3309">
        <w:t>, pp.101-109.</w:t>
      </w:r>
    </w:p>
    <w:p w14:paraId="79AE9D3B" w14:textId="77777777" w:rsidR="00481EB8" w:rsidRDefault="00481EB8" w:rsidP="00481EB8">
      <w:pPr>
        <w:spacing w:line="276" w:lineRule="auto"/>
      </w:pPr>
      <w:r w:rsidRPr="00481EB8">
        <w:t xml:space="preserve">Montgomery, G.G. Movements, foraging and good habits of the four extant species of </w:t>
      </w:r>
    </w:p>
    <w:p w14:paraId="45687153" w14:textId="77777777" w:rsidR="00481EB8" w:rsidRDefault="00481EB8" w:rsidP="00481EB8">
      <w:pPr>
        <w:spacing w:line="276" w:lineRule="auto"/>
        <w:ind w:firstLine="720"/>
      </w:pPr>
      <w:proofErr w:type="spellStart"/>
      <w:r w:rsidRPr="00481EB8">
        <w:t>neotropicalVermilinguas</w:t>
      </w:r>
      <w:proofErr w:type="spellEnd"/>
      <w:r w:rsidRPr="00481EB8">
        <w:t xml:space="preserve"> (Mammalia: </w:t>
      </w:r>
      <w:proofErr w:type="spellStart"/>
      <w:r w:rsidRPr="00481EB8">
        <w:t>Myrmecophagidae</w:t>
      </w:r>
      <w:proofErr w:type="spellEnd"/>
      <w:r w:rsidRPr="00481EB8">
        <w:t xml:space="preserve">). Pp. 365—377 in THE </w:t>
      </w:r>
    </w:p>
    <w:p w14:paraId="7D1D2E78" w14:textId="3AD2D5FF" w:rsidR="00481EB8" w:rsidRPr="00481EB8" w:rsidRDefault="00481EB8" w:rsidP="00481EB8">
      <w:pPr>
        <w:spacing w:line="276" w:lineRule="auto"/>
        <w:ind w:left="720"/>
      </w:pPr>
      <w:r w:rsidRPr="00481EB8">
        <w:t xml:space="preserve">EVOLUTION AND ECOLOGY OFARMADILLOS, SLOTHS, AND VERMILINGUAS. G.G. Montgomery, ed. Washington, DC, </w:t>
      </w:r>
      <w:proofErr w:type="spellStart"/>
      <w:r w:rsidRPr="00481EB8">
        <w:t>SmithsonianInstitution</w:t>
      </w:r>
      <w:proofErr w:type="spellEnd"/>
      <w:r w:rsidRPr="00481EB8">
        <w:t xml:space="preserve"> Press, 1985b.</w:t>
      </w:r>
    </w:p>
    <w:p w14:paraId="35A6CB9A" w14:textId="77777777" w:rsidR="00481EB8" w:rsidRDefault="00481EB8" w:rsidP="00481EB8">
      <w:pPr>
        <w:spacing w:line="276" w:lineRule="auto"/>
      </w:pPr>
      <w:r w:rsidRPr="009F0AD9">
        <w:t xml:space="preserve">Munroe, S. E. M., et al. “Defining Shark Ecological </w:t>
      </w:r>
      <w:proofErr w:type="spellStart"/>
      <w:r w:rsidRPr="009F0AD9">
        <w:t>Specialisation</w:t>
      </w:r>
      <w:proofErr w:type="spellEnd"/>
      <w:r w:rsidRPr="009F0AD9">
        <w:t xml:space="preserve">: Concepts, Context, and </w:t>
      </w:r>
    </w:p>
    <w:p w14:paraId="5ADDAFEE" w14:textId="77777777" w:rsidR="00481EB8" w:rsidRDefault="00481EB8" w:rsidP="00481EB8">
      <w:pPr>
        <w:spacing w:line="276" w:lineRule="auto"/>
        <w:ind w:firstLine="720"/>
      </w:pPr>
      <w:r w:rsidRPr="009F0AD9">
        <w:t xml:space="preserve">Examples.” </w:t>
      </w:r>
      <w:r w:rsidRPr="009F0AD9">
        <w:rPr>
          <w:i/>
          <w:iCs/>
        </w:rPr>
        <w:t>Reviews in Fish Biology and Fisheries</w:t>
      </w:r>
      <w:r w:rsidRPr="009F0AD9">
        <w:t xml:space="preserve">, vol. 24, no. 1, Mar. 2014, pp. 317–31. </w:t>
      </w:r>
    </w:p>
    <w:p w14:paraId="4162209C" w14:textId="44F5FB19" w:rsidR="00481EB8" w:rsidRDefault="00481EB8" w:rsidP="00481EB8">
      <w:pPr>
        <w:spacing w:line="276" w:lineRule="auto"/>
        <w:ind w:left="720"/>
      </w:pPr>
      <w:r w:rsidRPr="009F0AD9">
        <w:rPr>
          <w:i/>
          <w:iCs/>
        </w:rPr>
        <w:t>DOI.org (</w:t>
      </w:r>
      <w:proofErr w:type="spellStart"/>
      <w:r w:rsidRPr="009F0AD9">
        <w:rPr>
          <w:i/>
          <w:iCs/>
        </w:rPr>
        <w:t>Crossref</w:t>
      </w:r>
      <w:proofErr w:type="spellEnd"/>
      <w:r w:rsidRPr="009F0AD9">
        <w:rPr>
          <w:i/>
          <w:iCs/>
        </w:rPr>
        <w:t>)</w:t>
      </w:r>
      <w:r w:rsidRPr="009F0AD9">
        <w:t>, doi:</w:t>
      </w:r>
      <w:hyperlink r:id="rId22" w:history="1">
        <w:r w:rsidRPr="009F0AD9">
          <w:rPr>
            <w:rStyle w:val="Hyperlink"/>
          </w:rPr>
          <w:t>10.1007/s11160-013-9333-7</w:t>
        </w:r>
      </w:hyperlink>
      <w:r w:rsidRPr="009F0AD9">
        <w:t>.</w:t>
      </w:r>
    </w:p>
    <w:p w14:paraId="027833E0" w14:textId="77777777" w:rsidR="003B3309" w:rsidRDefault="003B3309" w:rsidP="003B3309">
      <w:pPr>
        <w:spacing w:line="276" w:lineRule="auto"/>
      </w:pPr>
      <w:r w:rsidRPr="002804AE">
        <w:t xml:space="preserve">Nico, L.G. and </w:t>
      </w:r>
      <w:proofErr w:type="spellStart"/>
      <w:r w:rsidRPr="002804AE">
        <w:t>Taphorn</w:t>
      </w:r>
      <w:proofErr w:type="spellEnd"/>
      <w:r w:rsidRPr="002804AE">
        <w:t>, D.C., 1988. Food habits of piranhas in the low llanos of</w:t>
      </w:r>
      <w:r>
        <w:t xml:space="preserve"> </w:t>
      </w:r>
      <w:r w:rsidRPr="002804AE">
        <w:t xml:space="preserve">Venezuela. </w:t>
      </w:r>
    </w:p>
    <w:p w14:paraId="586AC050" w14:textId="77777777" w:rsidR="003B3309" w:rsidRPr="002804AE" w:rsidRDefault="003B3309" w:rsidP="003B3309">
      <w:pPr>
        <w:spacing w:line="276" w:lineRule="auto"/>
        <w:ind w:firstLine="720"/>
      </w:pPr>
      <w:proofErr w:type="spellStart"/>
      <w:r w:rsidRPr="002804AE">
        <w:t>Biotropica</w:t>
      </w:r>
      <w:proofErr w:type="spellEnd"/>
      <w:r w:rsidRPr="002804AE">
        <w:t>. 20(4), pp.311-321.</w:t>
      </w:r>
    </w:p>
    <w:p w14:paraId="12608FCA" w14:textId="23BC22B0" w:rsidR="003B3309" w:rsidRDefault="003B3309" w:rsidP="003B3309">
      <w:pPr>
        <w:spacing w:line="276" w:lineRule="auto"/>
        <w:ind w:left="720" w:hanging="720"/>
      </w:pPr>
      <w:r w:rsidRPr="002804AE">
        <w:t>Nico, L.G. &amp; de Morales, M., 1994. Nutrient content of piranha (</w:t>
      </w:r>
      <w:proofErr w:type="spellStart"/>
      <w:r w:rsidRPr="002804AE">
        <w:t>Characidae</w:t>
      </w:r>
      <w:proofErr w:type="spellEnd"/>
      <w:r w:rsidRPr="002804AE">
        <w:t xml:space="preserve">, </w:t>
      </w:r>
      <w:proofErr w:type="spellStart"/>
      <w:r w:rsidRPr="002804AE">
        <w:t>Serrasalminae</w:t>
      </w:r>
      <w:proofErr w:type="spellEnd"/>
      <w:r w:rsidRPr="002804AE">
        <w:t xml:space="preserve">) prey items. </w:t>
      </w:r>
      <w:proofErr w:type="spellStart"/>
      <w:r w:rsidRPr="002804AE">
        <w:t>Copeia</w:t>
      </w:r>
      <w:proofErr w:type="spellEnd"/>
      <w:r w:rsidRPr="002804AE">
        <w:t>. (2): 524-528.</w:t>
      </w:r>
    </w:p>
    <w:p w14:paraId="038B75F6" w14:textId="177A459F" w:rsidR="003B3309" w:rsidRDefault="003B3309" w:rsidP="003B3309">
      <w:pPr>
        <w:spacing w:line="276" w:lineRule="auto"/>
        <w:ind w:left="720" w:hanging="720"/>
      </w:pPr>
      <w:r w:rsidRPr="003B3309">
        <w:t>Prudente, B.D.S., Carneiro-</w:t>
      </w:r>
      <w:proofErr w:type="spellStart"/>
      <w:r w:rsidRPr="003B3309">
        <w:t>Marinho</w:t>
      </w:r>
      <w:proofErr w:type="spellEnd"/>
      <w:r w:rsidRPr="003B3309">
        <w:t xml:space="preserve">, P., Valente, R.D.M. and Montag, L.F.D.A., 2016. Feeding ecology of Serrasalmus </w:t>
      </w:r>
      <w:proofErr w:type="spellStart"/>
      <w:r w:rsidRPr="003B3309">
        <w:t>gouldingi</w:t>
      </w:r>
      <w:proofErr w:type="spellEnd"/>
      <w:r w:rsidRPr="003B3309">
        <w:t xml:space="preserve"> (</w:t>
      </w:r>
      <w:proofErr w:type="spellStart"/>
      <w:r w:rsidRPr="003B3309">
        <w:t>Characiformes</w:t>
      </w:r>
      <w:proofErr w:type="spellEnd"/>
      <w:r w:rsidRPr="003B3309">
        <w:t xml:space="preserve">: </w:t>
      </w:r>
      <w:proofErr w:type="spellStart"/>
      <w:r w:rsidRPr="003B3309">
        <w:t>Serrasalmidae</w:t>
      </w:r>
      <w:proofErr w:type="spellEnd"/>
      <w:r w:rsidRPr="003B3309">
        <w:t xml:space="preserve">) in the lower </w:t>
      </w:r>
      <w:proofErr w:type="spellStart"/>
      <w:r w:rsidRPr="003B3309">
        <w:t>Anapu</w:t>
      </w:r>
      <w:proofErr w:type="spellEnd"/>
      <w:r w:rsidRPr="003B3309">
        <w:t xml:space="preserve"> River region, eastern Amazon, Brazil. </w:t>
      </w:r>
      <w:r w:rsidRPr="003B3309">
        <w:rPr>
          <w:i/>
          <w:iCs/>
        </w:rPr>
        <w:t xml:space="preserve">Acta </w:t>
      </w:r>
      <w:proofErr w:type="spellStart"/>
      <w:r w:rsidRPr="003B3309">
        <w:rPr>
          <w:i/>
          <w:iCs/>
        </w:rPr>
        <w:t>Amazonica</w:t>
      </w:r>
      <w:proofErr w:type="spellEnd"/>
      <w:r w:rsidRPr="003B3309">
        <w:t>, </w:t>
      </w:r>
      <w:r w:rsidRPr="003B3309">
        <w:rPr>
          <w:i/>
          <w:iCs/>
        </w:rPr>
        <w:t>46</w:t>
      </w:r>
      <w:r w:rsidRPr="003B3309">
        <w:t>(3), pp.259-270.</w:t>
      </w:r>
    </w:p>
    <w:p w14:paraId="48CD9803" w14:textId="160B35BE" w:rsidR="009F0AD9" w:rsidRPr="002804AE" w:rsidRDefault="009F0AD9" w:rsidP="009F0AD9">
      <w:pPr>
        <w:spacing w:line="276" w:lineRule="auto"/>
        <w:ind w:left="720" w:hanging="720"/>
      </w:pPr>
      <w:r w:rsidRPr="009F0AD9">
        <w:t xml:space="preserve">Reiss, Karen </w:t>
      </w:r>
      <w:proofErr w:type="spellStart"/>
      <w:r w:rsidRPr="009F0AD9">
        <w:t>Zich</w:t>
      </w:r>
      <w:proofErr w:type="spellEnd"/>
      <w:r w:rsidRPr="009F0AD9">
        <w:t xml:space="preserve">. “Using Phylogenies to Study Convergence: The Case of the Ant-Eating Mammals.” </w:t>
      </w:r>
      <w:r w:rsidRPr="009F0AD9">
        <w:rPr>
          <w:i/>
          <w:iCs/>
        </w:rPr>
        <w:t>American Zoologist</w:t>
      </w:r>
      <w:r w:rsidRPr="009F0AD9">
        <w:t>, vol. 41, June 2001, pp. 507–25.</w:t>
      </w:r>
    </w:p>
    <w:p w14:paraId="65172689" w14:textId="57A3CB75" w:rsidR="003B3309" w:rsidRPr="002804AE" w:rsidRDefault="003B3309" w:rsidP="003B3309">
      <w:pPr>
        <w:spacing w:line="276" w:lineRule="auto"/>
        <w:ind w:left="720" w:hanging="720"/>
      </w:pPr>
      <w:r w:rsidRPr="002804AE">
        <w:t xml:space="preserve">Revell, L.J., 2012. </w:t>
      </w:r>
      <w:proofErr w:type="spellStart"/>
      <w:r w:rsidRPr="002804AE">
        <w:t>phytools</w:t>
      </w:r>
      <w:proofErr w:type="spellEnd"/>
      <w:r w:rsidRPr="002804AE">
        <w:t xml:space="preserve">: </w:t>
      </w:r>
      <w:proofErr w:type="gramStart"/>
      <w:r w:rsidRPr="002804AE">
        <w:t>an</w:t>
      </w:r>
      <w:proofErr w:type="gramEnd"/>
      <w:r w:rsidRPr="002804AE">
        <w:t xml:space="preserve"> R package for phylogenetic comparative biology (and other things). Methods in ecology and evolution, 3(2), pp.217-223.</w:t>
      </w:r>
    </w:p>
    <w:p w14:paraId="43BDBFEE" w14:textId="77777777" w:rsidR="003B3309" w:rsidRDefault="003B3309" w:rsidP="003B3309">
      <w:pPr>
        <w:spacing w:line="276" w:lineRule="auto"/>
        <w:ind w:left="720" w:hanging="720"/>
      </w:pPr>
      <w:proofErr w:type="spellStart"/>
      <w:r w:rsidRPr="002804AE">
        <w:lastRenderedPageBreak/>
        <w:t>Sazima</w:t>
      </w:r>
      <w:proofErr w:type="spellEnd"/>
      <w:r w:rsidRPr="002804AE">
        <w:t>, I. and Machado, F.A., 1990. Underwater observations of piranhas in western Brazil. In Alternative life-history styles of fishes (pp. 17-31). Springer, Dordrecht.</w:t>
      </w:r>
    </w:p>
    <w:p w14:paraId="6178DF48" w14:textId="77777777" w:rsidR="003B3309" w:rsidRDefault="003B3309" w:rsidP="003B3309">
      <w:pPr>
        <w:spacing w:line="276" w:lineRule="auto"/>
        <w:ind w:left="720" w:hanging="720"/>
      </w:pPr>
      <w:proofErr w:type="spellStart"/>
      <w:r w:rsidRPr="00377CFD">
        <w:t>Sazima</w:t>
      </w:r>
      <w:proofErr w:type="spellEnd"/>
      <w:r w:rsidRPr="00377CFD">
        <w:t xml:space="preserve">, Ivan. “Scale-Eating in </w:t>
      </w:r>
      <w:proofErr w:type="spellStart"/>
      <w:r w:rsidRPr="00377CFD">
        <w:t>Characoids</w:t>
      </w:r>
      <w:proofErr w:type="spellEnd"/>
      <w:r w:rsidRPr="00377CFD">
        <w:t xml:space="preserve"> and Other Fishes.” </w:t>
      </w:r>
      <w:r w:rsidRPr="00377CFD">
        <w:rPr>
          <w:i/>
          <w:iCs/>
        </w:rPr>
        <w:t>Environmental Biology of Fishes</w:t>
      </w:r>
      <w:r w:rsidRPr="00377CFD">
        <w:t xml:space="preserve">, vol. 9, no. 2, Sept. 1983, pp. 87–101. </w:t>
      </w:r>
      <w:r w:rsidRPr="00377CFD">
        <w:rPr>
          <w:i/>
          <w:iCs/>
        </w:rPr>
        <w:t>DOI.org (</w:t>
      </w:r>
      <w:proofErr w:type="spellStart"/>
      <w:r w:rsidRPr="00377CFD">
        <w:rPr>
          <w:i/>
          <w:iCs/>
        </w:rPr>
        <w:t>Crossref</w:t>
      </w:r>
      <w:proofErr w:type="spellEnd"/>
      <w:r w:rsidRPr="00377CFD">
        <w:rPr>
          <w:i/>
          <w:iCs/>
        </w:rPr>
        <w:t>)</w:t>
      </w:r>
      <w:r w:rsidRPr="00377CFD">
        <w:t>, doi:</w:t>
      </w:r>
      <w:hyperlink r:id="rId23" w:history="1">
        <w:r w:rsidRPr="00377CFD">
          <w:rPr>
            <w:color w:val="0000FF"/>
            <w:u w:val="single"/>
          </w:rPr>
          <w:t>10.1007/BF00690855</w:t>
        </w:r>
      </w:hyperlink>
      <w:r w:rsidRPr="00377CFD">
        <w:t>.</w:t>
      </w:r>
    </w:p>
    <w:p w14:paraId="751AB47B" w14:textId="77777777" w:rsidR="003B3309" w:rsidRPr="00377CFD" w:rsidRDefault="003B3309" w:rsidP="003B3309">
      <w:pPr>
        <w:spacing w:line="276" w:lineRule="auto"/>
        <w:ind w:left="720" w:hanging="720"/>
      </w:pPr>
      <w:proofErr w:type="spellStart"/>
      <w:r w:rsidRPr="00377CFD">
        <w:t>Schindelin</w:t>
      </w:r>
      <w:proofErr w:type="spellEnd"/>
      <w:r w:rsidRPr="00377CFD">
        <w:t xml:space="preserve">, Johannes, et al. “Fiji: An Open-Source Platform for Biological-Image Analysis.” </w:t>
      </w:r>
      <w:r w:rsidRPr="00377CFD">
        <w:rPr>
          <w:i/>
          <w:iCs/>
        </w:rPr>
        <w:t>Nature Methods</w:t>
      </w:r>
      <w:r w:rsidRPr="00377CFD">
        <w:t xml:space="preserve">, vol. 9, no. 7, July 2012, pp. 676–82. </w:t>
      </w:r>
      <w:r w:rsidRPr="00377CFD">
        <w:rPr>
          <w:i/>
          <w:iCs/>
        </w:rPr>
        <w:t>DOI.org (</w:t>
      </w:r>
      <w:proofErr w:type="spellStart"/>
      <w:r w:rsidRPr="00377CFD">
        <w:rPr>
          <w:i/>
          <w:iCs/>
        </w:rPr>
        <w:t>Crossref</w:t>
      </w:r>
      <w:proofErr w:type="spellEnd"/>
      <w:r w:rsidRPr="00377CFD">
        <w:rPr>
          <w:i/>
          <w:iCs/>
        </w:rPr>
        <w:t>)</w:t>
      </w:r>
      <w:r w:rsidRPr="00377CFD">
        <w:t>, doi:</w:t>
      </w:r>
      <w:hyperlink r:id="rId24" w:history="1">
        <w:r w:rsidRPr="00377CFD">
          <w:rPr>
            <w:color w:val="0000FF"/>
            <w:u w:val="single"/>
          </w:rPr>
          <w:t>10.1038/nmeth.2019</w:t>
        </w:r>
      </w:hyperlink>
      <w:r w:rsidRPr="00377CFD">
        <w:t>.</w:t>
      </w:r>
    </w:p>
    <w:p w14:paraId="1C8ABF08" w14:textId="77777777" w:rsidR="003B3309" w:rsidRDefault="003B3309" w:rsidP="003B3309">
      <w:pPr>
        <w:spacing w:line="276" w:lineRule="auto"/>
        <w:ind w:left="720" w:hanging="720"/>
      </w:pPr>
      <w:r w:rsidRPr="002804AE">
        <w:t xml:space="preserve">Young, R.L., </w:t>
      </w:r>
      <w:proofErr w:type="spellStart"/>
      <w:r w:rsidRPr="002804AE">
        <w:t>Haselkorn</w:t>
      </w:r>
      <w:proofErr w:type="spellEnd"/>
      <w:r w:rsidRPr="002804AE">
        <w:t xml:space="preserve">, T.S. and </w:t>
      </w:r>
      <w:proofErr w:type="spellStart"/>
      <w:r w:rsidRPr="002804AE">
        <w:t>Badyaev</w:t>
      </w:r>
      <w:proofErr w:type="spellEnd"/>
      <w:r w:rsidRPr="002804AE">
        <w:t>, A.V., 2007. Functional equivalence of morphologies enables morphological and ecological diversity. Evolution: International Journal of Organic Evolution, 61(11), pp.2480-2492.</w:t>
      </w:r>
    </w:p>
    <w:p w14:paraId="11CF6290" w14:textId="77777777" w:rsidR="003B3309" w:rsidRDefault="003B3309" w:rsidP="003B3309">
      <w:pPr>
        <w:spacing w:line="276" w:lineRule="auto"/>
        <w:ind w:left="720" w:hanging="720"/>
      </w:pPr>
      <w:proofErr w:type="spellStart"/>
      <w:r w:rsidRPr="00377CFD">
        <w:t>Westneat</w:t>
      </w:r>
      <w:proofErr w:type="spellEnd"/>
      <w:r w:rsidRPr="00377CFD">
        <w:t xml:space="preserve">, M. W. “Evolution of Levers and Linkages in the Feeding Mechanisms of Fishes.” </w:t>
      </w:r>
      <w:r w:rsidRPr="00377CFD">
        <w:rPr>
          <w:i/>
          <w:iCs/>
        </w:rPr>
        <w:t>Integrative and Comparative Biology</w:t>
      </w:r>
      <w:r w:rsidRPr="00377CFD">
        <w:t xml:space="preserve">, vol. 44, no. 5, Nov. 2004, pp. 378–89. </w:t>
      </w:r>
      <w:r w:rsidRPr="00377CFD">
        <w:rPr>
          <w:i/>
          <w:iCs/>
        </w:rPr>
        <w:t>DOI.org (</w:t>
      </w:r>
      <w:proofErr w:type="spellStart"/>
      <w:r w:rsidRPr="00377CFD">
        <w:rPr>
          <w:i/>
          <w:iCs/>
        </w:rPr>
        <w:t>Crossref</w:t>
      </w:r>
      <w:proofErr w:type="spellEnd"/>
      <w:r w:rsidRPr="00377CFD">
        <w:rPr>
          <w:i/>
          <w:iCs/>
        </w:rPr>
        <w:t>)</w:t>
      </w:r>
      <w:r w:rsidRPr="00377CFD">
        <w:t>, doi:</w:t>
      </w:r>
      <w:hyperlink r:id="rId25" w:history="1">
        <w:r w:rsidRPr="00377CFD">
          <w:rPr>
            <w:color w:val="0000FF"/>
            <w:u w:val="single"/>
          </w:rPr>
          <w:t>10.1093/</w:t>
        </w:r>
        <w:proofErr w:type="spellStart"/>
        <w:r w:rsidRPr="00377CFD">
          <w:rPr>
            <w:color w:val="0000FF"/>
            <w:u w:val="single"/>
          </w:rPr>
          <w:t>icb</w:t>
        </w:r>
        <w:proofErr w:type="spellEnd"/>
        <w:r w:rsidRPr="00377CFD">
          <w:rPr>
            <w:color w:val="0000FF"/>
            <w:u w:val="single"/>
          </w:rPr>
          <w:t>/44.5.378</w:t>
        </w:r>
      </w:hyperlink>
      <w:r w:rsidRPr="00377CFD">
        <w:t>.</w:t>
      </w:r>
    </w:p>
    <w:p w14:paraId="5C04DAD2" w14:textId="77777777" w:rsidR="003B3309" w:rsidRPr="00377CFD" w:rsidRDefault="003B3309" w:rsidP="003B3309">
      <w:pPr>
        <w:spacing w:line="276" w:lineRule="auto"/>
        <w:ind w:left="720" w:hanging="720"/>
      </w:pPr>
      <w:proofErr w:type="spellStart"/>
      <w:r w:rsidRPr="00377CFD">
        <w:t>Westneat</w:t>
      </w:r>
      <w:proofErr w:type="spellEnd"/>
      <w:r w:rsidRPr="00377CFD">
        <w:t xml:space="preserve">, Mark W., and Aaron M. Olsen. “How Fish Power Suction Feeding.” </w:t>
      </w:r>
      <w:r w:rsidRPr="00377CFD">
        <w:rPr>
          <w:i/>
          <w:iCs/>
        </w:rPr>
        <w:t>Proceedings of the National Academy of Sciences</w:t>
      </w:r>
      <w:r w:rsidRPr="00377CFD">
        <w:t xml:space="preserve">, vol. 112, no. 28, July 2015, pp. 8525–26. </w:t>
      </w:r>
      <w:r w:rsidRPr="00377CFD">
        <w:rPr>
          <w:i/>
          <w:iCs/>
        </w:rPr>
        <w:t>DOI.org (</w:t>
      </w:r>
      <w:proofErr w:type="spellStart"/>
      <w:r w:rsidRPr="00377CFD">
        <w:rPr>
          <w:i/>
          <w:iCs/>
        </w:rPr>
        <w:t>Crossref</w:t>
      </w:r>
      <w:proofErr w:type="spellEnd"/>
      <w:r w:rsidRPr="00377CFD">
        <w:rPr>
          <w:i/>
          <w:iCs/>
        </w:rPr>
        <w:t>)</w:t>
      </w:r>
      <w:r w:rsidRPr="00377CFD">
        <w:t>, doi:</w:t>
      </w:r>
      <w:hyperlink r:id="rId26" w:history="1">
        <w:r w:rsidRPr="00377CFD">
          <w:rPr>
            <w:color w:val="0000FF"/>
            <w:u w:val="single"/>
          </w:rPr>
          <w:t>10.1073/pnas.1510522112</w:t>
        </w:r>
      </w:hyperlink>
      <w:r w:rsidRPr="00377CFD">
        <w:t>.</w:t>
      </w:r>
    </w:p>
    <w:p w14:paraId="414B8015" w14:textId="77777777" w:rsidR="003B3309" w:rsidRPr="00377CFD" w:rsidRDefault="003B3309" w:rsidP="003B3309">
      <w:pPr>
        <w:spacing w:line="276" w:lineRule="auto"/>
      </w:pPr>
    </w:p>
    <w:p w14:paraId="22E0698C" w14:textId="77777777" w:rsidR="003B3309" w:rsidRDefault="003B3309"/>
    <w:sectPr w:rsidR="003B3309">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altName w:val="Courier New PSMT"/>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altName w:val="Calibri"/>
    <w:panose1 w:val="020F0502020204030204"/>
    <w:charset w:val="00"/>
    <w:family w:val="swiss"/>
    <w:pitch w:val="variable"/>
    <w:sig w:usb0="E0002AFF" w:usb1="4000ACFF" w:usb2="00000001"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322EB4"/>
    <w:multiLevelType w:val="hybridMultilevel"/>
    <w:tmpl w:val="FA40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BEB652D"/>
    <w:multiLevelType w:val="hybridMultilevel"/>
    <w:tmpl w:val="72965B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3309"/>
    <w:rsid w:val="00157FCA"/>
    <w:rsid w:val="00215FD1"/>
    <w:rsid w:val="002432BF"/>
    <w:rsid w:val="002D140C"/>
    <w:rsid w:val="0039122C"/>
    <w:rsid w:val="003B3309"/>
    <w:rsid w:val="00481EB8"/>
    <w:rsid w:val="005256C0"/>
    <w:rsid w:val="00537648"/>
    <w:rsid w:val="005A2FA5"/>
    <w:rsid w:val="005B4BF6"/>
    <w:rsid w:val="00676917"/>
    <w:rsid w:val="008F2945"/>
    <w:rsid w:val="009F0AD9"/>
    <w:rsid w:val="00D42200"/>
    <w:rsid w:val="00D73858"/>
    <w:rsid w:val="00D77A6C"/>
    <w:rsid w:val="00DB4416"/>
    <w:rsid w:val="00E5113E"/>
    <w:rsid w:val="00E6294C"/>
    <w:rsid w:val="00E7459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BBD215"/>
  <w15:chartTrackingRefBased/>
  <w15:docId w15:val="{0C46700E-FF92-4046-A61B-46121D280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140C"/>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3B3309"/>
    <w:rPr>
      <w:sz w:val="16"/>
      <w:szCs w:val="16"/>
    </w:rPr>
  </w:style>
  <w:style w:type="paragraph" w:styleId="CommentText">
    <w:name w:val="annotation text"/>
    <w:basedOn w:val="Normal"/>
    <w:link w:val="CommentTextChar"/>
    <w:uiPriority w:val="99"/>
    <w:semiHidden/>
    <w:unhideWhenUsed/>
    <w:rsid w:val="003B3309"/>
    <w:rPr>
      <w:sz w:val="20"/>
      <w:szCs w:val="20"/>
    </w:rPr>
  </w:style>
  <w:style w:type="character" w:customStyle="1" w:styleId="CommentTextChar">
    <w:name w:val="Comment Text Char"/>
    <w:basedOn w:val="DefaultParagraphFont"/>
    <w:link w:val="CommentText"/>
    <w:uiPriority w:val="99"/>
    <w:semiHidden/>
    <w:rsid w:val="003B3309"/>
    <w:rPr>
      <w:rFonts w:ascii="Times New Roman" w:eastAsia="Times New Roman" w:hAnsi="Times New Roman" w:cs="Times New Roman"/>
      <w:sz w:val="20"/>
      <w:szCs w:val="20"/>
    </w:rPr>
  </w:style>
  <w:style w:type="paragraph" w:styleId="ListParagraph">
    <w:name w:val="List Paragraph"/>
    <w:basedOn w:val="Normal"/>
    <w:uiPriority w:val="34"/>
    <w:qFormat/>
    <w:rsid w:val="003B3309"/>
    <w:pPr>
      <w:ind w:left="720"/>
      <w:contextualSpacing/>
    </w:pPr>
  </w:style>
  <w:style w:type="paragraph" w:styleId="BalloonText">
    <w:name w:val="Balloon Text"/>
    <w:basedOn w:val="Normal"/>
    <w:link w:val="BalloonTextChar"/>
    <w:uiPriority w:val="99"/>
    <w:semiHidden/>
    <w:unhideWhenUsed/>
    <w:rsid w:val="003B3309"/>
    <w:rPr>
      <w:sz w:val="18"/>
      <w:szCs w:val="18"/>
    </w:rPr>
  </w:style>
  <w:style w:type="character" w:customStyle="1" w:styleId="BalloonTextChar">
    <w:name w:val="Balloon Text Char"/>
    <w:basedOn w:val="DefaultParagraphFont"/>
    <w:link w:val="BalloonText"/>
    <w:uiPriority w:val="99"/>
    <w:semiHidden/>
    <w:rsid w:val="003B3309"/>
    <w:rPr>
      <w:rFonts w:ascii="Times New Roman" w:eastAsia="Times New Roman" w:hAnsi="Times New Roman" w:cs="Times New Roman"/>
      <w:sz w:val="18"/>
      <w:szCs w:val="18"/>
    </w:rPr>
  </w:style>
  <w:style w:type="paragraph" w:styleId="Revision">
    <w:name w:val="Revision"/>
    <w:hidden/>
    <w:uiPriority w:val="99"/>
    <w:semiHidden/>
    <w:rsid w:val="00537648"/>
    <w:rPr>
      <w:rFonts w:ascii="Times New Roman" w:eastAsia="Times New Roman" w:hAnsi="Times New Roman" w:cs="Times New Roman"/>
    </w:rPr>
  </w:style>
  <w:style w:type="character" w:customStyle="1" w:styleId="gnkrckgcgsb">
    <w:name w:val="gnkrckgcgsb"/>
    <w:basedOn w:val="DefaultParagraphFont"/>
    <w:rsid w:val="00D73858"/>
  </w:style>
  <w:style w:type="character" w:customStyle="1" w:styleId="highlight">
    <w:name w:val="highlight"/>
    <w:basedOn w:val="DefaultParagraphFont"/>
    <w:rsid w:val="002D140C"/>
  </w:style>
  <w:style w:type="character" w:styleId="Hyperlink">
    <w:name w:val="Hyperlink"/>
    <w:basedOn w:val="DefaultParagraphFont"/>
    <w:uiPriority w:val="99"/>
    <w:unhideWhenUsed/>
    <w:rsid w:val="009F0AD9"/>
    <w:rPr>
      <w:color w:val="0000FF"/>
      <w:u w:val="single"/>
    </w:rPr>
  </w:style>
  <w:style w:type="character" w:styleId="UnresolvedMention">
    <w:name w:val="Unresolved Mention"/>
    <w:basedOn w:val="DefaultParagraphFont"/>
    <w:uiPriority w:val="99"/>
    <w:semiHidden/>
    <w:unhideWhenUsed/>
    <w:rsid w:val="009F0A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8524837">
      <w:bodyDiv w:val="1"/>
      <w:marLeft w:val="0"/>
      <w:marRight w:val="0"/>
      <w:marTop w:val="0"/>
      <w:marBottom w:val="0"/>
      <w:divBdr>
        <w:top w:val="none" w:sz="0" w:space="0" w:color="auto"/>
        <w:left w:val="none" w:sz="0" w:space="0" w:color="auto"/>
        <w:bottom w:val="none" w:sz="0" w:space="0" w:color="auto"/>
        <w:right w:val="none" w:sz="0" w:space="0" w:color="auto"/>
      </w:divBdr>
    </w:div>
    <w:div w:id="138619560">
      <w:bodyDiv w:val="1"/>
      <w:marLeft w:val="0"/>
      <w:marRight w:val="0"/>
      <w:marTop w:val="0"/>
      <w:marBottom w:val="0"/>
      <w:divBdr>
        <w:top w:val="none" w:sz="0" w:space="0" w:color="auto"/>
        <w:left w:val="none" w:sz="0" w:space="0" w:color="auto"/>
        <w:bottom w:val="none" w:sz="0" w:space="0" w:color="auto"/>
        <w:right w:val="none" w:sz="0" w:space="0" w:color="auto"/>
      </w:divBdr>
    </w:div>
    <w:div w:id="266695201">
      <w:bodyDiv w:val="1"/>
      <w:marLeft w:val="0"/>
      <w:marRight w:val="0"/>
      <w:marTop w:val="0"/>
      <w:marBottom w:val="0"/>
      <w:divBdr>
        <w:top w:val="none" w:sz="0" w:space="0" w:color="auto"/>
        <w:left w:val="none" w:sz="0" w:space="0" w:color="auto"/>
        <w:bottom w:val="none" w:sz="0" w:space="0" w:color="auto"/>
        <w:right w:val="none" w:sz="0" w:space="0" w:color="auto"/>
      </w:divBdr>
      <w:divsChild>
        <w:div w:id="929391700">
          <w:marLeft w:val="480"/>
          <w:marRight w:val="0"/>
          <w:marTop w:val="0"/>
          <w:marBottom w:val="0"/>
          <w:divBdr>
            <w:top w:val="none" w:sz="0" w:space="0" w:color="auto"/>
            <w:left w:val="none" w:sz="0" w:space="0" w:color="auto"/>
            <w:bottom w:val="none" w:sz="0" w:space="0" w:color="auto"/>
            <w:right w:val="none" w:sz="0" w:space="0" w:color="auto"/>
          </w:divBdr>
          <w:divsChild>
            <w:div w:id="1352681903">
              <w:marLeft w:val="0"/>
              <w:marRight w:val="0"/>
              <w:marTop w:val="0"/>
              <w:marBottom w:val="0"/>
              <w:divBdr>
                <w:top w:val="none" w:sz="0" w:space="0" w:color="auto"/>
                <w:left w:val="none" w:sz="0" w:space="0" w:color="auto"/>
                <w:bottom w:val="none" w:sz="0" w:space="0" w:color="auto"/>
                <w:right w:val="none" w:sz="0" w:space="0" w:color="auto"/>
              </w:divBdr>
            </w:div>
            <w:div w:id="1326124644">
              <w:marLeft w:val="0"/>
              <w:marRight w:val="0"/>
              <w:marTop w:val="0"/>
              <w:marBottom w:val="0"/>
              <w:divBdr>
                <w:top w:val="none" w:sz="0" w:space="0" w:color="auto"/>
                <w:left w:val="none" w:sz="0" w:space="0" w:color="auto"/>
                <w:bottom w:val="none" w:sz="0" w:space="0" w:color="auto"/>
                <w:right w:val="none" w:sz="0" w:space="0" w:color="auto"/>
              </w:divBdr>
            </w:div>
            <w:div w:id="454953084">
              <w:marLeft w:val="0"/>
              <w:marRight w:val="0"/>
              <w:marTop w:val="0"/>
              <w:marBottom w:val="0"/>
              <w:divBdr>
                <w:top w:val="none" w:sz="0" w:space="0" w:color="auto"/>
                <w:left w:val="none" w:sz="0" w:space="0" w:color="auto"/>
                <w:bottom w:val="none" w:sz="0" w:space="0" w:color="auto"/>
                <w:right w:val="none" w:sz="0" w:space="0" w:color="auto"/>
              </w:divBdr>
            </w:div>
            <w:div w:id="213165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4837744">
      <w:bodyDiv w:val="1"/>
      <w:marLeft w:val="0"/>
      <w:marRight w:val="0"/>
      <w:marTop w:val="0"/>
      <w:marBottom w:val="0"/>
      <w:divBdr>
        <w:top w:val="none" w:sz="0" w:space="0" w:color="auto"/>
        <w:left w:val="none" w:sz="0" w:space="0" w:color="auto"/>
        <w:bottom w:val="none" w:sz="0" w:space="0" w:color="auto"/>
        <w:right w:val="none" w:sz="0" w:space="0" w:color="auto"/>
      </w:divBdr>
    </w:div>
    <w:div w:id="1031614522">
      <w:bodyDiv w:val="1"/>
      <w:marLeft w:val="0"/>
      <w:marRight w:val="0"/>
      <w:marTop w:val="0"/>
      <w:marBottom w:val="0"/>
      <w:divBdr>
        <w:top w:val="none" w:sz="0" w:space="0" w:color="auto"/>
        <w:left w:val="none" w:sz="0" w:space="0" w:color="auto"/>
        <w:bottom w:val="none" w:sz="0" w:space="0" w:color="auto"/>
        <w:right w:val="none" w:sz="0" w:space="0" w:color="auto"/>
      </w:divBdr>
    </w:div>
    <w:div w:id="1579634619">
      <w:bodyDiv w:val="1"/>
      <w:marLeft w:val="0"/>
      <w:marRight w:val="0"/>
      <w:marTop w:val="0"/>
      <w:marBottom w:val="0"/>
      <w:divBdr>
        <w:top w:val="none" w:sz="0" w:space="0" w:color="auto"/>
        <w:left w:val="none" w:sz="0" w:space="0" w:color="auto"/>
        <w:bottom w:val="none" w:sz="0" w:space="0" w:color="auto"/>
        <w:right w:val="none" w:sz="0" w:space="0" w:color="auto"/>
      </w:divBdr>
    </w:div>
    <w:div w:id="1884707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13" Type="http://schemas.openxmlformats.org/officeDocument/2006/relationships/image" Target="media/image9.jpeg"/><Relationship Id="rId18" Type="http://schemas.openxmlformats.org/officeDocument/2006/relationships/hyperlink" Target="https://doi.org/10.1016/j.mri.2012.05.001" TargetMode="External"/><Relationship Id="rId26" Type="http://schemas.openxmlformats.org/officeDocument/2006/relationships/hyperlink" Target="https://doi.org/10.1073/pnas.1510522112" TargetMode="External"/><Relationship Id="rId3" Type="http://schemas.openxmlformats.org/officeDocument/2006/relationships/settings" Target="settings.xml"/><Relationship Id="rId21" Type="http://schemas.openxmlformats.org/officeDocument/2006/relationships/hyperlink" Target="https://doi.org/10.1007/BF02531127" TargetMode="External"/><Relationship Id="rId7" Type="http://schemas.openxmlformats.org/officeDocument/2006/relationships/image" Target="media/image3.emf"/><Relationship Id="rId12" Type="http://schemas.openxmlformats.org/officeDocument/2006/relationships/image" Target="media/image8.emf"/><Relationship Id="rId17" Type="http://schemas.openxmlformats.org/officeDocument/2006/relationships/hyperlink" Target="https://doi.org/10.1578/AM.37.2.2011.111" TargetMode="External"/><Relationship Id="rId25" Type="http://schemas.openxmlformats.org/officeDocument/2006/relationships/hyperlink" Target="https://doi.org/10.1093/icb/44.5.378" TargetMode="External"/><Relationship Id="rId2" Type="http://schemas.openxmlformats.org/officeDocument/2006/relationships/styles" Target="styles.xml"/><Relationship Id="rId16" Type="http://schemas.openxmlformats.org/officeDocument/2006/relationships/hyperlink" Target="https://doi.org/10.1073/pnas.1508055112" TargetMode="External"/><Relationship Id="rId20" Type="http://schemas.openxmlformats.org/officeDocument/2006/relationships/hyperlink" Target="https://doi.org/10.1643/CE-02-095R1" TargetMode="External"/><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image" Target="media/image7.emf"/><Relationship Id="rId24" Type="http://schemas.openxmlformats.org/officeDocument/2006/relationships/hyperlink" Target="https://doi.org/10.1038/nmeth.2019" TargetMode="External"/><Relationship Id="rId5" Type="http://schemas.openxmlformats.org/officeDocument/2006/relationships/image" Target="media/image1.tiff"/><Relationship Id="rId15" Type="http://schemas.openxmlformats.org/officeDocument/2006/relationships/hyperlink" Target="https://doi.org/10.1111/evo.13649" TargetMode="External"/><Relationship Id="rId23" Type="http://schemas.openxmlformats.org/officeDocument/2006/relationships/hyperlink" Target="https://doi.org/10.1007/BF00690855" TargetMode="External"/><Relationship Id="rId28" Type="http://schemas.openxmlformats.org/officeDocument/2006/relationships/theme" Target="theme/theme1.xml"/><Relationship Id="rId10" Type="http://schemas.openxmlformats.org/officeDocument/2006/relationships/image" Target="media/image6.emf"/><Relationship Id="rId19" Type="http://schemas.openxmlformats.org/officeDocument/2006/relationships/hyperlink" Target="https://doi.org/10.1111/j.1469-7998.2007.00325.x" TargetMode="External"/><Relationship Id="rId4" Type="http://schemas.openxmlformats.org/officeDocument/2006/relationships/webSettings" Target="webSettings.xml"/><Relationship Id="rId9" Type="http://schemas.openxmlformats.org/officeDocument/2006/relationships/image" Target="media/image5.emf"/><Relationship Id="rId14" Type="http://schemas.openxmlformats.org/officeDocument/2006/relationships/image" Target="media/image10.png"/><Relationship Id="rId22" Type="http://schemas.openxmlformats.org/officeDocument/2006/relationships/hyperlink" Target="https://doi.org/10.1007/s11160-013-9333-7"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5295</Words>
  <Characters>30186</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 F MacLeod</dc:creator>
  <cp:keywords/>
  <dc:description/>
  <cp:lastModifiedBy>Maureen D. Nolan</cp:lastModifiedBy>
  <cp:revision>2</cp:revision>
  <dcterms:created xsi:type="dcterms:W3CDTF">2021-03-10T22:03:00Z</dcterms:created>
  <dcterms:modified xsi:type="dcterms:W3CDTF">2021-03-10T22:03:00Z</dcterms:modified>
</cp:coreProperties>
</file>