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CF2" w:rsidRPr="00345DA1" w:rsidRDefault="000227E1" w:rsidP="00A76451">
      <w:pPr>
        <w:spacing w:line="276" w:lineRule="auto"/>
        <w:rPr>
          <w:rFonts w:ascii="Times New Roman" w:hAnsi="Times New Roman" w:cs="Times New Roman"/>
          <w:b/>
        </w:rPr>
      </w:pPr>
      <w:r w:rsidRPr="00345DA1">
        <w:rPr>
          <w:rFonts w:ascii="Times New Roman" w:hAnsi="Times New Roman" w:cs="Times New Roman"/>
          <w:b/>
        </w:rPr>
        <w:t>Supplement 1</w:t>
      </w:r>
    </w:p>
    <w:p w:rsidR="000227E1" w:rsidRPr="00345DA1" w:rsidRDefault="000227E1" w:rsidP="00A76451">
      <w:pPr>
        <w:spacing w:line="276" w:lineRule="auto"/>
        <w:rPr>
          <w:rFonts w:ascii="Times New Roman" w:hAnsi="Times New Roman" w:cs="Times New Roman"/>
          <w:b/>
        </w:rPr>
      </w:pPr>
      <w:proofErr w:type="gramStart"/>
      <w:r w:rsidRPr="00345DA1">
        <w:rPr>
          <w:rFonts w:ascii="Times New Roman" w:hAnsi="Times New Roman" w:cs="Times New Roman"/>
          <w:b/>
        </w:rPr>
        <w:t>qPCR</w:t>
      </w:r>
      <w:proofErr w:type="gramEnd"/>
      <w:r w:rsidRPr="00345DA1">
        <w:rPr>
          <w:rFonts w:ascii="Times New Roman" w:hAnsi="Times New Roman" w:cs="Times New Roman"/>
          <w:b/>
        </w:rPr>
        <w:t xml:space="preserve"> laboratory analysis</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Telomere lengths were measured with a slightly modified version of a monochrome multiplex quantitative polymerase chain reaction assay (MMQPCR)</w:t>
      </w:r>
      <w:r w:rsidR="004E746D" w:rsidRPr="00345DA1">
        <w:rPr>
          <w:rFonts w:ascii="Times New Roman" w:hAnsi="Times New Roman" w:cs="Times New Roman"/>
        </w:rPr>
        <w:t xml:space="preserve"> designed by Richard Cawthon </w:t>
      </w:r>
      <w:r w:rsidR="00AA0BB2" w:rsidRPr="00345DA1">
        <w:rPr>
          <w:rFonts w:ascii="Times New Roman" w:hAnsi="Times New Roman" w:cs="Times New Roman"/>
        </w:rPr>
        <w:fldChar w:fldCharType="begin"/>
      </w:r>
      <w:r w:rsidR="00AA0BB2" w:rsidRPr="00345DA1">
        <w:rPr>
          <w:rFonts w:ascii="Times New Roman" w:hAnsi="Times New Roman" w:cs="Times New Roman"/>
        </w:rPr>
        <w:instrText xml:space="preserve"> ADDIN EN.CITE &lt;EndNote&gt;&lt;Cite ExcludeAuth="1"&gt;&lt;Author&gt;Cawthon&lt;/Author&gt;&lt;Year&gt;2009&lt;/Year&gt;&lt;RecNum&gt;3244&lt;/RecNum&gt;&lt;DisplayText&gt;(1)&lt;/DisplayText&gt;&lt;record&gt;&lt;rec-number&gt;3244&lt;/rec-number&gt;&lt;foreign-keys&gt;&lt;key app="EN" db-id="rt20vase9a095zevxvwpterq2t02v22e520p"&gt;3244&lt;/key&gt;&lt;/foreign-keys&gt;&lt;ref-type name="Journal Article"&gt;17&lt;/ref-type&gt;&lt;contributors&gt;&lt;authors&gt;&lt;author&gt;Cawthon, R. M.&lt;/author&gt;&lt;/authors&gt;&lt;/contributors&gt;&lt;auth-address&gt;Department of Human Genetics, University of Utah, Salt Lake City, UT 84112, USA. rcawthon@genetics.utah.edu&lt;/auth-address&gt;&lt;titles&gt;&lt;title&gt;Telomere length measurement by a novel monochrome multiplex quantitative PCR method&lt;/title&gt;&lt;secondary-title&gt;Nucleic Acids Res&lt;/secondary-title&gt;&lt;alt-title&gt;Nucleic acids research&lt;/alt-title&gt;&lt;/titles&gt;&lt;periodical&gt;&lt;full-title&gt;Nucleic Acids Res&lt;/full-title&gt;&lt;/periodical&gt;&lt;alt-periodical&gt;&lt;full-title&gt;Nucleic Acids Research&lt;/full-title&gt;&lt;/alt-periodical&gt;&lt;pages&gt;e21&lt;/pages&gt;&lt;volume&gt;37&lt;/volume&gt;&lt;number&gt;3&lt;/number&gt;&lt;edition&gt;2009/01/09&lt;/edition&gt;&lt;keywords&gt;&lt;keyword&gt;Albumins/genetics&lt;/keyword&gt;&lt;keyword&gt;DNA Primers&lt;/keyword&gt;&lt;keyword&gt;Gene Dosage&lt;/keyword&gt;&lt;keyword&gt;Humans&lt;/keyword&gt;&lt;keyword&gt;Polymerase Chain Reaction/*methods/standards&lt;/keyword&gt;&lt;keyword&gt;Reference Standards&lt;/keyword&gt;&lt;keyword&gt;Reproducibility of Results&lt;/keyword&gt;&lt;keyword&gt;Tandem Repeat Sequences&lt;/keyword&gt;&lt;keyword&gt;Telomere/*chemistry&lt;/keyword&gt;&lt;keyword&gt;Temperature&lt;/keyword&gt;&lt;keyword&gt;beta-Globins/genetics&lt;/keyword&gt;&lt;/keywords&gt;&lt;dates&gt;&lt;year&gt;2009&lt;/year&gt;&lt;pub-dates&gt;&lt;date&gt;Feb&lt;/date&gt;&lt;/pub-dates&gt;&lt;/dates&gt;&lt;isbn&gt;1362-4962 (Electronic)&amp;#xD;0305-1048 (Linking)&lt;/isbn&gt;&lt;accession-num&gt;19129229&lt;/accession-num&gt;&lt;urls&gt;&lt;related-urls&gt;&lt;url&gt;http://www.ncbi.nlm.nih.gov/pubmed/19129229&lt;/url&gt;&lt;/related-urls&gt;&lt;/urls&gt;&lt;custom2&gt;2647324&lt;/custom2&gt;&lt;electronic-resource-num&gt;10.1093/nar/gkn1027&lt;/electronic-resource-num&gt;&lt;language&gt;eng&lt;/language&gt;&lt;/record&gt;&lt;/Cite&gt;&lt;/EndNote&gt;</w:instrText>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1" w:tooltip="Cawthon, 2009 #3244" w:history="1">
        <w:r w:rsidR="00AA0BB2" w:rsidRPr="00345DA1">
          <w:rPr>
            <w:rFonts w:ascii="Times New Roman" w:hAnsi="Times New Roman" w:cs="Times New Roman"/>
            <w:noProof/>
          </w:rPr>
          <w:t>1</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Pr="00345DA1">
        <w:rPr>
          <w:rFonts w:ascii="Times New Roman" w:hAnsi="Times New Roman" w:cs="Times New Roman"/>
        </w:rPr>
        <w:t xml:space="preserve">, designed to improve upon his previous singleplex quantitative PCR </w:t>
      </w:r>
      <w:r w:rsidR="004E746D" w:rsidRPr="00345DA1">
        <w:rPr>
          <w:rFonts w:ascii="Times New Roman" w:hAnsi="Times New Roman" w:cs="Times New Roman"/>
        </w:rPr>
        <w:t>(qPCR) assay</w:t>
      </w:r>
      <w:r w:rsidR="00AA0BB2" w:rsidRPr="00345DA1">
        <w:rPr>
          <w:rFonts w:ascii="Times New Roman" w:hAnsi="Times New Roman" w:cs="Times New Roman"/>
        </w:rPr>
        <w:t xml:space="preserve"> </w:t>
      </w:r>
      <w:r w:rsidR="00AA0BB2" w:rsidRPr="00345DA1">
        <w:rPr>
          <w:rFonts w:ascii="Times New Roman" w:hAnsi="Times New Roman" w:cs="Times New Roman"/>
        </w:rPr>
        <w:fldChar w:fldCharType="begin"/>
      </w:r>
      <w:r w:rsidR="00AA0BB2" w:rsidRPr="00345DA1">
        <w:rPr>
          <w:rFonts w:ascii="Times New Roman" w:hAnsi="Times New Roman" w:cs="Times New Roman"/>
        </w:rPr>
        <w:instrText xml:space="preserve"> ADDIN EN.CITE &lt;EndNote&gt;&lt;Cite&gt;&lt;Author&gt;Cawthon&lt;/Author&gt;&lt;Year&gt;2002&lt;/Year&gt;&lt;RecNum&gt;4471&lt;/RecNum&gt;&lt;DisplayText&gt;(2)&lt;/DisplayText&gt;&lt;record&gt;&lt;rec-number&gt;4471&lt;/rec-number&gt;&lt;foreign-keys&gt;&lt;key app="EN" db-id="rt20vase9a095zevxvwpterq2t02v22e520p"&gt;4471&lt;/key&gt;&lt;/foreign-keys&gt;&lt;ref-type name="Journal Article"&gt;17&lt;/ref-type&gt;&lt;contributors&gt;&lt;authors&gt;&lt;author&gt;Cawthon, R. M.&lt;/author&gt;&lt;/authors&gt;&lt;/contributors&gt;&lt;auth-address&gt;Department of Human Genetics, University of Utah, 15 N 2030 E, Room 2100, Salt Lake City, UT 84112, USA. rcawthon@genetics.utah.edu&lt;/auth-address&gt;&lt;titles&gt;&lt;title&gt;Telomere measurement by quantitative PCR&lt;/title&gt;&lt;secondary-title&gt;Nucleic Acids Res&lt;/secondary-title&gt;&lt;/titles&gt;&lt;periodical&gt;&lt;full-title&gt;Nucleic Acids Res&lt;/full-title&gt;&lt;/periodical&gt;&lt;pages&gt;e47&lt;/pages&gt;&lt;volume&gt;30&lt;/volume&gt;&lt;number&gt;10&lt;/number&gt;&lt;edition&gt;2002/05/10&lt;/edition&gt;&lt;keywords&gt;&lt;keyword&gt;Adolescent&lt;/keyword&gt;&lt;keyword&gt;Adult&lt;/keyword&gt;&lt;keyword&gt;Aged&lt;/keyword&gt;&lt;keyword&gt;Aged, 80 and over&lt;/keyword&gt;&lt;keyword&gt;Base Sequence&lt;/keyword&gt;&lt;keyword&gt;Child&lt;/keyword&gt;&lt;keyword&gt;Child, Preschool&lt;/keyword&gt;&lt;keyword&gt;DNA/genetics&lt;/keyword&gt;&lt;keyword&gt;DNA Primers/genetics&lt;/keyword&gt;&lt;keyword&gt;Electrophoresis, Agar Gel&lt;/keyword&gt;&lt;keyword&gt;Female&lt;/keyword&gt;&lt;keyword&gt;Humans&lt;/keyword&gt;&lt;keyword&gt;Male&lt;/keyword&gt;&lt;keyword&gt;Middle Aged&lt;/keyword&gt;&lt;keyword&gt;Molecular Sequence Data&lt;/keyword&gt;&lt;keyword&gt;Polymerase Chain Reaction/*methods&lt;/keyword&gt;&lt;keyword&gt;Reproducibility of Results&lt;/keyword&gt;&lt;keyword&gt;Telomere/*genetics&lt;/keyword&gt;&lt;/keywords&gt;&lt;dates&gt;&lt;year&gt;2002&lt;/year&gt;&lt;pub-dates&gt;&lt;date&gt;May 15&lt;/date&gt;&lt;/pub-dates&gt;&lt;/dates&gt;&lt;isbn&gt;1362-4962 (Electronic)&lt;/isbn&gt;&lt;accession-num&gt;12000852&lt;/accession-num&gt;&lt;urls&gt;&lt;related-urls&gt;&lt;url&gt;http://www.ncbi.nlm.nih.gov/entrez/query.fcgi?cmd=Retrieve&amp;amp;db=PubMed&amp;amp;dopt=Citation&amp;amp;list_uids=12000852&lt;/url&gt;&lt;/related-urls&gt;&lt;/urls&gt;&lt;custom2&gt;115301&lt;/custom2&gt;&lt;language&gt;eng&lt;/language&gt;&lt;/record&gt;&lt;/Cite&gt;&lt;/EndNote&gt;</w:instrText>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2" w:tooltip="Cawthon, 2002 #4471" w:history="1">
        <w:r w:rsidR="00AA0BB2" w:rsidRPr="00345DA1">
          <w:rPr>
            <w:rFonts w:ascii="Times New Roman" w:hAnsi="Times New Roman" w:cs="Times New Roman"/>
            <w:noProof/>
          </w:rPr>
          <w:t>2</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00AA0BB2" w:rsidRPr="00345DA1">
        <w:rPr>
          <w:rFonts w:ascii="Times New Roman" w:hAnsi="Times New Roman" w:cs="Times New Roman"/>
        </w:rPr>
        <w:t xml:space="preserve">. All samples were run in triplicate 25 µl reactions with 20 ng of DNA template in each reaction (2 µl at 10 ng/µl or a final concentration of 0.8 ng/µl). Primers (synthesized by IDT) were as designed by Cawthon </w:t>
      </w:r>
      <w:r w:rsidR="00AA0BB2" w:rsidRPr="00345DA1">
        <w:rPr>
          <w:rFonts w:ascii="Times New Roman" w:hAnsi="Times New Roman" w:cs="Times New Roman"/>
        </w:rPr>
        <w:fldChar w:fldCharType="begin"/>
      </w:r>
      <w:r w:rsidR="00AA0BB2" w:rsidRPr="00345DA1">
        <w:rPr>
          <w:rFonts w:ascii="Times New Roman" w:hAnsi="Times New Roman" w:cs="Times New Roman"/>
        </w:rPr>
        <w:instrText xml:space="preserve"> ADDIN EN.CITE &lt;EndNote&gt;&lt;Cite ExcludeAuth="1"&gt;&lt;Author&gt;Cawthon&lt;/Author&gt;&lt;Year&gt;2009&lt;/Year&gt;&lt;RecNum&gt;3244&lt;/RecNum&gt;&lt;DisplayText&gt;(1)&lt;/DisplayText&gt;&lt;record&gt;&lt;rec-number&gt;3244&lt;/rec-number&gt;&lt;foreign-keys&gt;&lt;key app="EN" db-id="rt20vase9a095zevxvwpterq2t02v22e520p"&gt;3244&lt;/key&gt;&lt;/foreign-keys&gt;&lt;ref-type name="Journal Article"&gt;17&lt;/ref-type&gt;&lt;contributors&gt;&lt;authors&gt;&lt;author&gt;Cawthon, R. M.&lt;/author&gt;&lt;/authors&gt;&lt;/contributors&gt;&lt;auth-address&gt;Department of Human Genetics, University of Utah, Salt Lake City, UT 84112, USA. rcawthon@genetics.utah.edu&lt;/auth-address&gt;&lt;titles&gt;&lt;title&gt;Telomere length measurement by a novel monochrome multiplex quantitative PCR method&lt;/title&gt;&lt;secondary-title&gt;Nucleic Acids Res&lt;/secondary-title&gt;&lt;alt-title&gt;Nucleic acids research&lt;/alt-title&gt;&lt;/titles&gt;&lt;periodical&gt;&lt;full-title&gt;Nucleic Acids Res&lt;/full-title&gt;&lt;/periodical&gt;&lt;alt-periodical&gt;&lt;full-title&gt;Nucleic Acids Research&lt;/full-title&gt;&lt;/alt-periodical&gt;&lt;pages&gt;e21&lt;/pages&gt;&lt;volume&gt;37&lt;/volume&gt;&lt;number&gt;3&lt;/number&gt;&lt;edition&gt;2009/01/09&lt;/edition&gt;&lt;keywords&gt;&lt;keyword&gt;Albumins/genetics&lt;/keyword&gt;&lt;keyword&gt;DNA Primers&lt;/keyword&gt;&lt;keyword&gt;Gene Dosage&lt;/keyword&gt;&lt;keyword&gt;Humans&lt;/keyword&gt;&lt;keyword&gt;Polymerase Chain Reaction/*methods/standards&lt;/keyword&gt;&lt;keyword&gt;Reference Standards&lt;/keyword&gt;&lt;keyword&gt;Reproducibility of Results&lt;/keyword&gt;&lt;keyword&gt;Tandem Repeat Sequences&lt;/keyword&gt;&lt;keyword&gt;Telomere/*chemistry&lt;/keyword&gt;&lt;keyword&gt;Temperature&lt;/keyword&gt;&lt;keyword&gt;beta-Globins/genetics&lt;/keyword&gt;&lt;/keywords&gt;&lt;dates&gt;&lt;year&gt;2009&lt;/year&gt;&lt;pub-dates&gt;&lt;date&gt;Feb&lt;/date&gt;&lt;/pub-dates&gt;&lt;/dates&gt;&lt;isbn&gt;1362-4962 (Electronic)&amp;#xD;0305-1048 (Linking)&lt;/isbn&gt;&lt;accession-num&gt;19129229&lt;/accession-num&gt;&lt;urls&gt;&lt;related-urls&gt;&lt;url&gt;http://www.ncbi.nlm.nih.gov/pubmed/19129229&lt;/url&gt;&lt;/related-urls&gt;&lt;/urls&gt;&lt;custom2&gt;2647324&lt;/custom2&gt;&lt;electronic-resource-num&gt;10.1093/nar/gkn1027&lt;/electronic-resource-num&gt;&lt;language&gt;eng&lt;/language&gt;&lt;/record&gt;&lt;/Cite&gt;&lt;/EndNote&gt;</w:instrText>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1" w:tooltip="Cawthon, 2009 #3244" w:history="1">
        <w:r w:rsidR="00AA0BB2" w:rsidRPr="00345DA1">
          <w:rPr>
            <w:rFonts w:ascii="Times New Roman" w:hAnsi="Times New Roman" w:cs="Times New Roman"/>
            <w:noProof/>
          </w:rPr>
          <w:t>1</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00AA0BB2" w:rsidRPr="00345DA1">
        <w:rPr>
          <w:rFonts w:ascii="Times New Roman" w:hAnsi="Times New Roman" w:cs="Times New Roman"/>
        </w:rPr>
        <w:t xml:space="preserve"> </w:t>
      </w:r>
      <w:r w:rsidRPr="00345DA1">
        <w:rPr>
          <w:rFonts w:ascii="Times New Roman" w:hAnsi="Times New Roman" w:cs="Times New Roman"/>
        </w:rPr>
        <w:t xml:space="preserve">but with telc/telg primers at 500 nM each and albu/albd at 300 nM each. </w:t>
      </w:r>
      <w:r w:rsidR="005F5EE2">
        <w:rPr>
          <w:rFonts w:ascii="Times New Roman" w:hAnsi="Times New Roman" w:cs="Times New Roman"/>
        </w:rPr>
        <w:t xml:space="preserve">In our experience primer concentrations are not always accurately measured by the supplier and should be double checked by spectrophotometry. </w:t>
      </w:r>
      <w:r w:rsidRPr="00345DA1">
        <w:rPr>
          <w:rFonts w:ascii="Times New Roman" w:hAnsi="Times New Roman" w:cs="Times New Roman"/>
        </w:rPr>
        <w:t>Mastermix concentrations were identical to Cawthon 2009 aside from the addition of 10 nM of fluorescein to act as well factor controls. Large volumes (&gt;500 reactions worth) of mastermix were made with all components but water, primers and Taq and stored in single-use-aliquots at -7°C in closed box to protect from light exposure. Each sample was run in triplicate, and prepared with ‘mini-</w:t>
      </w:r>
      <w:proofErr w:type="spellStart"/>
      <w:r w:rsidRPr="00345DA1">
        <w:rPr>
          <w:rFonts w:ascii="Times New Roman" w:hAnsi="Times New Roman" w:cs="Times New Roman"/>
        </w:rPr>
        <w:t>mastermixes</w:t>
      </w:r>
      <w:proofErr w:type="spellEnd"/>
      <w:r w:rsidRPr="00345DA1">
        <w:rPr>
          <w:rFonts w:ascii="Times New Roman" w:hAnsi="Times New Roman" w:cs="Times New Roman"/>
        </w:rPr>
        <w:t>’ containing enough DNA and mastermix to aliquot into three wells (80 µl), and then aliquoted into a PCR plate using a multichannel pipet. Reactions were prepared in clear qPCR 96 well plates (VWR #82006-636), sealed with clear qPCR strip-caps (VWR #83009-684) and briefly spun down. Earlier experiments showed that more common adhesive seals for PCR plates resulted in evaporation in edge and corner wells and corresponding outlying results. Using white plates, which are supposed to decrease random light scatter and result in cleaner results, did not yield noticeably improved results—and were avoided because of the difficulty of visualizing liquids against a white background during aliquoting. Low retention filter tips were used (USA Scientific).</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 xml:space="preserve">Mastermix, mini-mastermix and PCR plate preparations were conducted on ice or with plate coolers. Assays were run on the Bio-Rad iCycler iQ thermocycler with the following thermo-profile: internal well factor collection for 1.5 m at 95°C, denaturation and Taq activation for 13.5 m at 95°C, 2 repeats of: 2 s at 98°C followed by 30 s at 49°C, 34 repeats of: 2 s at 98°C, 30 s at 59°C, 15 s at 74°C with signal acquisition, 30 s at 84°C, 15 s at 85°C with signal acquisition, followed by a melt curve starting with 2 m at 70°C and then 52 cycles increasing by +0.5°C each cycle with a 5 s dwell time (70-95.5°C). This thermo-profile is a slightly modified version of </w:t>
      </w:r>
      <w:proofErr w:type="spellStart"/>
      <w:r w:rsidRPr="00345DA1">
        <w:rPr>
          <w:rFonts w:ascii="Times New Roman" w:hAnsi="Times New Roman" w:cs="Times New Roman"/>
        </w:rPr>
        <w:t>Cawthon’s</w:t>
      </w:r>
      <w:proofErr w:type="spellEnd"/>
      <w:r w:rsidRPr="00345DA1">
        <w:rPr>
          <w:rFonts w:ascii="Times New Roman" w:hAnsi="Times New Roman" w:cs="Times New Roman"/>
        </w:rPr>
        <w:t xml:space="preserve"> published protocol based on personal communication with Cawthon (10/15/2010, posted with permission at http://www.protocol-online.org/biology-forums-2/posts/16555more1.html). The thermocycler and real-time camera were turned on and warmed up at least 15 minutes before each run.</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Previous experiments with the Bio-Rad control assay and this telomere length assay revealed that corner wells of the PCR plate had consistent and substantially discr</w:t>
      </w:r>
      <w:r w:rsidR="009A4F14" w:rsidRPr="00345DA1">
        <w:rPr>
          <w:rFonts w:ascii="Times New Roman" w:hAnsi="Times New Roman" w:cs="Times New Roman"/>
        </w:rPr>
        <w:t xml:space="preserve">epant results from other wells </w:t>
      </w:r>
      <w:r w:rsidR="00AA0BB2" w:rsidRPr="00345DA1">
        <w:rPr>
          <w:rFonts w:ascii="Times New Roman" w:hAnsi="Times New Roman" w:cs="Times New Roman"/>
        </w:rPr>
        <w:fldChar w:fldCharType="begin"/>
      </w:r>
      <w:r w:rsidR="00AA0BB2" w:rsidRPr="00345DA1">
        <w:rPr>
          <w:rFonts w:ascii="Times New Roman" w:hAnsi="Times New Roman" w:cs="Times New Roman"/>
        </w:rPr>
        <w:instrText xml:space="preserve"> ADDIN EN.CITE &lt;EndNote&gt;&lt;Cite&gt;&lt;Author&gt;Herrmann&lt;/Author&gt;&lt;Year&gt;2007&lt;/Year&gt;&lt;RecNum&gt;6057&lt;/RecNum&gt;&lt;Prefix&gt;this is a common problem to Bio-Rad iCycler and Bio-Rad CFX 384 well platforms operating within company specifications`, and probably a more general problem with peltier based thermocyclers`; &lt;/Prefix&gt;&lt;DisplayText&gt;(this is a common problem to Bio-Rad iCycler and Bio-Rad CFX 384 well platforms operating within company specifications, and probably a more general problem with peltier based thermocyclers; 3)&lt;/DisplayText&gt;&lt;record&gt;&lt;rec-number&gt;6057&lt;/rec-number&gt;&lt;foreign-keys&gt;&lt;key app="EN" db-id="rt20vase9a095zevxvwpterq2t02v22e520p"&gt;6057&lt;/key&gt;&lt;/foreign-keys&gt;&lt;ref-type name="Journal Article"&gt;17&lt;/ref-type&gt;&lt;contributors&gt;&lt;authors&gt;&lt;author&gt;Herrmann, Mark G.&lt;/author&gt;&lt;author&gt;Durtschi, Jacob D.&lt;/author&gt;&lt;author&gt;Wittwer, Carl T.&lt;/author&gt;&lt;author&gt;Voelkerding, Karl V.&lt;/author&gt;&lt;/authors&gt;&lt;/contributors&gt;&lt;titles&gt;&lt;title&gt;Expanded Instrument Comparison of Amplicon DNA Melting Analysis for Mutation Scanning and Genotyping&lt;/title&gt;&lt;secondary-title&gt;Clin Chem&lt;/secondary-title&gt;&lt;/titles&gt;&lt;periodical&gt;&lt;full-title&gt;Clin Chem&lt;/full-title&gt;&lt;/periodical&gt;&lt;pages&gt;1544-1548&lt;/pages&gt;&lt;volume&gt;53&lt;/volume&gt;&lt;number&gt;8&lt;/number&gt;&lt;dates&gt;&lt;year&gt;2007&lt;/year&gt;&lt;pub-dates&gt;&lt;date&gt;August 1, 2007&lt;/date&gt;&lt;/pub-dates&gt;&lt;/dates&gt;&lt;urls&gt;&lt;related-urls&gt;&lt;url&gt;http://www.clinchem.org/cgi/content/abstract/53/8/1544&lt;/url&gt;&lt;url&gt;http://www.clinchem.org/cgi/reprint/53/8/1544.pdf&lt;/url&gt;&lt;/related-urls&gt;&lt;/urls&gt;&lt;electronic-resource-num&gt;10.1373/clinchem.2007.088120&lt;/electronic-resource-num&gt;&lt;/record&gt;&lt;/Cite&gt;&lt;/EndNote&gt;</w:instrText>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3" w:tooltip="Herrmann, 2007 #6057" w:history="1">
        <w:r w:rsidR="00AA0BB2" w:rsidRPr="00345DA1">
          <w:rPr>
            <w:rFonts w:ascii="Times New Roman" w:hAnsi="Times New Roman" w:cs="Times New Roman"/>
            <w:noProof/>
          </w:rPr>
          <w:t>this is a common problem to Bio-Rad iCycler and Bio-Rad CFX 384 well platforms operating within company specifications, and probably a more general problem with peltier based thermocyclers; 3</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Pr="00345DA1">
        <w:rPr>
          <w:rFonts w:ascii="Times New Roman" w:hAnsi="Times New Roman" w:cs="Times New Roman"/>
        </w:rPr>
        <w:t xml:space="preserve">. Therefore, only negative controls were placed in two of the corner wells (Row H), while corner wells in Row A were left empty. </w:t>
      </w:r>
    </w:p>
    <w:p w:rsidR="004A697A" w:rsidRPr="00345DA1" w:rsidRDefault="004A697A" w:rsidP="00A76451">
      <w:pPr>
        <w:spacing w:line="276" w:lineRule="auto"/>
        <w:rPr>
          <w:rFonts w:ascii="Times New Roman" w:hAnsi="Times New Roman" w:cs="Times New Roman"/>
        </w:rPr>
      </w:pPr>
    </w:p>
    <w:p w:rsidR="004A697A" w:rsidRPr="00345DA1" w:rsidRDefault="004A697A" w:rsidP="00A76451">
      <w:pPr>
        <w:pStyle w:val="Heading3"/>
        <w:numPr>
          <w:ilvl w:val="0"/>
          <w:numId w:val="0"/>
        </w:numPr>
        <w:spacing w:line="276" w:lineRule="auto"/>
        <w:rPr>
          <w:sz w:val="22"/>
          <w:szCs w:val="22"/>
        </w:rPr>
      </w:pPr>
      <w:r w:rsidRPr="00345DA1">
        <w:rPr>
          <w:sz w:val="22"/>
          <w:szCs w:val="22"/>
        </w:rPr>
        <w:lastRenderedPageBreak/>
        <w:t>DNA sample preparation</w:t>
      </w:r>
    </w:p>
    <w:p w:rsidR="004A697A" w:rsidRPr="00345DA1" w:rsidRDefault="004A697A" w:rsidP="00A76451">
      <w:pPr>
        <w:spacing w:line="276" w:lineRule="auto"/>
        <w:rPr>
          <w:rFonts w:ascii="Times New Roman" w:hAnsi="Times New Roman" w:cs="Times New Roman"/>
        </w:rPr>
      </w:pPr>
      <w:r w:rsidRPr="00345DA1">
        <w:rPr>
          <w:rFonts w:ascii="Times New Roman" w:hAnsi="Times New Roman" w:cs="Times New Roman"/>
        </w:rPr>
        <w:t>A positive con</w:t>
      </w:r>
      <w:r w:rsidR="001D2204">
        <w:rPr>
          <w:rFonts w:ascii="Times New Roman" w:hAnsi="Times New Roman" w:cs="Times New Roman"/>
        </w:rPr>
        <w:t xml:space="preserve">trol sample was prepared from </w:t>
      </w:r>
      <w:r w:rsidRPr="00345DA1">
        <w:rPr>
          <w:rFonts w:ascii="Times New Roman" w:hAnsi="Times New Roman" w:cs="Times New Roman"/>
        </w:rPr>
        <w:t>pooled DNA from several samples and stored in small, single-use aliquots at -80°C. All plates contained 6 wells worth of positive control samples (2 samples worth in triplicate), placed in the same wells on each plate to minimize inter-run variability.</w:t>
      </w:r>
    </w:p>
    <w:p w:rsidR="004A697A" w:rsidRPr="00345DA1" w:rsidRDefault="004A697A" w:rsidP="00A76451">
      <w:pPr>
        <w:spacing w:line="276" w:lineRule="auto"/>
        <w:rPr>
          <w:rFonts w:ascii="Times New Roman" w:hAnsi="Times New Roman" w:cs="Times New Roman"/>
        </w:rPr>
      </w:pPr>
      <w:r w:rsidRPr="00345DA1">
        <w:rPr>
          <w:rFonts w:ascii="Times New Roman" w:hAnsi="Times New Roman" w:cs="Times New Roman"/>
        </w:rPr>
        <w:t>Stock DNA templates were stored at -80°C until &lt; 1 day before use. Stock plates were slowly thawed (first placed at -7°C for ~1 hour, then at 4°C), spun down and DNA concentrations measured as ou</w:t>
      </w:r>
      <w:r w:rsidR="00A03DA2" w:rsidRPr="00345DA1">
        <w:rPr>
          <w:rFonts w:ascii="Times New Roman" w:hAnsi="Times New Roman" w:cs="Times New Roman"/>
        </w:rPr>
        <w:t>tlined below</w:t>
      </w:r>
      <w:r w:rsidRPr="00345DA1">
        <w:rPr>
          <w:rFonts w:ascii="Times New Roman" w:hAnsi="Times New Roman" w:cs="Times New Roman"/>
        </w:rPr>
        <w:t>. Working stocks were diluted to 10 ng/µl and stored at 4°C for up to a few days while analyzed.</w:t>
      </w:r>
    </w:p>
    <w:p w:rsidR="004A697A" w:rsidRPr="00345DA1" w:rsidRDefault="004A697A" w:rsidP="00A76451">
      <w:pPr>
        <w:pStyle w:val="Heading4"/>
        <w:numPr>
          <w:ilvl w:val="0"/>
          <w:numId w:val="0"/>
        </w:numPr>
        <w:spacing w:line="276" w:lineRule="auto"/>
        <w:ind w:left="576"/>
        <w:rPr>
          <w:sz w:val="22"/>
          <w:szCs w:val="22"/>
        </w:rPr>
      </w:pPr>
      <w:r w:rsidRPr="00345DA1">
        <w:rPr>
          <w:sz w:val="22"/>
          <w:szCs w:val="22"/>
        </w:rPr>
        <w:t>DNA concentration determination</w:t>
      </w:r>
    </w:p>
    <w:p w:rsidR="004A697A" w:rsidRPr="00345DA1" w:rsidRDefault="004A697A" w:rsidP="00A76451">
      <w:pPr>
        <w:spacing w:line="276" w:lineRule="auto"/>
        <w:rPr>
          <w:rFonts w:ascii="Times New Roman" w:hAnsi="Times New Roman" w:cs="Times New Roman"/>
        </w:rPr>
      </w:pPr>
      <w:r w:rsidRPr="00345DA1">
        <w:rPr>
          <w:rFonts w:ascii="Times New Roman" w:hAnsi="Times New Roman" w:cs="Times New Roman"/>
        </w:rPr>
        <w:t>Conventional methods of determining DNA concentrations are effectively destructive to a portion of the DNA, time-consuming a</w:t>
      </w:r>
      <w:r w:rsidR="00A03DA2" w:rsidRPr="00345DA1">
        <w:rPr>
          <w:rFonts w:ascii="Times New Roman" w:hAnsi="Times New Roman" w:cs="Times New Roman"/>
        </w:rPr>
        <w:t>nd/or low-throughput. Instead, we</w:t>
      </w:r>
      <w:r w:rsidRPr="00345DA1">
        <w:rPr>
          <w:rFonts w:ascii="Times New Roman" w:hAnsi="Times New Roman" w:cs="Times New Roman"/>
        </w:rPr>
        <w:t xml:space="preserve"> implemented a high-throughput method using absorbance, but on relatively recently developed, and not yet widely adopted UV Clear plates </w:t>
      </w:r>
      <w:r w:rsidR="00AA0BB2" w:rsidRPr="00345DA1">
        <w:rPr>
          <w:rFonts w:ascii="Times New Roman" w:hAnsi="Times New Roman" w:cs="Times New Roman"/>
        </w:rPr>
        <w:fldChar w:fldCharType="begin"/>
      </w:r>
      <w:r w:rsidR="00AA0BB2" w:rsidRPr="00345DA1">
        <w:rPr>
          <w:rFonts w:ascii="Times New Roman" w:hAnsi="Times New Roman" w:cs="Times New Roman"/>
        </w:rPr>
        <w:instrText xml:space="preserve"> ADDIN EN.CITE &lt;EndNote&gt;&lt;Cite&gt;&lt;Author&gt;McGown&lt;/Author&gt;&lt;Year&gt;2000&lt;/Year&gt;&lt;RecNum&gt;5023&lt;/RecNum&gt;&lt;DisplayText&gt;(4)&lt;/DisplayText&gt;&lt;record&gt;&lt;rec-number&gt;5023&lt;/rec-number&gt;&lt;foreign-keys&gt;&lt;key app="EN" db-id="rt20vase9a095zevxvwpterq2t02v22e520p"&gt;5023&lt;/key&gt;&lt;/foreign-keys&gt;&lt;ref-type name="Journal Article"&gt;17&lt;/ref-type&gt;&lt;contributors&gt;&lt;authors&gt;&lt;author&gt;McGown, E. L.&lt;/author&gt;&lt;/authors&gt;&lt;/contributors&gt;&lt;auth-address&gt;Molecular Devices Corporation, Sunnyvale, CA 94089-1136, USA. evelyn_mcgown@moldev.com&lt;/auth-address&gt;&lt;titles&gt;&lt;title&gt;UV absorbance measurements of DNA in microplates&lt;/title&gt;&lt;secondary-title&gt;Biotechniques&lt;/secondary-title&gt;&lt;/titles&gt;&lt;periodical&gt;&lt;full-title&gt;BioTechniques&lt;/full-title&gt;&lt;/periodical&gt;&lt;pages&gt;60, 63-4&lt;/pages&gt;&lt;volume&gt;28&lt;/volume&gt;&lt;number&gt;1&lt;/number&gt;&lt;edition&gt;2000/01/29&lt;/edition&gt;&lt;keywords&gt;&lt;keyword&gt;Animals&lt;/keyword&gt;&lt;keyword&gt;DNA/*analysis&lt;/keyword&gt;&lt;keyword&gt;Osmolar Concentration&lt;/keyword&gt;&lt;keyword&gt;Reference Standards&lt;/keyword&gt;&lt;keyword&gt;Spectrophotometry, Ultraviolet/*methods&lt;/keyword&gt;&lt;/keywords&gt;&lt;dates&gt;&lt;year&gt;2000&lt;/year&gt;&lt;pub-dates&gt;&lt;date&gt;Jan&lt;/date&gt;&lt;/pub-dates&gt;&lt;/dates&gt;&lt;isbn&gt;0736-6205 (Print)&amp;#xD;0736-6205 (Linking)&lt;/isbn&gt;&lt;accession-num&gt;10649771&lt;/accession-num&gt;&lt;urls&gt;&lt;related-urls&gt;&lt;url&gt;http://www.ncbi.nlm.nih.gov/entrez/query.fcgi?cmd=Retrieve&amp;amp;db=PubMed&amp;amp;dopt=Citation&amp;amp;list_uids=10649771&lt;/url&gt;&lt;/related-urls&gt;&lt;/urls&gt;&lt;language&gt;eng&lt;/language&gt;&lt;/record&gt;&lt;/Cite&gt;&lt;/EndNote&gt;</w:instrText>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4" w:tooltip="McGown, 2000 #5023" w:history="1">
        <w:r w:rsidR="00AA0BB2" w:rsidRPr="00345DA1">
          <w:rPr>
            <w:rFonts w:ascii="Times New Roman" w:hAnsi="Times New Roman" w:cs="Times New Roman"/>
            <w:noProof/>
          </w:rPr>
          <w:t>4</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00A03DA2" w:rsidRPr="00345DA1">
        <w:rPr>
          <w:rFonts w:ascii="Times New Roman" w:hAnsi="Times New Roman" w:cs="Times New Roman"/>
        </w:rPr>
        <w:t>(p</w:t>
      </w:r>
      <w:r w:rsidRPr="00345DA1">
        <w:rPr>
          <w:rFonts w:ascii="Times New Roman" w:hAnsi="Times New Roman" w:cs="Times New Roman"/>
        </w:rPr>
        <w:t xml:space="preserve">rotocol adapted from </w:t>
      </w:r>
      <w:hyperlink r:id="rId5" w:history="1">
        <w:r w:rsidRPr="00345DA1">
          <w:rPr>
            <w:rStyle w:val="Hyperlink"/>
            <w:rFonts w:ascii="Times New Roman" w:hAnsi="Times New Roman" w:cs="Times New Roman"/>
          </w:rPr>
          <w:t>http://openwetware.org/wiki/Prbbbb:dna_measurement_on_plate_v1</w:t>
        </w:r>
      </w:hyperlink>
      <w:r w:rsidR="00A03DA2" w:rsidRPr="00345DA1">
        <w:rPr>
          <w:rFonts w:ascii="Times New Roman" w:hAnsi="Times New Roman" w:cs="Times New Roman"/>
        </w:rPr>
        <w:t>)</w:t>
      </w:r>
      <w:r w:rsidRPr="00345DA1">
        <w:rPr>
          <w:rFonts w:ascii="Times New Roman" w:hAnsi="Times New Roman" w:cs="Times New Roman"/>
        </w:rPr>
        <w:t xml:space="preserve">. </w:t>
      </w:r>
    </w:p>
    <w:p w:rsidR="004A697A" w:rsidRPr="00345DA1" w:rsidRDefault="004A697A" w:rsidP="00A76451">
      <w:pPr>
        <w:spacing w:line="276" w:lineRule="auto"/>
        <w:rPr>
          <w:rFonts w:ascii="Times New Roman" w:hAnsi="Times New Roman" w:cs="Times New Roman"/>
        </w:rPr>
      </w:pPr>
      <w:r w:rsidRPr="00345DA1">
        <w:rPr>
          <w:rFonts w:ascii="Times New Roman" w:hAnsi="Times New Roman" w:cs="Times New Roman"/>
        </w:rPr>
        <w:t xml:space="preserve">Traditional spectrophotometers use a fixed pathlength determined by the width of a quartz cuvette (usually 1 cm). The absorbance pathlength of samples measured on a plate is vertical through the plate and thus is instead determined by the volume of the liquid in each well and is subject to </w:t>
      </w:r>
      <w:proofErr w:type="spellStart"/>
      <w:r w:rsidRPr="00345DA1">
        <w:rPr>
          <w:rFonts w:ascii="Times New Roman" w:hAnsi="Times New Roman" w:cs="Times New Roman"/>
        </w:rPr>
        <w:t>pippeting</w:t>
      </w:r>
      <w:proofErr w:type="spellEnd"/>
      <w:r w:rsidRPr="00345DA1">
        <w:rPr>
          <w:rFonts w:ascii="Times New Roman" w:hAnsi="Times New Roman" w:cs="Times New Roman"/>
        </w:rPr>
        <w:t xml:space="preserve"> error and adherence of the liquid to the edge of the well. To correct for this, a pathlength correction was used as illustrated in</w:t>
      </w:r>
      <w:r w:rsidR="001D2204">
        <w:rPr>
          <w:rFonts w:ascii="Times New Roman" w:hAnsi="Times New Roman" w:cs="Times New Roman"/>
        </w:rPr>
        <w:t xml:space="preserve"> the below </w:t>
      </w:r>
      <w:r w:rsidRPr="00345DA1">
        <w:rPr>
          <w:rFonts w:ascii="Times New Roman" w:hAnsi="Times New Roman" w:cs="Times New Roman"/>
        </w:rPr>
        <w:t>equation</w:t>
      </w:r>
      <w:r w:rsidR="001D2204">
        <w:rPr>
          <w:rFonts w:ascii="Times New Roman" w:hAnsi="Times New Roman" w:cs="Times New Roman"/>
        </w:rPr>
        <w:t>:</w:t>
      </w:r>
    </w:p>
    <w:p w:rsidR="004A697A" w:rsidRPr="00345DA1" w:rsidRDefault="004A697A" w:rsidP="00A76451">
      <w:pPr>
        <w:pStyle w:val="Equations"/>
        <w:spacing w:line="276" w:lineRule="auto"/>
        <w:rPr>
          <w:rFonts w:ascii="Times New Roman" w:hAnsi="Times New Roman" w:cs="Times New Roman"/>
        </w:rPr>
      </w:pPr>
      <w:r w:rsidRPr="00345DA1">
        <w:rPr>
          <w:rFonts w:ascii="Times New Roman" w:hAnsi="Times New Roman" w:cs="Times New Roman"/>
          <w:position w:val="-28"/>
        </w:rPr>
        <w:object w:dxaOrig="20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95pt;height:34pt" o:ole="">
            <v:imagedata r:id="rId6" o:title=""/>
          </v:shape>
          <o:OLEObject Type="Embed" ProgID="Equation.3" ShapeID="_x0000_i1025" DrawAspect="Content" ObjectID="_1479624011" r:id="rId7"/>
        </w:object>
      </w:r>
      <w:r w:rsidRPr="00345DA1">
        <w:rPr>
          <w:rFonts w:ascii="Times New Roman" w:hAnsi="Times New Roman" w:cs="Times New Roman"/>
        </w:rPr>
        <w:t xml:space="preserve"> </w:t>
      </w:r>
      <w:r w:rsidRPr="00345DA1">
        <w:rPr>
          <w:rFonts w:ascii="Times New Roman" w:hAnsi="Times New Roman" w:cs="Times New Roman"/>
        </w:rPr>
        <w:br/>
        <w:t>c = DNA concentration in ng/µl</w:t>
      </w:r>
      <w:r w:rsidRPr="00345DA1">
        <w:rPr>
          <w:rFonts w:ascii="Times New Roman" w:hAnsi="Times New Roman" w:cs="Times New Roman"/>
        </w:rPr>
        <w:br/>
        <w:t>A</w:t>
      </w:r>
      <w:r w:rsidRPr="00345DA1">
        <w:rPr>
          <w:rFonts w:ascii="Times New Roman" w:hAnsi="Times New Roman" w:cs="Times New Roman"/>
          <w:vertAlign w:val="subscript"/>
        </w:rPr>
        <w:t>260</w:t>
      </w:r>
      <w:r w:rsidRPr="00345DA1">
        <w:rPr>
          <w:rFonts w:ascii="Times New Roman" w:hAnsi="Times New Roman" w:cs="Times New Roman"/>
        </w:rPr>
        <w:t xml:space="preserve"> = Absorbance at 260nm</w:t>
      </w:r>
      <w:r w:rsidRPr="00345DA1">
        <w:rPr>
          <w:rFonts w:ascii="Times New Roman" w:hAnsi="Times New Roman" w:cs="Times New Roman"/>
        </w:rPr>
        <w:br/>
        <w:t>A</w:t>
      </w:r>
      <w:r w:rsidRPr="00345DA1">
        <w:rPr>
          <w:rFonts w:ascii="Times New Roman" w:hAnsi="Times New Roman" w:cs="Times New Roman"/>
          <w:vertAlign w:val="subscript"/>
        </w:rPr>
        <w:t>260</w:t>
      </w:r>
      <w:r w:rsidRPr="00345DA1">
        <w:rPr>
          <w:rFonts w:ascii="Times New Roman" w:hAnsi="Times New Roman" w:cs="Times New Roman"/>
        </w:rPr>
        <w:t>0 = Absorbance at 260nm of blank (wells with just H</w:t>
      </w:r>
      <w:r w:rsidRPr="00345DA1">
        <w:rPr>
          <w:rFonts w:ascii="Times New Roman" w:hAnsi="Times New Roman" w:cs="Times New Roman"/>
          <w:vertAlign w:val="subscript"/>
        </w:rPr>
        <w:t>2</w:t>
      </w:r>
      <w:r w:rsidRPr="00345DA1">
        <w:rPr>
          <w:rFonts w:ascii="Times New Roman" w:hAnsi="Times New Roman" w:cs="Times New Roman"/>
        </w:rPr>
        <w:t>0 in them</w:t>
      </w:r>
      <w:proofErr w:type="gramStart"/>
      <w:r w:rsidRPr="00345DA1">
        <w:rPr>
          <w:rFonts w:ascii="Times New Roman" w:hAnsi="Times New Roman" w:cs="Times New Roman"/>
        </w:rPr>
        <w:t>)</w:t>
      </w:r>
      <w:proofErr w:type="gramEnd"/>
      <w:r w:rsidRPr="00345DA1">
        <w:rPr>
          <w:rFonts w:ascii="Times New Roman" w:hAnsi="Times New Roman" w:cs="Times New Roman"/>
        </w:rPr>
        <w:br/>
        <w:t>e = extinction coefficient of DNA (50 ng*cm/µl)</w:t>
      </w:r>
      <w:r w:rsidRPr="00345DA1">
        <w:rPr>
          <w:rFonts w:ascii="Times New Roman" w:hAnsi="Times New Roman" w:cs="Times New Roman"/>
        </w:rPr>
        <w:br/>
        <w:t>d = path length in cm</w:t>
      </w:r>
    </w:p>
    <w:p w:rsidR="004A697A" w:rsidRPr="00345DA1" w:rsidRDefault="004A697A" w:rsidP="00A76451">
      <w:pPr>
        <w:spacing w:line="276" w:lineRule="auto"/>
        <w:rPr>
          <w:rFonts w:ascii="Times New Roman" w:hAnsi="Times New Roman" w:cs="Times New Roman"/>
        </w:rPr>
      </w:pPr>
      <w:r w:rsidRPr="00345DA1">
        <w:rPr>
          <w:rFonts w:ascii="Times New Roman" w:hAnsi="Times New Roman" w:cs="Times New Roman"/>
        </w:rPr>
        <w:t xml:space="preserve">Using a multi-channel </w:t>
      </w:r>
      <w:proofErr w:type="spellStart"/>
      <w:r w:rsidRPr="00345DA1">
        <w:rPr>
          <w:rFonts w:ascii="Times New Roman" w:hAnsi="Times New Roman" w:cs="Times New Roman"/>
        </w:rPr>
        <w:t>pippetman</w:t>
      </w:r>
      <w:proofErr w:type="spellEnd"/>
      <w:r w:rsidRPr="00345DA1">
        <w:rPr>
          <w:rFonts w:ascii="Times New Roman" w:hAnsi="Times New Roman" w:cs="Times New Roman"/>
        </w:rPr>
        <w:t>, and guides for transferring between 96 and 384 well plates (</w:t>
      </w:r>
      <w:proofErr w:type="spellStart"/>
      <w:r w:rsidRPr="00345DA1">
        <w:rPr>
          <w:rFonts w:ascii="Times New Roman" w:hAnsi="Times New Roman" w:cs="Times New Roman"/>
        </w:rPr>
        <w:t>SABiosciences</w:t>
      </w:r>
      <w:proofErr w:type="spellEnd"/>
      <w:r w:rsidRPr="00345DA1">
        <w:rPr>
          <w:rFonts w:ascii="Times New Roman" w:hAnsi="Times New Roman" w:cs="Times New Roman"/>
        </w:rPr>
        <w:t xml:space="preserve"> PA-384), 5 µl of ddH</w:t>
      </w:r>
      <w:r w:rsidRPr="00345DA1">
        <w:rPr>
          <w:rFonts w:ascii="Times New Roman" w:hAnsi="Times New Roman" w:cs="Times New Roman"/>
          <w:vertAlign w:val="subscript"/>
        </w:rPr>
        <w:t>2</w:t>
      </w:r>
      <w:r w:rsidRPr="00345DA1">
        <w:rPr>
          <w:rFonts w:ascii="Times New Roman" w:hAnsi="Times New Roman" w:cs="Times New Roman"/>
        </w:rPr>
        <w:t>0 was transferred to 96 wells of a low volume 384 well UV Clear plate (Greiner 788876). Then an additional 5 µl of DNA from the stock plate was transferred to the same 96 wells of the 384 well UV Clear plate. Finally, 3 wells in an unused quadrant of the 384 well plate were filled with 10 µl of ddH</w:t>
      </w:r>
      <w:r w:rsidRPr="00345DA1">
        <w:rPr>
          <w:rFonts w:ascii="Times New Roman" w:hAnsi="Times New Roman" w:cs="Times New Roman"/>
          <w:vertAlign w:val="subscript"/>
        </w:rPr>
        <w:t>2</w:t>
      </w:r>
      <w:r w:rsidRPr="00345DA1">
        <w:rPr>
          <w:rFonts w:ascii="Times New Roman" w:hAnsi="Times New Roman" w:cs="Times New Roman"/>
        </w:rPr>
        <w:t xml:space="preserve">0 as negative controls. Using a BioTek </w:t>
      </w:r>
      <w:proofErr w:type="spellStart"/>
      <w:r w:rsidRPr="00345DA1">
        <w:rPr>
          <w:rFonts w:ascii="Times New Roman" w:hAnsi="Times New Roman" w:cs="Times New Roman"/>
        </w:rPr>
        <w:t>PowerWave</w:t>
      </w:r>
      <w:proofErr w:type="spellEnd"/>
      <w:r w:rsidRPr="00345DA1">
        <w:rPr>
          <w:rFonts w:ascii="Times New Roman" w:hAnsi="Times New Roman" w:cs="Times New Roman"/>
        </w:rPr>
        <w:t xml:space="preserve"> XS plate reader with the Gen5 software (version 1.04.5), absorbance measurements were taken at 977, 900, 260, 280, 230, and 320 nm with a sweep reading speed at room temperature. Samples were then recovered from the 384 well plate (~90% of sample could be recovered) and stored in a 96 well working stock storage plate for future diluting down and analysis. Each 384 well plate can was used for 4 different 96 well plates.</w:t>
      </w:r>
    </w:p>
    <w:p w:rsidR="004A697A" w:rsidRPr="00345DA1" w:rsidRDefault="004A697A" w:rsidP="00A76451">
      <w:pPr>
        <w:spacing w:line="276" w:lineRule="auto"/>
        <w:rPr>
          <w:rFonts w:ascii="Times New Roman" w:hAnsi="Times New Roman" w:cs="Times New Roman"/>
        </w:rPr>
      </w:pPr>
      <w:r w:rsidRPr="00345DA1">
        <w:rPr>
          <w:rFonts w:ascii="Times New Roman" w:hAnsi="Times New Roman" w:cs="Times New Roman"/>
        </w:rPr>
        <w:t xml:space="preserve">Pathlength (‘d’ in equation 2.2) was calculated empirically using equation 2.3. </w:t>
      </w:r>
    </w:p>
    <w:p w:rsidR="004A697A" w:rsidRPr="00345DA1" w:rsidRDefault="004A697A" w:rsidP="00A76451">
      <w:pPr>
        <w:pStyle w:val="Equations"/>
        <w:spacing w:line="276" w:lineRule="auto"/>
        <w:rPr>
          <w:rFonts w:ascii="Times New Roman" w:hAnsi="Times New Roman" w:cs="Times New Roman"/>
        </w:rPr>
      </w:pPr>
      <w:r w:rsidRPr="00345DA1">
        <w:rPr>
          <w:rFonts w:ascii="Times New Roman" w:hAnsi="Times New Roman" w:cs="Times New Roman"/>
        </w:rPr>
        <w:t>Equation 2.3</w:t>
      </w:r>
      <w:proofErr w:type="gramStart"/>
      <w:r w:rsidRPr="00345DA1">
        <w:rPr>
          <w:rFonts w:ascii="Times New Roman" w:hAnsi="Times New Roman" w:cs="Times New Roman"/>
        </w:rPr>
        <w:t>:</w:t>
      </w:r>
      <w:proofErr w:type="gramEnd"/>
      <w:r w:rsidRPr="00345DA1">
        <w:rPr>
          <w:rFonts w:ascii="Times New Roman" w:hAnsi="Times New Roman" w:cs="Times New Roman"/>
        </w:rPr>
        <w:br/>
      </w:r>
      <w:r w:rsidRPr="00345DA1">
        <w:rPr>
          <w:rFonts w:ascii="Times New Roman" w:hAnsi="Times New Roman" w:cs="Times New Roman"/>
          <w:position w:val="-30"/>
        </w:rPr>
        <w:object w:dxaOrig="3460" w:dyaOrig="700">
          <v:shape id="_x0000_i1026" type="#_x0000_t75" style="width:173.4pt;height:35.15pt" o:ole="">
            <v:imagedata r:id="rId8" o:title=""/>
          </v:shape>
          <o:OLEObject Type="Embed" ProgID="Equation.3" ShapeID="_x0000_i1026" DrawAspect="Content" ObjectID="_1479624012" r:id="rId9"/>
        </w:object>
      </w:r>
      <w:r w:rsidRPr="00345DA1">
        <w:rPr>
          <w:rFonts w:ascii="Times New Roman" w:hAnsi="Times New Roman" w:cs="Times New Roman"/>
        </w:rPr>
        <w:br/>
        <w:t>d = pathlength in cm</w:t>
      </w:r>
      <w:r w:rsidRPr="00345DA1">
        <w:rPr>
          <w:rFonts w:ascii="Times New Roman" w:hAnsi="Times New Roman" w:cs="Times New Roman"/>
        </w:rPr>
        <w:br/>
      </w:r>
      <w:r w:rsidRPr="00345DA1">
        <w:rPr>
          <w:rFonts w:ascii="Times New Roman" w:hAnsi="Times New Roman" w:cs="Times New Roman"/>
        </w:rPr>
        <w:lastRenderedPageBreak/>
        <w:t>A</w:t>
      </w:r>
      <w:r w:rsidRPr="00345DA1">
        <w:rPr>
          <w:rFonts w:ascii="Times New Roman" w:hAnsi="Times New Roman" w:cs="Times New Roman"/>
          <w:vertAlign w:val="subscript"/>
        </w:rPr>
        <w:t>977</w:t>
      </w:r>
      <w:r w:rsidRPr="00345DA1">
        <w:rPr>
          <w:rFonts w:ascii="Times New Roman" w:hAnsi="Times New Roman" w:cs="Times New Roman"/>
        </w:rPr>
        <w:t xml:space="preserve"> = Absorbance at 977</w:t>
      </w:r>
      <w:r w:rsidR="001D2204">
        <w:rPr>
          <w:rFonts w:ascii="Times New Roman" w:hAnsi="Times New Roman" w:cs="Times New Roman"/>
        </w:rPr>
        <w:t xml:space="preserve"> </w:t>
      </w:r>
      <w:r w:rsidRPr="00345DA1">
        <w:rPr>
          <w:rFonts w:ascii="Times New Roman" w:hAnsi="Times New Roman" w:cs="Times New Roman"/>
        </w:rPr>
        <w:t>nm</w:t>
      </w:r>
      <w:r w:rsidRPr="00345DA1">
        <w:rPr>
          <w:rFonts w:ascii="Times New Roman" w:hAnsi="Times New Roman" w:cs="Times New Roman"/>
        </w:rPr>
        <w:br/>
        <w:t>A</w:t>
      </w:r>
      <w:r w:rsidRPr="00345DA1">
        <w:rPr>
          <w:rFonts w:ascii="Times New Roman" w:hAnsi="Times New Roman" w:cs="Times New Roman"/>
          <w:vertAlign w:val="subscript"/>
        </w:rPr>
        <w:t>900</w:t>
      </w:r>
      <w:r w:rsidRPr="00345DA1">
        <w:rPr>
          <w:rFonts w:ascii="Times New Roman" w:hAnsi="Times New Roman" w:cs="Times New Roman"/>
        </w:rPr>
        <w:t xml:space="preserve"> = Absorbance at 900</w:t>
      </w:r>
      <w:r w:rsidR="001D2204">
        <w:rPr>
          <w:rFonts w:ascii="Times New Roman" w:hAnsi="Times New Roman" w:cs="Times New Roman"/>
        </w:rPr>
        <w:t xml:space="preserve"> </w:t>
      </w:r>
      <w:r w:rsidRPr="00345DA1">
        <w:rPr>
          <w:rFonts w:ascii="Times New Roman" w:hAnsi="Times New Roman" w:cs="Times New Roman"/>
        </w:rPr>
        <w:t>nm</w:t>
      </w:r>
      <w:r w:rsidRPr="00345DA1">
        <w:rPr>
          <w:rFonts w:ascii="Times New Roman" w:hAnsi="Times New Roman" w:cs="Times New Roman"/>
        </w:rPr>
        <w:br/>
        <w:t>numerator contains actual measurements, while denominator is filled in with the known constant value of 0.18</w:t>
      </w:r>
    </w:p>
    <w:p w:rsidR="004A697A" w:rsidRPr="00345DA1" w:rsidRDefault="00A03DA2" w:rsidP="00A76451">
      <w:pPr>
        <w:spacing w:line="276" w:lineRule="auto"/>
        <w:rPr>
          <w:rFonts w:ascii="Times New Roman" w:hAnsi="Times New Roman" w:cs="Times New Roman"/>
        </w:rPr>
      </w:pPr>
      <w:r w:rsidRPr="00345DA1">
        <w:rPr>
          <w:rFonts w:ascii="Times New Roman" w:hAnsi="Times New Roman" w:cs="Times New Roman"/>
        </w:rPr>
        <w:t>S</w:t>
      </w:r>
      <w:r w:rsidR="004A697A" w:rsidRPr="00345DA1">
        <w:rPr>
          <w:rFonts w:ascii="Times New Roman" w:hAnsi="Times New Roman" w:cs="Times New Roman"/>
        </w:rPr>
        <w:t>ome samples were also read on a NanoDrop 2000c spectrophotometer (Thermo Scientific) for cross-validation. A strong correlation with the plate-reader method was found (n=5, range: 33.2-75.9 ng/µl on plate reader, r = 0.9659, p = 0.008, y-intercept not significantly different from 0). After diluting down to 10 ng/µl based on plate reader calculated DNA concentrations, a sub-set of samples were re-checked on the NanoDrop and found to be close to the expected 10 ng/µl (n=8, range: 8.25-11.55 ng/µl, mean: 10.13 ng/µl).</w:t>
      </w:r>
    </w:p>
    <w:p w:rsidR="004A697A" w:rsidRPr="00345DA1" w:rsidRDefault="004A697A" w:rsidP="00A76451">
      <w:pPr>
        <w:spacing w:line="276" w:lineRule="auto"/>
        <w:rPr>
          <w:rFonts w:ascii="Times New Roman" w:hAnsi="Times New Roman" w:cs="Times New Roman"/>
          <w:b/>
        </w:rPr>
      </w:pPr>
    </w:p>
    <w:p w:rsidR="000227E1" w:rsidRPr="00345DA1" w:rsidRDefault="000227E1" w:rsidP="00A76451">
      <w:pPr>
        <w:spacing w:line="276" w:lineRule="auto"/>
        <w:rPr>
          <w:rFonts w:ascii="Times New Roman" w:hAnsi="Times New Roman" w:cs="Times New Roman"/>
          <w:b/>
        </w:rPr>
      </w:pPr>
      <w:proofErr w:type="gramStart"/>
      <w:r w:rsidRPr="00345DA1">
        <w:rPr>
          <w:rFonts w:ascii="Times New Roman" w:hAnsi="Times New Roman" w:cs="Times New Roman"/>
          <w:b/>
        </w:rPr>
        <w:t>qPCR</w:t>
      </w:r>
      <w:proofErr w:type="gramEnd"/>
      <w:r w:rsidRPr="00345DA1">
        <w:rPr>
          <w:rFonts w:ascii="Times New Roman" w:hAnsi="Times New Roman" w:cs="Times New Roman"/>
          <w:b/>
        </w:rPr>
        <w:t xml:space="preserve"> Data analysis</w:t>
      </w:r>
    </w:p>
    <w:p w:rsidR="000227E1" w:rsidRPr="00345DA1" w:rsidRDefault="000227E1" w:rsidP="00A76451">
      <w:pPr>
        <w:spacing w:line="276" w:lineRule="auto"/>
        <w:rPr>
          <w:rFonts w:ascii="Times New Roman" w:hAnsi="Times New Roman" w:cs="Times New Roman"/>
        </w:rPr>
      </w:pPr>
      <w:proofErr w:type="gramStart"/>
      <w:r w:rsidRPr="00345DA1">
        <w:rPr>
          <w:rFonts w:ascii="Times New Roman" w:hAnsi="Times New Roman" w:cs="Times New Roman"/>
        </w:rPr>
        <w:t>qPCR</w:t>
      </w:r>
      <w:proofErr w:type="gramEnd"/>
      <w:r w:rsidRPr="00345DA1">
        <w:rPr>
          <w:rFonts w:ascii="Times New Roman" w:hAnsi="Times New Roman" w:cs="Times New Roman"/>
        </w:rPr>
        <w:t xml:space="preserve"> efficiencies can be measured using standard dilution curves of DNA template, where the Cq difference between samples on the standard curve are used to estimate the efficiency of the reaction. However, the ‘standard curve’ method of efficiency calculation has several potential drawbacks. It is susceptible to estimation errors due to different concentrations of inhibitors or enhancer</w:t>
      </w:r>
      <w:r w:rsidR="004E746D" w:rsidRPr="00345DA1">
        <w:rPr>
          <w:rFonts w:ascii="Times New Roman" w:hAnsi="Times New Roman" w:cs="Times New Roman"/>
        </w:rPr>
        <w:t xml:space="preserve">s in the dilution series </w:t>
      </w:r>
      <w:r w:rsidR="00AA0BB2" w:rsidRPr="00345DA1">
        <w:rPr>
          <w:rFonts w:ascii="Times New Roman" w:hAnsi="Times New Roman" w:cs="Times New Roman"/>
        </w:rPr>
        <w:fldChar w:fldCharType="begin">
          <w:fldData xml:space="preserve">PEVuZE5vdGU+PENpdGU+PEF1dGhvcj5Ib3JuPC9BdXRob3I+PFllYXI+MjAxMDwvWWVhcj48UmVj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</w:fldData>
        </w:fldChar>
      </w:r>
      <w:r w:rsidR="00AA0BB2" w:rsidRPr="00345DA1">
        <w:rPr>
          <w:rFonts w:ascii="Times New Roman" w:hAnsi="Times New Roman" w:cs="Times New Roman"/>
        </w:rPr>
        <w:instrText xml:space="preserve"> ADDIN EN.CITE </w:instrText>
      </w:r>
      <w:r w:rsidR="00AA0BB2" w:rsidRPr="00345DA1">
        <w:rPr>
          <w:rFonts w:ascii="Times New Roman" w:hAnsi="Times New Roman" w:cs="Times New Roman"/>
        </w:rPr>
        <w:fldChar w:fldCharType="begin">
          <w:fldData xml:space="preserve">PEVuZE5vdGU+PENpdGU+PEF1dGhvcj5Ib3JuPC9BdXRob3I+PFllYXI+MjAxMDwvWWVhcj48UmVj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</w:fldData>
        </w:fldChar>
      </w:r>
      <w:r w:rsidR="00AA0BB2" w:rsidRPr="00345DA1">
        <w:rPr>
          <w:rFonts w:ascii="Times New Roman" w:hAnsi="Times New Roman" w:cs="Times New Roman"/>
        </w:rPr>
        <w:instrText xml:space="preserve"> ADDIN EN.CITE.DATA </w:instrText>
      </w:r>
      <w:r w:rsidR="00AA0BB2" w:rsidRPr="00345DA1">
        <w:rPr>
          <w:rFonts w:ascii="Times New Roman" w:hAnsi="Times New Roman" w:cs="Times New Roman"/>
        </w:rPr>
      </w:r>
      <w:r w:rsidR="00AA0BB2" w:rsidRPr="00345DA1">
        <w:rPr>
          <w:rFonts w:ascii="Times New Roman" w:hAnsi="Times New Roman" w:cs="Times New Roman"/>
        </w:rPr>
        <w:fldChar w:fldCharType="end"/>
      </w:r>
      <w:r w:rsidR="00AA0BB2" w:rsidRPr="00345DA1">
        <w:rPr>
          <w:rFonts w:ascii="Times New Roman" w:hAnsi="Times New Roman" w:cs="Times New Roman"/>
        </w:rPr>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5" w:tooltip="Horn, 2010 #5681" w:history="1">
        <w:r w:rsidR="00AA0BB2" w:rsidRPr="00345DA1">
          <w:rPr>
            <w:rFonts w:ascii="Times New Roman" w:hAnsi="Times New Roman" w:cs="Times New Roman"/>
            <w:noProof/>
          </w:rPr>
          <w:t>5</w:t>
        </w:r>
      </w:hyperlink>
      <w:r w:rsidR="00AA0BB2" w:rsidRPr="00345DA1">
        <w:rPr>
          <w:rFonts w:ascii="Times New Roman" w:hAnsi="Times New Roman" w:cs="Times New Roman"/>
          <w:noProof/>
        </w:rPr>
        <w:t>,</w:t>
      </w:r>
      <w:hyperlink w:anchor="_ENREF_6" w:tooltip="Ramakers, 2003 #4847" w:history="1">
        <w:r w:rsidR="00AA0BB2" w:rsidRPr="00345DA1">
          <w:rPr>
            <w:rFonts w:ascii="Times New Roman" w:hAnsi="Times New Roman" w:cs="Times New Roman"/>
            <w:noProof/>
          </w:rPr>
          <w:t>6</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Pr="00345DA1">
        <w:rPr>
          <w:rFonts w:ascii="Times New Roman" w:hAnsi="Times New Roman" w:cs="Times New Roman"/>
        </w:rPr>
        <w:t>, especially those carried over from DNA extraction as well as errors introduced during the preparation of the dilution series. Since the linear range of acceptable DNA concentrations of qPCR based telomere length assays are narrow and highly dependent on careful normalization of total DNA concentrations across samples, the standard curve method is particularly likely to cause problems for TL measurement. Finally, standard curves must normally have several dilution points and be run in duplicate or triplicate, which takes up many wells and limits the number of samples which can be run on one plate (increasing not only expense but also measurement error).</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Due to these liabilities, we instead used the amplification profiles of each well to estimate the PCR efficiency at a well by well basis. This ‘per well’ technique uses the rate of fluorescence increase in each PCR cycle during the log-linear range (phase) to calculate an e</w:t>
      </w:r>
      <w:r w:rsidR="004E746D" w:rsidRPr="00345DA1">
        <w:rPr>
          <w:rFonts w:ascii="Times New Roman" w:hAnsi="Times New Roman" w:cs="Times New Roman"/>
        </w:rPr>
        <w:t xml:space="preserve">fficiency estimate </w:t>
      </w:r>
      <w:r w:rsidR="00AA0BB2" w:rsidRPr="00345DA1">
        <w:rPr>
          <w:rFonts w:ascii="Times New Roman" w:hAnsi="Times New Roman" w:cs="Times New Roman"/>
        </w:rPr>
        <w:fldChar w:fldCharType="begin"/>
      </w:r>
      <w:r w:rsidR="00AA0BB2" w:rsidRPr="00345DA1">
        <w:rPr>
          <w:rFonts w:ascii="Times New Roman" w:hAnsi="Times New Roman" w:cs="Times New Roman"/>
        </w:rPr>
        <w:instrText xml:space="preserve"> ADDIN EN.CITE &lt;EndNote&gt;&lt;Cite&gt;&lt;Author&gt;Ruijter&lt;/Author&gt;&lt;Year&gt;2009&lt;/Year&gt;&lt;RecNum&gt;4850&lt;/RecNum&gt;&lt;DisplayText&gt;(7)&lt;/DisplayText&gt;&lt;record&gt;&lt;rec-number&gt;4850&lt;/rec-number&gt;&lt;foreign-keys&gt;&lt;key app="EN" db-id="rt20vase9a095zevxvwpterq2t02v22e520p"&gt;4850&lt;/key&gt;&lt;/foreign-keys&gt;&lt;ref-type name="Journal Article"&gt;17&lt;/ref-type&gt;&lt;contributors&gt;&lt;authors&gt;&lt;author&gt;Ruijter, J. M.&lt;/author&gt;&lt;author&gt;Ramakers, C.&lt;/author&gt;&lt;author&gt;Hoogaars, W. M.&lt;/author&gt;&lt;author&gt;Karlen, Y.&lt;/author&gt;&lt;author&gt;Bakker, O.&lt;/author&gt;&lt;author&gt;van den Hoff, M. J.&lt;/author&gt;&lt;author&gt;Moorman, A. F.&lt;/author&gt;&lt;/authors&gt;&lt;/contributors&gt;&lt;auth-address&gt;Heart Failure Research Center, Academic Medical Center, University of Amsterdam, The Netherlands. j.m.ruijter@amc.uva.nl&lt;/auth-address&gt;&lt;titles&gt;&lt;title&gt;Amplification efficiency: linking baseline and bias in the analysis of quantitative PCR data&lt;/title&gt;&lt;secondary-title&gt;Nucleic Acids Res&lt;/secondary-title&gt;&lt;/titles&gt;&lt;periodical&gt;&lt;full-title&gt;Nucleic Acids Res&lt;/full-title&gt;&lt;/periodical&gt;&lt;pages&gt;e45&lt;/pages&gt;&lt;volume&gt;37&lt;/volume&gt;&lt;number&gt;6&lt;/number&gt;&lt;edition&gt;2009/02/25&lt;/edition&gt;&lt;keywords&gt;&lt;keyword&gt;Algorithms&lt;/keyword&gt;&lt;keyword&gt;Animals&lt;/keyword&gt;&lt;keyword&gt;Chick Embryo&lt;/keyword&gt;&lt;keyword&gt;Fluorescence&lt;/keyword&gt;&lt;keyword&gt;Linear Models&lt;/keyword&gt;&lt;keyword&gt;Reverse Transcriptase Polymerase Chain Reaction/*methods&lt;/keyword&gt;&lt;/keywords&gt;&lt;dates&gt;&lt;year&gt;2009&lt;/year&gt;&lt;pub-dates&gt;&lt;date&gt;Apr&lt;/date&gt;&lt;/pub-dates&gt;&lt;/dates&gt;&lt;isbn&gt;1362-4962 (Electronic)&amp;#xD;0305-1048 (Linking)&lt;/isbn&gt;&lt;accession-num&gt;19237396&lt;/accession-num&gt;&lt;urls&gt;&lt;related-urls&gt;&lt;url&gt;http://www.ncbi.nlm.nih.gov/entrez/query.fcgi?cmd=Retrieve&amp;amp;db=PubMed&amp;amp;dopt=Citation&amp;amp;list_uids=19237396&lt;/url&gt;&lt;url&gt;http://nar.oxfordjournals.org/cgi/reprint/37/6/e45.pdf&lt;/url&gt;&lt;/related-urls&gt;&lt;/urls&gt;&lt;custom2&gt;2665230&lt;/custom2&gt;&lt;electronic-resource-num&gt;10.1093/nar/gkp045&lt;/electronic-resource-num&gt;&lt;language&gt;eng&lt;/language&gt;&lt;/record&gt;&lt;/Cite&gt;&lt;/EndNote&gt;</w:instrText>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7" w:tooltip="Ruijter, 2009 #4850" w:history="1">
        <w:r w:rsidR="00AA0BB2" w:rsidRPr="00345DA1">
          <w:rPr>
            <w:rFonts w:ascii="Times New Roman" w:hAnsi="Times New Roman" w:cs="Times New Roman"/>
            <w:noProof/>
          </w:rPr>
          <w:t>7</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Pr="00345DA1">
        <w:rPr>
          <w:rFonts w:ascii="Times New Roman" w:hAnsi="Times New Roman" w:cs="Times New Roman"/>
        </w:rPr>
        <w:t>. ‘Per well’ calculated efficiencies are thought to give less biased estimates tha</w:t>
      </w:r>
      <w:r w:rsidR="004E746D" w:rsidRPr="00345DA1">
        <w:rPr>
          <w:rFonts w:ascii="Times New Roman" w:hAnsi="Times New Roman" w:cs="Times New Roman"/>
        </w:rPr>
        <w:t xml:space="preserve">n the standard curve method </w:t>
      </w:r>
      <w:r w:rsidR="00AA0BB2" w:rsidRPr="00345DA1">
        <w:rPr>
          <w:rFonts w:ascii="Times New Roman" w:hAnsi="Times New Roman" w:cs="Times New Roman"/>
        </w:rPr>
        <w:fldChar w:fldCharType="begin"/>
      </w:r>
      <w:r w:rsidR="00AA0BB2" w:rsidRPr="00345DA1">
        <w:rPr>
          <w:rFonts w:ascii="Times New Roman" w:hAnsi="Times New Roman" w:cs="Times New Roman"/>
        </w:rPr>
        <w:instrText xml:space="preserve"> ADDIN EN.CITE &lt;EndNote&gt;&lt;Cite&gt;&lt;Author&gt;Ruijter&lt;/Author&gt;&lt;Year&gt;2009&lt;/Year&gt;&lt;RecNum&gt;4850&lt;/RecNum&gt;&lt;DisplayText&gt;(7)&lt;/DisplayText&gt;&lt;record&gt;&lt;rec-number&gt;4850&lt;/rec-number&gt;&lt;foreign-keys&gt;&lt;key app="EN" db-id="rt20vase9a095zevxvwpterq2t02v22e520p"&gt;4850&lt;/key&gt;&lt;/foreign-keys&gt;&lt;ref-type name="Journal Article"&gt;17&lt;/ref-type&gt;&lt;contributors&gt;&lt;authors&gt;&lt;author&gt;Ruijter, J. M.&lt;/author&gt;&lt;author&gt;Ramakers, C.&lt;/author&gt;&lt;author&gt;Hoogaars, W. M.&lt;/author&gt;&lt;author&gt;Karlen, Y.&lt;/author&gt;&lt;author&gt;Bakker, O.&lt;/author&gt;&lt;author&gt;van den Hoff, M. J.&lt;/author&gt;&lt;author&gt;Moorman, A. F.&lt;/author&gt;&lt;/authors&gt;&lt;/contributors&gt;&lt;auth-address&gt;Heart Failure Research Center, Academic Medical Center, University of Amsterdam, The Netherlands. j.m.ruijter@amc.uva.nl&lt;/auth-address&gt;&lt;titles&gt;&lt;title&gt;Amplification efficiency: linking baseline and bias in the analysis of quantitative PCR data&lt;/title&gt;&lt;secondary-title&gt;Nucleic Acids Res&lt;/secondary-title&gt;&lt;/titles&gt;&lt;periodical&gt;&lt;full-title&gt;Nucleic Acids Res&lt;/full-title&gt;&lt;/periodical&gt;&lt;pages&gt;e45&lt;/pages&gt;&lt;volume&gt;37&lt;/volume&gt;&lt;number&gt;6&lt;/number&gt;&lt;edition&gt;2009/02/25&lt;/edition&gt;&lt;keywords&gt;&lt;keyword&gt;Algorithms&lt;/keyword&gt;&lt;keyword&gt;Animals&lt;/keyword&gt;&lt;keyword&gt;Chick Embryo&lt;/keyword&gt;&lt;keyword&gt;Fluorescence&lt;/keyword&gt;&lt;keyword&gt;Linear Models&lt;/keyword&gt;&lt;keyword&gt;Reverse Transcriptase Polymerase Chain Reaction/*methods&lt;/keyword&gt;&lt;/keywords&gt;&lt;dates&gt;&lt;year&gt;2009&lt;/year&gt;&lt;pub-dates&gt;&lt;date&gt;Apr&lt;/date&gt;&lt;/pub-dates&gt;&lt;/dates&gt;&lt;isbn&gt;1362-4962 (Electronic)&amp;#xD;0305-1048 (Linking)&lt;/isbn&gt;&lt;accession-num&gt;19237396&lt;/accession-num&gt;&lt;urls&gt;&lt;related-urls&gt;&lt;url&gt;http://www.ncbi.nlm.nih.gov/entrez/query.fcgi?cmd=Retrieve&amp;amp;db=PubMed&amp;amp;dopt=Citation&amp;amp;list_uids=19237396&lt;/url&gt;&lt;url&gt;http://nar.oxfordjournals.org/cgi/reprint/37/6/e45.pdf&lt;/url&gt;&lt;/related-urls&gt;&lt;/urls&gt;&lt;custom2&gt;2665230&lt;/custom2&gt;&lt;electronic-resource-num&gt;10.1093/nar/gkp045&lt;/electronic-resource-num&gt;&lt;language&gt;eng&lt;/language&gt;&lt;/record&gt;&lt;/Cite&gt;&lt;/EndNote&gt;</w:instrText>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7" w:tooltip="Ruijter, 2009 #4850" w:history="1">
        <w:r w:rsidR="00AA0BB2" w:rsidRPr="00345DA1">
          <w:rPr>
            <w:rFonts w:ascii="Times New Roman" w:hAnsi="Times New Roman" w:cs="Times New Roman"/>
            <w:noProof/>
          </w:rPr>
          <w:t>7</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Pr="00345DA1">
        <w:rPr>
          <w:rFonts w:ascii="Times New Roman" w:hAnsi="Times New Roman" w:cs="Times New Roman"/>
        </w:rPr>
        <w:t>.</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 xml:space="preserve">Anita </w:t>
      </w:r>
      <w:proofErr w:type="spellStart"/>
      <w:r w:rsidRPr="00345DA1">
        <w:rPr>
          <w:rFonts w:ascii="Times New Roman" w:hAnsi="Times New Roman" w:cs="Times New Roman"/>
        </w:rPr>
        <w:t>Brandstätter’s</w:t>
      </w:r>
      <w:proofErr w:type="spellEnd"/>
      <w:r w:rsidRPr="00345DA1">
        <w:rPr>
          <w:rFonts w:ascii="Times New Roman" w:hAnsi="Times New Roman" w:cs="Times New Roman"/>
        </w:rPr>
        <w:t xml:space="preserve"> group has used a per well efficiency calculation method for telomere length assessment which established its external validity a</w:t>
      </w:r>
      <w:r w:rsidR="004E746D" w:rsidRPr="00345DA1">
        <w:rPr>
          <w:rFonts w:ascii="Times New Roman" w:hAnsi="Times New Roman" w:cs="Times New Roman"/>
        </w:rPr>
        <w:t xml:space="preserve">nd inspired its use here </w:t>
      </w:r>
      <w:r w:rsidR="00AA0BB2" w:rsidRPr="00345DA1">
        <w:rPr>
          <w:rFonts w:ascii="Times New Roman" w:hAnsi="Times New Roman" w:cs="Times New Roman"/>
          <w:bCs/>
          <w:lang w:val="en-GB"/>
        </w:rPr>
        <w:fldChar w:fldCharType="begin">
          <w:fldData xml:space="preserve">PEVuZE5vdGU+PENpdGU+PEF1dGhvcj5FaHJsZW5iYWNoPC9BdXRob3I+PFllYXI+MjAwOTwvWWVh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</w:fldData>
        </w:fldChar>
      </w:r>
      <w:r w:rsidR="00AA0BB2" w:rsidRPr="00345DA1">
        <w:rPr>
          <w:rFonts w:ascii="Times New Roman" w:hAnsi="Times New Roman" w:cs="Times New Roman"/>
          <w:bCs/>
          <w:lang w:val="en-GB"/>
        </w:rPr>
        <w:instrText xml:space="preserve"> ADDIN EN.CITE </w:instrText>
      </w:r>
      <w:r w:rsidR="00AA0BB2" w:rsidRPr="00345DA1">
        <w:rPr>
          <w:rFonts w:ascii="Times New Roman" w:hAnsi="Times New Roman" w:cs="Times New Roman"/>
          <w:bCs/>
          <w:lang w:val="en-GB"/>
        </w:rPr>
        <w:fldChar w:fldCharType="begin">
          <w:fldData xml:space="preserve">PEVuZE5vdGU+PENpdGU+PEF1dGhvcj5FaHJsZW5iYWNoPC9BdXRob3I+PFllYXI+MjAwOTwvWWVh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</w:fldData>
        </w:fldChar>
      </w:r>
      <w:r w:rsidR="00AA0BB2" w:rsidRPr="00345DA1">
        <w:rPr>
          <w:rFonts w:ascii="Times New Roman" w:hAnsi="Times New Roman" w:cs="Times New Roman"/>
          <w:bCs/>
          <w:lang w:val="en-GB"/>
        </w:rPr>
        <w:instrText xml:space="preserve"> ADDIN EN.CITE.DATA </w:instrText>
      </w:r>
      <w:r w:rsidR="00AA0BB2" w:rsidRPr="00345DA1">
        <w:rPr>
          <w:rFonts w:ascii="Times New Roman" w:hAnsi="Times New Roman" w:cs="Times New Roman"/>
          <w:bCs/>
          <w:lang w:val="en-GB"/>
        </w:rPr>
      </w:r>
      <w:r w:rsidR="00AA0BB2" w:rsidRPr="00345DA1">
        <w:rPr>
          <w:rFonts w:ascii="Times New Roman" w:hAnsi="Times New Roman" w:cs="Times New Roman"/>
          <w:bCs/>
          <w:lang w:val="en-GB"/>
        </w:rPr>
        <w:fldChar w:fldCharType="end"/>
      </w:r>
      <w:r w:rsidR="00AA0BB2" w:rsidRPr="00345DA1">
        <w:rPr>
          <w:rFonts w:ascii="Times New Roman" w:hAnsi="Times New Roman" w:cs="Times New Roman"/>
          <w:bCs/>
          <w:lang w:val="en-GB"/>
        </w:rPr>
      </w:r>
      <w:r w:rsidR="00AA0BB2" w:rsidRPr="00345DA1">
        <w:rPr>
          <w:rFonts w:ascii="Times New Roman" w:hAnsi="Times New Roman" w:cs="Times New Roman"/>
          <w:bCs/>
          <w:lang w:val="en-GB"/>
        </w:rPr>
        <w:fldChar w:fldCharType="separate"/>
      </w:r>
      <w:r w:rsidR="00AA0BB2" w:rsidRPr="00345DA1">
        <w:rPr>
          <w:rFonts w:ascii="Times New Roman" w:hAnsi="Times New Roman" w:cs="Times New Roman"/>
          <w:bCs/>
          <w:noProof/>
          <w:lang w:val="en-GB"/>
        </w:rPr>
        <w:t>(</w:t>
      </w:r>
      <w:hyperlink w:anchor="_ENREF_8" w:tooltip="Ehrlenbach, 2009 #4231" w:history="1">
        <w:r w:rsidR="00AA0BB2" w:rsidRPr="00345DA1">
          <w:rPr>
            <w:rFonts w:ascii="Times New Roman" w:hAnsi="Times New Roman" w:cs="Times New Roman"/>
            <w:bCs/>
            <w:noProof/>
            <w:lang w:val="en-GB"/>
          </w:rPr>
          <w:t>8-10</w:t>
        </w:r>
      </w:hyperlink>
      <w:r w:rsidR="00AA0BB2" w:rsidRPr="00345DA1">
        <w:rPr>
          <w:rFonts w:ascii="Times New Roman" w:hAnsi="Times New Roman" w:cs="Times New Roman"/>
          <w:bCs/>
          <w:noProof/>
          <w:lang w:val="en-GB"/>
        </w:rPr>
        <w:t>)</w:t>
      </w:r>
      <w:r w:rsidR="00AA0BB2" w:rsidRPr="00345DA1">
        <w:rPr>
          <w:rFonts w:ascii="Times New Roman" w:hAnsi="Times New Roman" w:cs="Times New Roman"/>
          <w:bCs/>
          <w:lang w:val="en-GB"/>
        </w:rPr>
        <w:fldChar w:fldCharType="end"/>
      </w:r>
      <w:r w:rsidRPr="00345DA1">
        <w:rPr>
          <w:rFonts w:ascii="Times New Roman" w:hAnsi="Times New Roman" w:cs="Times New Roman"/>
        </w:rPr>
        <w:t>. Despite per well efficiency calculation’s advantages, individuals sample calculated efficiencies are imprecise estim</w:t>
      </w:r>
      <w:r w:rsidR="004E746D" w:rsidRPr="00345DA1">
        <w:rPr>
          <w:rFonts w:ascii="Times New Roman" w:hAnsi="Times New Roman" w:cs="Times New Roman"/>
        </w:rPr>
        <w:t xml:space="preserve">ates of actual efficiencies </w:t>
      </w:r>
      <w:r w:rsidR="00AA0BB2" w:rsidRPr="00345DA1">
        <w:rPr>
          <w:rFonts w:ascii="Times New Roman" w:hAnsi="Times New Roman" w:cs="Times New Roman"/>
        </w:rPr>
        <w:fldChar w:fldCharType="begin"/>
      </w:r>
      <w:r w:rsidR="00AA0BB2" w:rsidRPr="00345DA1">
        <w:rPr>
          <w:rFonts w:ascii="Times New Roman" w:hAnsi="Times New Roman" w:cs="Times New Roman"/>
        </w:rPr>
        <w:instrText xml:space="preserve"> ADDIN EN.CITE &lt;EndNote&gt;&lt;Cite&gt;&lt;Author&gt;Karlen&lt;/Author&gt;&lt;Year&gt;2007&lt;/Year&gt;&lt;RecNum&gt;5394&lt;/RecNum&gt;&lt;DisplayText&gt;(11)&lt;/DisplayText&gt;&lt;record&gt;&lt;rec-number&gt;5394&lt;/rec-number&gt;&lt;foreign-keys&gt;&lt;key app="EN" db-id="rt20vase9a095zevxvwpterq2t02v22e520p"&gt;5394&lt;/key&gt;&lt;/foreign-keys&gt;&lt;ref-type name="Journal Article"&gt;17&lt;/ref-type&gt;&lt;contributors&gt;&lt;authors&gt;&lt;author&gt;Karlen, Yann&lt;/author&gt;&lt;author&gt;McNair, Alan&lt;/author&gt;&lt;author&gt;Perseguers, Sebastien&lt;/author&gt;&lt;author&gt;Mazza, Christian&lt;/author&gt;&lt;author&gt;Mermod, Nicolas&lt;/author&gt;&lt;/authors&gt;&lt;/contributors&gt;&lt;titles&gt;&lt;title&gt;Statistical significance of quantitative PCR&lt;/title&gt;&lt;secondary-title&gt;BMC Bioinformatics&lt;/secondary-title&gt;&lt;/titles&gt;&lt;periodical&gt;&lt;full-title&gt;BMC Bioinformatics&lt;/full-title&gt;&lt;/periodical&gt;&lt;pages&gt;131&lt;/pages&gt;&lt;volume&gt;8&lt;/volume&gt;&lt;number&gt;1&lt;/number&gt;&lt;dates&gt;&lt;year&gt;2007&lt;/year&gt;&lt;/dates&gt;&lt;isbn&gt;1471-2105&lt;/isbn&gt;&lt;accession-num&gt;doi:10.1186/1471-2105-8-131&lt;/accession-num&gt;&lt;urls&gt;&lt;related-urls&gt;&lt;url&gt;http://www.biomedcentral.com/1471-2105/8/131&lt;/url&gt;&lt;url&gt;http://www.biomedcentral.com/content/pdf/1471-2105-8-131.pdf&lt;/url&gt;&lt;/related-urls&gt;&lt;/urls&gt;&lt;/record&gt;&lt;/Cite&gt;&lt;/EndNote&gt;</w:instrText>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11" w:tooltip="Karlen, 2007 #5394" w:history="1">
        <w:r w:rsidR="00AA0BB2" w:rsidRPr="00345DA1">
          <w:rPr>
            <w:rFonts w:ascii="Times New Roman" w:hAnsi="Times New Roman" w:cs="Times New Roman"/>
            <w:noProof/>
          </w:rPr>
          <w:t>11</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Pr="00345DA1">
        <w:rPr>
          <w:rFonts w:ascii="Times New Roman" w:hAnsi="Times New Roman" w:cs="Times New Roman"/>
        </w:rPr>
        <w:t>. This issue is resolved by averaging per well efficiencies across multiple replicates of a sample of the same amplification (</w:t>
      </w:r>
      <w:proofErr w:type="spellStart"/>
      <w:r w:rsidRPr="00345DA1">
        <w:rPr>
          <w:rFonts w:ascii="Times New Roman" w:hAnsi="Times New Roman" w:cs="Times New Roman"/>
        </w:rPr>
        <w:t>SavrgECq</w:t>
      </w:r>
      <w:proofErr w:type="spellEnd"/>
      <w:r w:rsidRPr="00345DA1">
        <w:rPr>
          <w:rFonts w:ascii="Times New Roman" w:hAnsi="Times New Roman" w:cs="Times New Roman"/>
        </w:rPr>
        <w:t>), or multiple samples and replicates of the same amplification (</w:t>
      </w:r>
      <w:proofErr w:type="spellStart"/>
      <w:r w:rsidRPr="00345DA1">
        <w:rPr>
          <w:rFonts w:ascii="Times New Roman" w:hAnsi="Times New Roman" w:cs="Times New Roman"/>
        </w:rPr>
        <w:t>PavrgECq</w:t>
      </w:r>
      <w:proofErr w:type="spellEnd"/>
      <w:r w:rsidRPr="00345DA1">
        <w:rPr>
          <w:rFonts w:ascii="Times New Roman" w:hAnsi="Times New Roman" w:cs="Times New Roman"/>
        </w:rPr>
        <w:t>)  Using training samples representing individuals ranging in age between 0 and 39 (n = 15), calculating average efficiencies across sample replicates (</w:t>
      </w:r>
      <w:proofErr w:type="spellStart"/>
      <w:r w:rsidRPr="00345DA1">
        <w:rPr>
          <w:rFonts w:ascii="Times New Roman" w:hAnsi="Times New Roman" w:cs="Times New Roman"/>
        </w:rPr>
        <w:t>SavrgECq</w:t>
      </w:r>
      <w:proofErr w:type="spellEnd"/>
      <w:r w:rsidRPr="00345DA1">
        <w:rPr>
          <w:rFonts w:ascii="Times New Roman" w:hAnsi="Times New Roman" w:cs="Times New Roman"/>
        </w:rPr>
        <w:t>) yielded a substantially poorer correlation with age (r = -0.44, p = 0.097), than calculating the average efficiency across all samples per amplicon per run (</w:t>
      </w:r>
      <w:proofErr w:type="spellStart"/>
      <w:r w:rsidRPr="00345DA1">
        <w:rPr>
          <w:rFonts w:ascii="Times New Roman" w:hAnsi="Times New Roman" w:cs="Times New Roman"/>
        </w:rPr>
        <w:t>PavrgECq</w:t>
      </w:r>
      <w:proofErr w:type="spellEnd"/>
      <w:r w:rsidRPr="00345DA1">
        <w:rPr>
          <w:rFonts w:ascii="Times New Roman" w:hAnsi="Times New Roman" w:cs="Times New Roman"/>
        </w:rPr>
        <w:t xml:space="preserve">; r = -0.71, p = 0.003). This suggests that there is little meaningful variation in efficiencies across samples, and that a better estimate of sample efficiency comes from the mean efficiency across samples. As a result the </w:t>
      </w:r>
      <w:proofErr w:type="spellStart"/>
      <w:r w:rsidRPr="00345DA1">
        <w:rPr>
          <w:rFonts w:ascii="Times New Roman" w:hAnsi="Times New Roman" w:cs="Times New Roman"/>
        </w:rPr>
        <w:t>PavrgECq</w:t>
      </w:r>
      <w:proofErr w:type="spellEnd"/>
      <w:r w:rsidRPr="00345DA1">
        <w:rPr>
          <w:rFonts w:ascii="Times New Roman" w:hAnsi="Times New Roman" w:cs="Times New Roman"/>
        </w:rPr>
        <w:t xml:space="preserve"> technique is used for all future analyses.   </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lastRenderedPageBreak/>
        <w:t xml:space="preserve">While standard curves were not utilized on each run, for validation purposes an 8 point standard curve of 3-fold serial diluted DNA template (146 ng/reaction to 0.066 ng/reaction) was prepared and run in triplicate. This standard curve showed an efficiency for the telomere amplicon of 88.2% based on the slope of regression line drawn between </w:t>
      </w:r>
      <w:proofErr w:type="gramStart"/>
      <w:r w:rsidRPr="00345DA1">
        <w:rPr>
          <w:rFonts w:ascii="Times New Roman" w:hAnsi="Times New Roman" w:cs="Times New Roman"/>
        </w:rPr>
        <w:t>Cq</w:t>
      </w:r>
      <w:proofErr w:type="gramEnd"/>
      <w:r w:rsidRPr="00345DA1">
        <w:rPr>
          <w:rFonts w:ascii="Times New Roman" w:hAnsi="Times New Roman" w:cs="Times New Roman"/>
        </w:rPr>
        <w:t xml:space="preserve"> values and the known concentrations of the standard dilution series (r = 0.998). The efficiency for the single-copy gene (albumin) was 86.1% (r = 0.997). Per well calculated efficiencies for samples (excluding standard curve samples) yielded a telomere amplicon efficiency of 97.5% and single-copy gene efficiency of 81.3%. Telomere length measures of samples using the standard curve and per well technique had the same coefficient of variation across replicates (CV = 9%), and telomere length measures were highly correlated across techniques (r = 0.9914, p &lt; 0.0001, n = 19). Since, telomere and single-copy gene efficiencies are independently calculated and factored in for downstream analysis on each plate, discrepancies between these efficiencies is expected to be of little concern. </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Based on these measurements and observations, the following protocol was followed for TL data analysis. Briefly, date was first examined in the iCycler IQ version 3.1.7050 software, outlier values excluded, results saved to excel and then analyzed usin</w:t>
      </w:r>
      <w:r w:rsidR="004E746D" w:rsidRPr="00345DA1">
        <w:rPr>
          <w:rFonts w:ascii="Times New Roman" w:hAnsi="Times New Roman" w:cs="Times New Roman"/>
        </w:rPr>
        <w:t xml:space="preserve">g LinRegPCR version 12.7 </w:t>
      </w:r>
      <w:r w:rsidR="00AA0BB2" w:rsidRPr="00345DA1">
        <w:rPr>
          <w:rFonts w:ascii="Times New Roman" w:hAnsi="Times New Roman" w:cs="Times New Roman"/>
        </w:rPr>
        <w:fldChar w:fldCharType="begin">
          <w:fldData xml:space="preserve">PEVuZE5vdGU+PENpdGU+PEF1dGhvcj5SYW1ha2VyczwvQXV0aG9yPjxZZWFyPjIwMDM8L1llYXI+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</w:fldData>
        </w:fldChar>
      </w:r>
      <w:r w:rsidR="00AA0BB2" w:rsidRPr="00345DA1">
        <w:rPr>
          <w:rFonts w:ascii="Times New Roman" w:hAnsi="Times New Roman" w:cs="Times New Roman"/>
        </w:rPr>
        <w:instrText xml:space="preserve"> ADDIN EN.CITE </w:instrText>
      </w:r>
      <w:r w:rsidR="00AA0BB2" w:rsidRPr="00345DA1">
        <w:rPr>
          <w:rFonts w:ascii="Times New Roman" w:hAnsi="Times New Roman" w:cs="Times New Roman"/>
        </w:rPr>
        <w:fldChar w:fldCharType="begin">
          <w:fldData xml:space="preserve">PEVuZE5vdGU+PENpdGU+PEF1dGhvcj5SYW1ha2VyczwvQXV0aG9yPjxZZWFyPjIwMDM8L1llYXI+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</w:fldData>
        </w:fldChar>
      </w:r>
      <w:r w:rsidR="00AA0BB2" w:rsidRPr="00345DA1">
        <w:rPr>
          <w:rFonts w:ascii="Times New Roman" w:hAnsi="Times New Roman" w:cs="Times New Roman"/>
        </w:rPr>
        <w:instrText xml:space="preserve"> ADDIN EN.CITE.DATA </w:instrText>
      </w:r>
      <w:r w:rsidR="00AA0BB2" w:rsidRPr="00345DA1">
        <w:rPr>
          <w:rFonts w:ascii="Times New Roman" w:hAnsi="Times New Roman" w:cs="Times New Roman"/>
        </w:rPr>
      </w:r>
      <w:r w:rsidR="00AA0BB2" w:rsidRPr="00345DA1">
        <w:rPr>
          <w:rFonts w:ascii="Times New Roman" w:hAnsi="Times New Roman" w:cs="Times New Roman"/>
        </w:rPr>
        <w:fldChar w:fldCharType="end"/>
      </w:r>
      <w:r w:rsidR="00AA0BB2" w:rsidRPr="00345DA1">
        <w:rPr>
          <w:rFonts w:ascii="Times New Roman" w:hAnsi="Times New Roman" w:cs="Times New Roman"/>
        </w:rPr>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6" w:tooltip="Ramakers, 2003 #4847" w:history="1">
        <w:r w:rsidR="00AA0BB2" w:rsidRPr="00345DA1">
          <w:rPr>
            <w:rFonts w:ascii="Times New Roman" w:hAnsi="Times New Roman" w:cs="Times New Roman"/>
            <w:noProof/>
          </w:rPr>
          <w:t>6</w:t>
        </w:r>
      </w:hyperlink>
      <w:r w:rsidR="00AA0BB2" w:rsidRPr="00345DA1">
        <w:rPr>
          <w:rFonts w:ascii="Times New Roman" w:hAnsi="Times New Roman" w:cs="Times New Roman"/>
          <w:noProof/>
        </w:rPr>
        <w:t>,</w:t>
      </w:r>
      <w:hyperlink w:anchor="_ENREF_7" w:tooltip="Ruijter, 2009 #4850" w:history="1">
        <w:r w:rsidR="00AA0BB2" w:rsidRPr="00345DA1">
          <w:rPr>
            <w:rFonts w:ascii="Times New Roman" w:hAnsi="Times New Roman" w:cs="Times New Roman"/>
            <w:noProof/>
          </w:rPr>
          <w:t>7</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Pr="00345DA1">
        <w:rPr>
          <w:rFonts w:ascii="Times New Roman" w:hAnsi="Times New Roman" w:cs="Times New Roman"/>
        </w:rPr>
        <w:t>. In more detail:</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1.</w:t>
      </w:r>
      <w:r w:rsidRPr="00345DA1">
        <w:rPr>
          <w:rFonts w:ascii="Times New Roman" w:hAnsi="Times New Roman" w:cs="Times New Roman"/>
        </w:rPr>
        <w:tab/>
        <w:t xml:space="preserve">Melt-curves for all wells were examined, outlier wells excluded, and negative-controls were examined to be sure no telomere or single-copy gene peaks were evident. </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2.</w:t>
      </w:r>
      <w:r w:rsidRPr="00345DA1">
        <w:rPr>
          <w:rFonts w:ascii="Times New Roman" w:hAnsi="Times New Roman" w:cs="Times New Roman"/>
        </w:rPr>
        <w:tab/>
        <w:t xml:space="preserve">Amplification curves were examined for 85°C (single-copy gene) and 74°C (telomere) acquisition temperatures. Negative controls were examined to assure their </w:t>
      </w:r>
      <w:proofErr w:type="gramStart"/>
      <w:r w:rsidRPr="00345DA1">
        <w:rPr>
          <w:rFonts w:ascii="Times New Roman" w:hAnsi="Times New Roman" w:cs="Times New Roman"/>
        </w:rPr>
        <w:t>Cq</w:t>
      </w:r>
      <w:proofErr w:type="gramEnd"/>
      <w:r w:rsidRPr="00345DA1">
        <w:rPr>
          <w:rFonts w:ascii="Times New Roman" w:hAnsi="Times New Roman" w:cs="Times New Roman"/>
        </w:rPr>
        <w:t xml:space="preserve"> values were several cycles later than samples and outlier wells were excluded. </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3.</w:t>
      </w:r>
      <w:r w:rsidRPr="00345DA1">
        <w:rPr>
          <w:rFonts w:ascii="Times New Roman" w:hAnsi="Times New Roman" w:cs="Times New Roman"/>
        </w:rPr>
        <w:tab/>
        <w:t>Raw background subtracted fluorescence values for all properly amplified (non-outlier wells) were pasted into Excel 2007.</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4.</w:t>
      </w:r>
      <w:r w:rsidRPr="00345DA1">
        <w:rPr>
          <w:rFonts w:ascii="Times New Roman" w:hAnsi="Times New Roman" w:cs="Times New Roman"/>
        </w:rPr>
        <w:tab/>
        <w:t>LinRegPCR analyses of these data were conducted using relaxed baselines and results exported back to Excel. The key determined value by LinRegPCR is the initial concentration of the target amplicon, or N0, which is in an arbitrary unit determined by background subtracted fluorescence levels. Efficiency values were determined across all wells amplified for the same amplicon in the same run (</w:t>
      </w:r>
      <w:proofErr w:type="spellStart"/>
      <w:r w:rsidRPr="00345DA1">
        <w:rPr>
          <w:rFonts w:ascii="Times New Roman" w:hAnsi="Times New Roman" w:cs="Times New Roman"/>
        </w:rPr>
        <w:t>PavrgECq</w:t>
      </w:r>
      <w:proofErr w:type="spellEnd"/>
      <w:r w:rsidRPr="00345DA1">
        <w:rPr>
          <w:rFonts w:ascii="Times New Roman" w:hAnsi="Times New Roman" w:cs="Times New Roman"/>
        </w:rPr>
        <w:t>).</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5.</w:t>
      </w:r>
      <w:r w:rsidRPr="00345DA1">
        <w:rPr>
          <w:rFonts w:ascii="Times New Roman" w:hAnsi="Times New Roman" w:cs="Times New Roman"/>
        </w:rPr>
        <w:tab/>
        <w:t xml:space="preserve">Data from both amplicons were copied together into one sheet in Excel and then imported into Stata 11 IC using a custom do-file script for merging and analysis. </w:t>
      </w:r>
    </w:p>
    <w:p w:rsidR="00AF7415" w:rsidRPr="00345DA1" w:rsidRDefault="00AF7415" w:rsidP="00A76451">
      <w:pPr>
        <w:spacing w:line="276" w:lineRule="auto"/>
        <w:rPr>
          <w:rFonts w:ascii="Times New Roman" w:hAnsi="Times New Roman" w:cs="Times New Roman"/>
        </w:rPr>
      </w:pPr>
    </w:p>
    <w:p w:rsidR="000227E1" w:rsidRPr="00345DA1" w:rsidRDefault="000227E1" w:rsidP="00A76451">
      <w:pPr>
        <w:spacing w:line="276" w:lineRule="auto"/>
        <w:rPr>
          <w:rFonts w:ascii="Times New Roman" w:hAnsi="Times New Roman" w:cs="Times New Roman"/>
          <w:b/>
        </w:rPr>
      </w:pPr>
      <w:r w:rsidRPr="00345DA1">
        <w:rPr>
          <w:rFonts w:ascii="Times New Roman" w:hAnsi="Times New Roman" w:cs="Times New Roman"/>
          <w:b/>
        </w:rPr>
        <w:t>Quality control measures</w:t>
      </w:r>
    </w:p>
    <w:p w:rsidR="000227E1" w:rsidRPr="00345DA1" w:rsidRDefault="00AF7415" w:rsidP="00A76451">
      <w:pPr>
        <w:spacing w:line="276" w:lineRule="auto"/>
        <w:rPr>
          <w:rFonts w:ascii="Times New Roman" w:hAnsi="Times New Roman" w:cs="Times New Roman"/>
        </w:rPr>
      </w:pPr>
      <w:r w:rsidRPr="00345DA1">
        <w:rPr>
          <w:rFonts w:ascii="Times New Roman" w:hAnsi="Times New Roman" w:cs="Times New Roman"/>
        </w:rPr>
        <w:t xml:space="preserve">Based on T and </w:t>
      </w:r>
      <w:r w:rsidR="000227E1" w:rsidRPr="00345DA1">
        <w:rPr>
          <w:rFonts w:ascii="Times New Roman" w:hAnsi="Times New Roman" w:cs="Times New Roman"/>
        </w:rPr>
        <w:t>S values for the six replicates of the control sample,</w:t>
      </w:r>
      <w:r w:rsidRPr="00345DA1">
        <w:rPr>
          <w:rFonts w:ascii="Times New Roman" w:hAnsi="Times New Roman" w:cs="Times New Roman"/>
        </w:rPr>
        <w:t xml:space="preserve"> if the lowest and/or highest T or </w:t>
      </w:r>
      <w:r w:rsidR="000227E1" w:rsidRPr="00345DA1">
        <w:rPr>
          <w:rFonts w:ascii="Times New Roman" w:hAnsi="Times New Roman" w:cs="Times New Roman"/>
        </w:rPr>
        <w:t xml:space="preserve">S values exceeded the 99% confidence interval, they were dropped from the calculation of the </w:t>
      </w:r>
      <w:r w:rsidRPr="00345DA1">
        <w:rPr>
          <w:rFonts w:ascii="Times New Roman" w:hAnsi="Times New Roman" w:cs="Times New Roman"/>
        </w:rPr>
        <w:t xml:space="preserve">point-estimate of the control T and </w:t>
      </w:r>
      <w:r w:rsidR="000227E1" w:rsidRPr="00345DA1">
        <w:rPr>
          <w:rFonts w:ascii="Times New Roman" w:hAnsi="Times New Roman" w:cs="Times New Roman"/>
        </w:rPr>
        <w:t>S value. After dropping up to 2 outliers, if the CV of the control sample exceeded 15%, the results from this run were not used and samples were re-run.</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 xml:space="preserve">Each PCR run had space for 28 samples (28 samples x 3 replicates + 6 control replicates + 3 negative controls + 3 empty wells = 96 wells). A working stock 96-well plate of DNA template was run in 4 separate PCR runs. Since the 4th PCR run has extra space, those samples which had the highest CVs across replicates or which failed to amplify on the first 3 runs were re-run on the 4th plate. </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lastRenderedPageBreak/>
        <w:t xml:space="preserve">The correlation of telomere length measures between samples which were re-run due to initially high CV values or for other reasons with the re-run of those same samples was high (r = 0.92; n = 705; p &lt; 0.0001) with a regression coefficient not significantly different from 1 (95% CI = 0.98 to 1.04). Since this correlation represents a subset of more noisy measures than the population of measures, this correlation is an under-estimate of the true inter-run reliability and it is not surprising that it is slightly lower than the inter-run reliability </w:t>
      </w:r>
      <w:r w:rsidR="00845FC9" w:rsidRPr="00345DA1">
        <w:rPr>
          <w:rFonts w:ascii="Times New Roman" w:hAnsi="Times New Roman" w:cs="Times New Roman"/>
        </w:rPr>
        <w:t xml:space="preserve">association found by Cawthon </w:t>
      </w:r>
      <w:r w:rsidR="00AA0BB2" w:rsidRPr="00345DA1">
        <w:rPr>
          <w:rFonts w:ascii="Times New Roman" w:hAnsi="Times New Roman" w:cs="Times New Roman"/>
        </w:rPr>
        <w:fldChar w:fldCharType="begin"/>
      </w:r>
      <w:r w:rsidR="00AA0BB2" w:rsidRPr="00345DA1">
        <w:rPr>
          <w:rFonts w:ascii="Times New Roman" w:hAnsi="Times New Roman" w:cs="Times New Roman"/>
        </w:rPr>
        <w:instrText xml:space="preserve"> ADDIN EN.CITE &lt;EndNote&gt;&lt;Cite ExcludeAuth="1"&gt;&lt;Author&gt;Cawthon&lt;/Author&gt;&lt;Year&gt;2009&lt;/Year&gt;&lt;RecNum&gt;3244&lt;/RecNum&gt;&lt;DisplayText&gt;(1)&lt;/DisplayText&gt;&lt;record&gt;&lt;rec-number&gt;3244&lt;/rec-number&gt;&lt;foreign-keys&gt;&lt;key app="EN" db-id="rt20vase9a095zevxvwpterq2t02v22e520p"&gt;3244&lt;/key&gt;&lt;/foreign-keys&gt;&lt;ref-type name="Journal Article"&gt;17&lt;/ref-type&gt;&lt;contributors&gt;&lt;authors&gt;&lt;author&gt;Cawthon, R. M.&lt;/author&gt;&lt;/authors&gt;&lt;/contributors&gt;&lt;auth-address&gt;Department of Human Genetics, University of Utah, Salt Lake City, UT 84112, USA. rcawthon@genetics.utah.edu&lt;/auth-address&gt;&lt;titles&gt;&lt;title&gt;Telomere length measurement by a novel monochrome multiplex quantitative PCR method&lt;/title&gt;&lt;secondary-title&gt;Nucleic Acids Res&lt;/secondary-title&gt;&lt;alt-title&gt;Nucleic acids research&lt;/alt-title&gt;&lt;/titles&gt;&lt;periodical&gt;&lt;full-title&gt;Nucleic Acids Res&lt;/full-title&gt;&lt;/periodical&gt;&lt;alt-periodical&gt;&lt;full-title&gt;Nucleic Acids Research&lt;/full-title&gt;&lt;/alt-periodical&gt;&lt;pages&gt;e21&lt;/pages&gt;&lt;volume&gt;37&lt;/volume&gt;&lt;number&gt;3&lt;/number&gt;&lt;edition&gt;2009/01/09&lt;/edition&gt;&lt;keywords&gt;&lt;keyword&gt;Albumins/genetics&lt;/keyword&gt;&lt;keyword&gt;DNA Primers&lt;/keyword&gt;&lt;keyword&gt;Gene Dosage&lt;/keyword&gt;&lt;keyword&gt;Humans&lt;/keyword&gt;&lt;keyword&gt;Polymerase Chain Reaction/*methods/standards&lt;/keyword&gt;&lt;keyword&gt;Reference Standards&lt;/keyword&gt;&lt;keyword&gt;Reproducibility of Results&lt;/keyword&gt;&lt;keyword&gt;Tandem Repeat Sequences&lt;/keyword&gt;&lt;keyword&gt;Telomere/*chemistry&lt;/keyword&gt;&lt;keyword&gt;Temperature&lt;/keyword&gt;&lt;keyword&gt;beta-Globins/genetics&lt;/keyword&gt;&lt;/keywords&gt;&lt;dates&gt;&lt;year&gt;2009&lt;/year&gt;&lt;pub-dates&gt;&lt;date&gt;Feb&lt;/date&gt;&lt;/pub-dates&gt;&lt;/dates&gt;&lt;isbn&gt;1362-4962 (Electronic)&amp;#xD;0305-1048 (Linking)&lt;/isbn&gt;&lt;accession-num&gt;19129229&lt;/accession-num&gt;&lt;urls&gt;&lt;related-urls&gt;&lt;url&gt;http://www.ncbi.nlm.nih.gov/pubmed/19129229&lt;/url&gt;&lt;/related-urls&gt;&lt;/urls&gt;&lt;custom2&gt;2647324&lt;/custom2&gt;&lt;electronic-resource-num&gt;10.1093/nar/gkn1027&lt;/electronic-resource-num&gt;&lt;language&gt;eng&lt;/language&gt;&lt;/record&gt;&lt;/Cite&gt;&lt;/EndNote&gt;</w:instrText>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1" w:tooltip="Cawthon, 2009 #3244" w:history="1">
        <w:r w:rsidR="00AA0BB2" w:rsidRPr="00345DA1">
          <w:rPr>
            <w:rFonts w:ascii="Times New Roman" w:hAnsi="Times New Roman" w:cs="Times New Roman"/>
            <w:noProof/>
          </w:rPr>
          <w:t>1</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Pr="00345DA1">
        <w:rPr>
          <w:rFonts w:ascii="Times New Roman" w:hAnsi="Times New Roman" w:cs="Times New Roman"/>
        </w:rPr>
        <w:t xml:space="preserve"> (r = 0.95; n = 95). However, in a later carefully controlled experiment with extreme quality control measures, </w:t>
      </w:r>
      <w:proofErr w:type="spellStart"/>
      <w:r w:rsidRPr="00345DA1">
        <w:rPr>
          <w:rFonts w:ascii="Times New Roman" w:hAnsi="Times New Roman" w:cs="Times New Roman"/>
        </w:rPr>
        <w:t>Cawthon’s</w:t>
      </w:r>
      <w:proofErr w:type="spellEnd"/>
      <w:r w:rsidRPr="00345DA1">
        <w:rPr>
          <w:rFonts w:ascii="Times New Roman" w:hAnsi="Times New Roman" w:cs="Times New Roman"/>
        </w:rPr>
        <w:t xml:space="preserve"> lab was only able to achieve r</w:t>
      </w:r>
      <w:r w:rsidR="00AA0BB2" w:rsidRPr="00345DA1">
        <w:rPr>
          <w:rFonts w:ascii="Times New Roman" w:hAnsi="Times New Roman" w:cs="Times New Roman"/>
        </w:rPr>
        <w:t xml:space="preserve"> </w:t>
      </w:r>
      <w:r w:rsidRPr="00345DA1">
        <w:rPr>
          <w:rFonts w:ascii="Times New Roman" w:hAnsi="Times New Roman" w:cs="Times New Roman"/>
        </w:rPr>
        <w:t>=</w:t>
      </w:r>
      <w:r w:rsidR="00AA0BB2" w:rsidRPr="00345DA1">
        <w:rPr>
          <w:rFonts w:ascii="Times New Roman" w:hAnsi="Times New Roman" w:cs="Times New Roman"/>
        </w:rPr>
        <w:t xml:space="preserve"> </w:t>
      </w:r>
      <w:r w:rsidRPr="00345DA1">
        <w:rPr>
          <w:rFonts w:ascii="Times New Roman" w:hAnsi="Times New Roman" w:cs="Times New Roman"/>
        </w:rPr>
        <w:t>0.919 (n</w:t>
      </w:r>
      <w:r w:rsidR="00AA0BB2" w:rsidRPr="00345DA1">
        <w:rPr>
          <w:rFonts w:ascii="Times New Roman" w:hAnsi="Times New Roman" w:cs="Times New Roman"/>
        </w:rPr>
        <w:t xml:space="preserve"> </w:t>
      </w:r>
      <w:r w:rsidRPr="00345DA1">
        <w:rPr>
          <w:rFonts w:ascii="Times New Roman" w:hAnsi="Times New Roman" w:cs="Times New Roman"/>
        </w:rPr>
        <w:t>=</w:t>
      </w:r>
      <w:r w:rsidR="00AA0BB2" w:rsidRPr="00345DA1">
        <w:rPr>
          <w:rFonts w:ascii="Times New Roman" w:hAnsi="Times New Roman" w:cs="Times New Roman"/>
        </w:rPr>
        <w:t xml:space="preserve"> </w:t>
      </w:r>
      <w:r w:rsidRPr="00345DA1">
        <w:rPr>
          <w:rFonts w:ascii="Times New Roman" w:hAnsi="Times New Roman" w:cs="Times New Roman"/>
        </w:rPr>
        <w:t xml:space="preserve">50) </w:t>
      </w:r>
      <w:r w:rsidR="00AA0BB2" w:rsidRPr="00345DA1">
        <w:rPr>
          <w:rFonts w:ascii="Times New Roman" w:hAnsi="Times New Roman" w:cs="Times New Roman"/>
        </w:rPr>
        <w:fldChar w:fldCharType="begin"/>
      </w:r>
      <w:r w:rsidR="00AA0BB2" w:rsidRPr="00345DA1">
        <w:rPr>
          <w:rFonts w:ascii="Times New Roman" w:hAnsi="Times New Roman" w:cs="Times New Roman"/>
        </w:rPr>
        <w:instrText xml:space="preserve"> ADDIN EN.CITE &lt;EndNote&gt;&lt;Cite&gt;&lt;Author&gt;Aviv&lt;/Author&gt;&lt;Year&gt;2011&lt;/Year&gt;&lt;RecNum&gt;6456&lt;/RecNum&gt;&lt;DisplayText&gt;(12)&lt;/DisplayText&gt;&lt;record&gt;&lt;rec-number&gt;6456&lt;/rec-number&gt;&lt;foreign-keys&gt;&lt;key app="EN" db-id="rt20vase9a095zevxvwpterq2t02v22e520p"&gt;6456&lt;/key&gt;&lt;/foreign-keys&gt;&lt;ref-type name="Journal Article"&gt;17&lt;/ref-type&gt;&lt;contributors&gt;&lt;authors&gt;&lt;author&gt;Aviv, A.&lt;/author&gt;&lt;author&gt;Hunt, S. C.&lt;/author&gt;&lt;author&gt;Lin, J.&lt;/author&gt;&lt;author&gt;Cao, X.&lt;/author&gt;&lt;author&gt;Kimura, M.&lt;/author&gt;&lt;author&gt;Blackburn, E.&lt;/author&gt;&lt;/authors&gt;&lt;/contributors&gt;&lt;auth-address&gt;The Center of Human development and Aging, University of Medicine and Dentistry of New Jersey, New Jersey Medical School, Newark, NJ 07103, USA. avivab@umdnj.edu&lt;/auth-address&gt;&lt;titles&gt;&lt;title&gt;Impartial comparative analysis of measurement of leukocyte telomere length/DNA content by Southern blots and qPCR&lt;/title&gt;&lt;secondary-title&gt;Nucleic Acids Res&lt;/secondary-title&gt;&lt;alt-title&gt;Nucleic acids research&lt;/alt-title&gt;&lt;/titles&gt;&lt;periodical&gt;&lt;full-title&gt;Nucleic Acids Res&lt;/full-title&gt;&lt;/periodical&gt;&lt;alt-periodical&gt;&lt;full-title&gt;Nucleic Acids Research&lt;/full-title&gt;&lt;/alt-periodical&gt;&lt;pages&gt;e134&lt;/pages&gt;&lt;volume&gt;39&lt;/volume&gt;&lt;number&gt;20&lt;/number&gt;&lt;edition&gt;2011/08/10&lt;/edition&gt;&lt;keywords&gt;&lt;keyword&gt;Adult&lt;/keyword&gt;&lt;keyword&gt;Aged&lt;/keyword&gt;&lt;keyword&gt;*Blotting, Southern&lt;/keyword&gt;&lt;keyword&gt;DNA/*analysis&lt;/keyword&gt;&lt;keyword&gt;Female&lt;/keyword&gt;&lt;keyword&gt;Humans&lt;/keyword&gt;&lt;keyword&gt;Leukocytes/chemistry&lt;/keyword&gt;&lt;keyword&gt;Male&lt;/keyword&gt;&lt;keyword&gt;Middle Aged&lt;/keyword&gt;&lt;keyword&gt;*Polymerase Chain Reaction&lt;/keyword&gt;&lt;keyword&gt;Reproducibility of Results&lt;/keyword&gt;&lt;keyword&gt;Telomere/*chemistry&lt;/keyword&gt;&lt;keyword&gt;*Telomere Homeostasis&lt;/keyword&gt;&lt;/keywords&gt;&lt;dates&gt;&lt;year&gt;2011&lt;/year&gt;&lt;pub-dates&gt;&lt;date&gt;Nov 1&lt;/date&gt;&lt;/pub-dates&gt;&lt;/dates&gt;&lt;isbn&gt;1362-4962 (Electronic)&amp;#xD;0305-1048 (Linking)&lt;/isbn&gt;&lt;accession-num&gt;21824912&lt;/accession-num&gt;&lt;urls&gt;&lt;related-urls&gt;&lt;url&gt;http://www.ncbi.nlm.nih.gov/pubmed/21824912&lt;/url&gt;&lt;/related-urls&gt;&lt;/urls&gt;&lt;custom2&gt;3203599&lt;/custom2&gt;&lt;electronic-resource-num&gt;10.1093/nar/gkr634&lt;/electronic-resource-num&gt;&lt;language&gt;eng&lt;/language&gt;&lt;/record&gt;&lt;/Cite&gt;&lt;/EndNote&gt;</w:instrText>
      </w:r>
      <w:r w:rsidR="00AA0BB2" w:rsidRPr="00345DA1">
        <w:rPr>
          <w:rFonts w:ascii="Times New Roman" w:hAnsi="Times New Roman" w:cs="Times New Roman"/>
        </w:rPr>
        <w:fldChar w:fldCharType="separate"/>
      </w:r>
      <w:r w:rsidR="00AA0BB2" w:rsidRPr="00345DA1">
        <w:rPr>
          <w:rFonts w:ascii="Times New Roman" w:hAnsi="Times New Roman" w:cs="Times New Roman"/>
          <w:noProof/>
        </w:rPr>
        <w:t>(</w:t>
      </w:r>
      <w:hyperlink w:anchor="_ENREF_12" w:tooltip="Aviv, 2011 #6456" w:history="1">
        <w:r w:rsidR="00AA0BB2" w:rsidRPr="00345DA1">
          <w:rPr>
            <w:rFonts w:ascii="Times New Roman" w:hAnsi="Times New Roman" w:cs="Times New Roman"/>
            <w:noProof/>
          </w:rPr>
          <w:t>12</w:t>
        </w:r>
      </w:hyperlink>
      <w:r w:rsidR="00AA0BB2" w:rsidRPr="00345DA1">
        <w:rPr>
          <w:rFonts w:ascii="Times New Roman" w:hAnsi="Times New Roman" w:cs="Times New Roman"/>
          <w:noProof/>
        </w:rPr>
        <w:t>)</w:t>
      </w:r>
      <w:r w:rsidR="00AA0BB2" w:rsidRPr="00345DA1">
        <w:rPr>
          <w:rFonts w:ascii="Times New Roman" w:hAnsi="Times New Roman" w:cs="Times New Roman"/>
        </w:rPr>
        <w:fldChar w:fldCharType="end"/>
      </w:r>
      <w:r w:rsidRPr="00345DA1">
        <w:rPr>
          <w:rFonts w:ascii="Times New Roman" w:hAnsi="Times New Roman" w:cs="Times New Roman"/>
        </w:rPr>
        <w:t xml:space="preserve">. In a plate deliberately re-run to assess inter-assay reliability and excluding samples with CV’s greater than 15%, the correlation was high (r = 0.97; n = 17; p &lt; 0.0001) with a regression coefficient not significantly different from 1 (95% CI = 0.87 to 1.12). </w:t>
      </w:r>
    </w:p>
    <w:p w:rsidR="000227E1" w:rsidRPr="00345DA1" w:rsidRDefault="000227E1" w:rsidP="00A76451">
      <w:pPr>
        <w:spacing w:line="276" w:lineRule="auto"/>
        <w:rPr>
          <w:rFonts w:ascii="Times New Roman" w:hAnsi="Times New Roman" w:cs="Times New Roman"/>
        </w:rPr>
      </w:pPr>
      <w:r w:rsidRPr="00345DA1">
        <w:rPr>
          <w:rFonts w:ascii="Times New Roman" w:hAnsi="Times New Roman" w:cs="Times New Roman"/>
        </w:rPr>
        <w:t xml:space="preserve">There were some replicate aliquots of the same DNA sample extracts on the stock DNA plates, permitting us to calculate a within experiment concordance which was r = 0.83 (n = 124, p &lt; 0.0001). This reduced correlation compared to re-runs of the same working stock sample may reflect measurement error in DNA concentrations measurement, in diluting down, or perhaps differences in handling conditions of the replicate DNA aliquots before they were aliquoted onto the stock plates. Alternatively, the between experiment concordance could be estimated from the correlation between these same replicates, but only including those </w:t>
      </w:r>
      <w:bookmarkStart w:id="0" w:name="_GoBack"/>
      <w:r w:rsidRPr="00345DA1">
        <w:rPr>
          <w:rFonts w:ascii="Times New Roman" w:hAnsi="Times New Roman" w:cs="Times New Roman"/>
        </w:rPr>
        <w:t xml:space="preserve">replicates which were on separate runs (including 50 distinct run pairs)  which was reduced slightly reduced to r = 0.80 ( n = 56, p &lt; 0.0001). This measure is important in giving us a measure of inter-run variability broadly across </w:t>
      </w:r>
      <w:bookmarkEnd w:id="0"/>
      <w:r w:rsidRPr="00345DA1">
        <w:rPr>
          <w:rFonts w:ascii="Times New Roman" w:hAnsi="Times New Roman" w:cs="Times New Roman"/>
        </w:rPr>
        <w:t xml:space="preserve">runs. </w:t>
      </w:r>
    </w:p>
    <w:p w:rsidR="000227E1" w:rsidRPr="00345DA1" w:rsidRDefault="000227E1" w:rsidP="00A76451">
      <w:pPr>
        <w:spacing w:line="276" w:lineRule="auto"/>
        <w:rPr>
          <w:rFonts w:ascii="Times New Roman" w:hAnsi="Times New Roman" w:cs="Times New Roman"/>
        </w:rPr>
      </w:pPr>
    </w:p>
    <w:p w:rsidR="000227E1" w:rsidRPr="00345DA1" w:rsidRDefault="000227E1" w:rsidP="00A76451">
      <w:pPr>
        <w:spacing w:line="276" w:lineRule="auto"/>
        <w:rPr>
          <w:rFonts w:ascii="Times New Roman" w:hAnsi="Times New Roman" w:cs="Times New Roman"/>
        </w:rPr>
      </w:pPr>
    </w:p>
    <w:p w:rsidR="0073753D" w:rsidRPr="00345DA1" w:rsidRDefault="0073753D" w:rsidP="00A76451">
      <w:pPr>
        <w:spacing w:line="276" w:lineRule="auto"/>
        <w:rPr>
          <w:rFonts w:ascii="Times New Roman" w:hAnsi="Times New Roman" w:cs="Times New Roman"/>
        </w:rPr>
      </w:pPr>
    </w:p>
    <w:p w:rsidR="00AA0BB2" w:rsidRPr="00345DA1" w:rsidRDefault="00A76451" w:rsidP="00A76451">
      <w:pPr>
        <w:spacing w:line="276" w:lineRule="auto"/>
        <w:rPr>
          <w:rFonts w:ascii="Times New Roman" w:hAnsi="Times New Roman" w:cs="Times New Roman"/>
          <w:b/>
        </w:rPr>
      </w:pPr>
      <w:r w:rsidRPr="00345DA1">
        <w:rPr>
          <w:rFonts w:ascii="Times New Roman" w:hAnsi="Times New Roman" w:cs="Times New Roman"/>
          <w:b/>
        </w:rPr>
        <w:t>REFERENCES</w:t>
      </w:r>
    </w:p>
    <w:p w:rsidR="00AA0BB2" w:rsidRPr="00345DA1" w:rsidRDefault="00AA0BB2" w:rsidP="00A76451">
      <w:pPr>
        <w:spacing w:line="276" w:lineRule="auto"/>
        <w:rPr>
          <w:rFonts w:ascii="Times New Roman" w:hAnsi="Times New Roman" w:cs="Times New Roman"/>
        </w:rPr>
      </w:pPr>
    </w:p>
    <w:p w:rsidR="00AA0BB2" w:rsidRPr="00345DA1" w:rsidRDefault="00AA0BB2" w:rsidP="00AA0BB2">
      <w:pPr>
        <w:spacing w:after="0" w:line="240" w:lineRule="auto"/>
        <w:ind w:left="720" w:hanging="720"/>
        <w:rPr>
          <w:rFonts w:ascii="Times New Roman" w:hAnsi="Times New Roman" w:cs="Times New Roman"/>
          <w:noProof/>
        </w:rPr>
      </w:pPr>
      <w:r w:rsidRPr="00345DA1">
        <w:rPr>
          <w:rFonts w:ascii="Times New Roman" w:hAnsi="Times New Roman" w:cs="Times New Roman"/>
        </w:rPr>
        <w:fldChar w:fldCharType="begin"/>
      </w:r>
      <w:r w:rsidRPr="00345DA1">
        <w:rPr>
          <w:rFonts w:ascii="Times New Roman" w:hAnsi="Times New Roman" w:cs="Times New Roman"/>
        </w:rPr>
        <w:instrText xml:space="preserve"> ADDIN EN.REFLIST </w:instrText>
      </w:r>
      <w:r w:rsidRPr="00345DA1">
        <w:rPr>
          <w:rFonts w:ascii="Times New Roman" w:hAnsi="Times New Roman" w:cs="Times New Roman"/>
        </w:rPr>
        <w:fldChar w:fldCharType="separate"/>
      </w:r>
      <w:bookmarkStart w:id="1" w:name="_ENREF_1"/>
      <w:r w:rsidRPr="00345DA1">
        <w:rPr>
          <w:rFonts w:ascii="Times New Roman" w:hAnsi="Times New Roman" w:cs="Times New Roman"/>
          <w:noProof/>
        </w:rPr>
        <w:t>1.</w:t>
      </w:r>
      <w:r w:rsidRPr="00345DA1">
        <w:rPr>
          <w:rFonts w:ascii="Times New Roman" w:hAnsi="Times New Roman" w:cs="Times New Roman"/>
          <w:noProof/>
        </w:rPr>
        <w:tab/>
        <w:t xml:space="preserve">Cawthon, R.M. (2009) Telomere length measurement by a novel monochrome multiplex quantitative PCR method. </w:t>
      </w:r>
      <w:r w:rsidRPr="00345DA1">
        <w:rPr>
          <w:rFonts w:ascii="Times New Roman" w:hAnsi="Times New Roman" w:cs="Times New Roman"/>
          <w:i/>
          <w:noProof/>
        </w:rPr>
        <w:t>Nucleic Acids Res</w:t>
      </w:r>
      <w:r w:rsidRPr="00345DA1">
        <w:rPr>
          <w:rFonts w:ascii="Times New Roman" w:hAnsi="Times New Roman" w:cs="Times New Roman"/>
          <w:noProof/>
        </w:rPr>
        <w:t>, 37, e21.</w:t>
      </w:r>
      <w:bookmarkEnd w:id="1"/>
    </w:p>
    <w:p w:rsidR="00AA0BB2" w:rsidRPr="00345DA1" w:rsidRDefault="00AA0BB2" w:rsidP="00AA0BB2">
      <w:pPr>
        <w:spacing w:after="0" w:line="240" w:lineRule="auto"/>
        <w:ind w:left="720" w:hanging="720"/>
        <w:rPr>
          <w:rFonts w:ascii="Times New Roman" w:hAnsi="Times New Roman" w:cs="Times New Roman"/>
          <w:noProof/>
        </w:rPr>
      </w:pPr>
      <w:bookmarkStart w:id="2" w:name="_ENREF_2"/>
      <w:r w:rsidRPr="00345DA1">
        <w:rPr>
          <w:rFonts w:ascii="Times New Roman" w:hAnsi="Times New Roman" w:cs="Times New Roman"/>
          <w:noProof/>
        </w:rPr>
        <w:t>2.</w:t>
      </w:r>
      <w:r w:rsidRPr="00345DA1">
        <w:rPr>
          <w:rFonts w:ascii="Times New Roman" w:hAnsi="Times New Roman" w:cs="Times New Roman"/>
          <w:noProof/>
        </w:rPr>
        <w:tab/>
        <w:t xml:space="preserve">Cawthon, R.M. (2002) Telomere measurement by quantitative PCR. </w:t>
      </w:r>
      <w:r w:rsidRPr="00345DA1">
        <w:rPr>
          <w:rFonts w:ascii="Times New Roman" w:hAnsi="Times New Roman" w:cs="Times New Roman"/>
          <w:i/>
          <w:noProof/>
        </w:rPr>
        <w:t>Nucleic Acids Res</w:t>
      </w:r>
      <w:r w:rsidRPr="00345DA1">
        <w:rPr>
          <w:rFonts w:ascii="Times New Roman" w:hAnsi="Times New Roman" w:cs="Times New Roman"/>
          <w:noProof/>
        </w:rPr>
        <w:t>, 30, e47.</w:t>
      </w:r>
      <w:bookmarkEnd w:id="2"/>
    </w:p>
    <w:p w:rsidR="00AA0BB2" w:rsidRPr="00345DA1" w:rsidRDefault="00AA0BB2" w:rsidP="00AA0BB2">
      <w:pPr>
        <w:spacing w:after="0" w:line="240" w:lineRule="auto"/>
        <w:ind w:left="720" w:hanging="720"/>
        <w:rPr>
          <w:rFonts w:ascii="Times New Roman" w:hAnsi="Times New Roman" w:cs="Times New Roman"/>
          <w:noProof/>
        </w:rPr>
      </w:pPr>
      <w:bookmarkStart w:id="3" w:name="_ENREF_3"/>
      <w:r w:rsidRPr="00345DA1">
        <w:rPr>
          <w:rFonts w:ascii="Times New Roman" w:hAnsi="Times New Roman" w:cs="Times New Roman"/>
          <w:noProof/>
        </w:rPr>
        <w:t>3.</w:t>
      </w:r>
      <w:r w:rsidRPr="00345DA1">
        <w:rPr>
          <w:rFonts w:ascii="Times New Roman" w:hAnsi="Times New Roman" w:cs="Times New Roman"/>
          <w:noProof/>
        </w:rPr>
        <w:tab/>
        <w:t xml:space="preserve">Herrmann, M.G., Durtschi, J.D., Wittwer, C.T. and Voelkerding, K.V. (2007) Expanded Instrument Comparison of Amplicon DNA Melting Analysis for Mutation Scanning and Genotyping. </w:t>
      </w:r>
      <w:r w:rsidRPr="00345DA1">
        <w:rPr>
          <w:rFonts w:ascii="Times New Roman" w:hAnsi="Times New Roman" w:cs="Times New Roman"/>
          <w:i/>
          <w:noProof/>
        </w:rPr>
        <w:t>Clin Chem</w:t>
      </w:r>
      <w:r w:rsidRPr="00345DA1">
        <w:rPr>
          <w:rFonts w:ascii="Times New Roman" w:hAnsi="Times New Roman" w:cs="Times New Roman"/>
          <w:noProof/>
        </w:rPr>
        <w:t>, 53, 1544-1548.</w:t>
      </w:r>
      <w:bookmarkEnd w:id="3"/>
    </w:p>
    <w:p w:rsidR="00AA0BB2" w:rsidRPr="00345DA1" w:rsidRDefault="00AA0BB2" w:rsidP="00AA0BB2">
      <w:pPr>
        <w:spacing w:after="0" w:line="240" w:lineRule="auto"/>
        <w:ind w:left="720" w:hanging="720"/>
        <w:rPr>
          <w:rFonts w:ascii="Times New Roman" w:hAnsi="Times New Roman" w:cs="Times New Roman"/>
          <w:noProof/>
        </w:rPr>
      </w:pPr>
      <w:bookmarkStart w:id="4" w:name="_ENREF_4"/>
      <w:r w:rsidRPr="00345DA1">
        <w:rPr>
          <w:rFonts w:ascii="Times New Roman" w:hAnsi="Times New Roman" w:cs="Times New Roman"/>
          <w:noProof/>
        </w:rPr>
        <w:t>4.</w:t>
      </w:r>
      <w:r w:rsidRPr="00345DA1">
        <w:rPr>
          <w:rFonts w:ascii="Times New Roman" w:hAnsi="Times New Roman" w:cs="Times New Roman"/>
          <w:noProof/>
        </w:rPr>
        <w:tab/>
        <w:t xml:space="preserve">McGown, E.L. (2000) UV absorbance measurements of DNA in microplates. </w:t>
      </w:r>
      <w:r w:rsidRPr="00345DA1">
        <w:rPr>
          <w:rFonts w:ascii="Times New Roman" w:hAnsi="Times New Roman" w:cs="Times New Roman"/>
          <w:i/>
          <w:noProof/>
        </w:rPr>
        <w:t>Biotechniques</w:t>
      </w:r>
      <w:r w:rsidRPr="00345DA1">
        <w:rPr>
          <w:rFonts w:ascii="Times New Roman" w:hAnsi="Times New Roman" w:cs="Times New Roman"/>
          <w:noProof/>
        </w:rPr>
        <w:t>, 28, 60, 63-64.</w:t>
      </w:r>
      <w:bookmarkEnd w:id="4"/>
    </w:p>
    <w:p w:rsidR="00AA0BB2" w:rsidRPr="00345DA1" w:rsidRDefault="00AA0BB2" w:rsidP="00AA0BB2">
      <w:pPr>
        <w:spacing w:after="0" w:line="240" w:lineRule="auto"/>
        <w:ind w:left="720" w:hanging="720"/>
        <w:rPr>
          <w:rFonts w:ascii="Times New Roman" w:hAnsi="Times New Roman" w:cs="Times New Roman"/>
          <w:noProof/>
        </w:rPr>
      </w:pPr>
      <w:bookmarkStart w:id="5" w:name="_ENREF_5"/>
      <w:r w:rsidRPr="00345DA1">
        <w:rPr>
          <w:rFonts w:ascii="Times New Roman" w:hAnsi="Times New Roman" w:cs="Times New Roman"/>
          <w:noProof/>
        </w:rPr>
        <w:t>5.</w:t>
      </w:r>
      <w:r w:rsidRPr="00345DA1">
        <w:rPr>
          <w:rFonts w:ascii="Times New Roman" w:hAnsi="Times New Roman" w:cs="Times New Roman"/>
          <w:noProof/>
        </w:rPr>
        <w:tab/>
        <w:t xml:space="preserve">Horn, T., Robertson, B.C. and Gemmell, N.J. (2010) The use of telomere length in ecology and evolutionary biology. </w:t>
      </w:r>
      <w:r w:rsidRPr="00345DA1">
        <w:rPr>
          <w:rFonts w:ascii="Times New Roman" w:hAnsi="Times New Roman" w:cs="Times New Roman"/>
          <w:i/>
          <w:noProof/>
        </w:rPr>
        <w:t>Heredity</w:t>
      </w:r>
      <w:r w:rsidRPr="00345DA1">
        <w:rPr>
          <w:rFonts w:ascii="Times New Roman" w:hAnsi="Times New Roman" w:cs="Times New Roman"/>
          <w:noProof/>
        </w:rPr>
        <w:t>, 105, 497-506.</w:t>
      </w:r>
      <w:bookmarkEnd w:id="5"/>
    </w:p>
    <w:p w:rsidR="00AA0BB2" w:rsidRPr="00345DA1" w:rsidRDefault="00AA0BB2" w:rsidP="00AA0BB2">
      <w:pPr>
        <w:spacing w:after="0" w:line="240" w:lineRule="auto"/>
        <w:ind w:left="720" w:hanging="720"/>
        <w:rPr>
          <w:rFonts w:ascii="Times New Roman" w:hAnsi="Times New Roman" w:cs="Times New Roman"/>
          <w:noProof/>
        </w:rPr>
      </w:pPr>
      <w:bookmarkStart w:id="6" w:name="_ENREF_6"/>
      <w:r w:rsidRPr="00345DA1">
        <w:rPr>
          <w:rFonts w:ascii="Times New Roman" w:hAnsi="Times New Roman" w:cs="Times New Roman"/>
          <w:noProof/>
        </w:rPr>
        <w:t>6.</w:t>
      </w:r>
      <w:r w:rsidRPr="00345DA1">
        <w:rPr>
          <w:rFonts w:ascii="Times New Roman" w:hAnsi="Times New Roman" w:cs="Times New Roman"/>
          <w:noProof/>
        </w:rPr>
        <w:tab/>
        <w:t xml:space="preserve">Ramakers, C., Ruijter, J.M., Deprez, R.H. and Moorman, A.F. (2003) Assumption-free analysis of quantitative real-time polymerase chain reaction (PCR) data. </w:t>
      </w:r>
      <w:r w:rsidRPr="00345DA1">
        <w:rPr>
          <w:rFonts w:ascii="Times New Roman" w:hAnsi="Times New Roman" w:cs="Times New Roman"/>
          <w:i/>
          <w:noProof/>
        </w:rPr>
        <w:t>Neurosci Lett</w:t>
      </w:r>
      <w:r w:rsidRPr="00345DA1">
        <w:rPr>
          <w:rFonts w:ascii="Times New Roman" w:hAnsi="Times New Roman" w:cs="Times New Roman"/>
          <w:noProof/>
        </w:rPr>
        <w:t>, 339, 62-66.</w:t>
      </w:r>
      <w:bookmarkEnd w:id="6"/>
    </w:p>
    <w:p w:rsidR="00AA0BB2" w:rsidRPr="00345DA1" w:rsidRDefault="00AA0BB2" w:rsidP="00AA0BB2">
      <w:pPr>
        <w:spacing w:after="0" w:line="240" w:lineRule="auto"/>
        <w:ind w:left="720" w:hanging="720"/>
        <w:rPr>
          <w:rFonts w:ascii="Times New Roman" w:hAnsi="Times New Roman" w:cs="Times New Roman"/>
          <w:noProof/>
        </w:rPr>
      </w:pPr>
      <w:bookmarkStart w:id="7" w:name="_ENREF_7"/>
      <w:r w:rsidRPr="00345DA1">
        <w:rPr>
          <w:rFonts w:ascii="Times New Roman" w:hAnsi="Times New Roman" w:cs="Times New Roman"/>
          <w:noProof/>
        </w:rPr>
        <w:t>7.</w:t>
      </w:r>
      <w:r w:rsidRPr="00345DA1">
        <w:rPr>
          <w:rFonts w:ascii="Times New Roman" w:hAnsi="Times New Roman" w:cs="Times New Roman"/>
          <w:noProof/>
        </w:rPr>
        <w:tab/>
        <w:t xml:space="preserve">Ruijter, J.M., Ramakers, C., Hoogaars, W.M., Karlen, Y., Bakker, O., van den Hoff, M.J. and Moorman, A.F. (2009) Amplification efficiency: linking baseline and bias in the analysis of quantitative PCR data. </w:t>
      </w:r>
      <w:r w:rsidRPr="00345DA1">
        <w:rPr>
          <w:rFonts w:ascii="Times New Roman" w:hAnsi="Times New Roman" w:cs="Times New Roman"/>
          <w:i/>
          <w:noProof/>
        </w:rPr>
        <w:t>Nucleic Acids Res</w:t>
      </w:r>
      <w:r w:rsidRPr="00345DA1">
        <w:rPr>
          <w:rFonts w:ascii="Times New Roman" w:hAnsi="Times New Roman" w:cs="Times New Roman"/>
          <w:noProof/>
        </w:rPr>
        <w:t>, 37, e45.</w:t>
      </w:r>
      <w:bookmarkEnd w:id="7"/>
    </w:p>
    <w:p w:rsidR="00AA0BB2" w:rsidRPr="00345DA1" w:rsidRDefault="00AA0BB2" w:rsidP="00AA0BB2">
      <w:pPr>
        <w:spacing w:after="0" w:line="240" w:lineRule="auto"/>
        <w:ind w:left="720" w:hanging="720"/>
        <w:rPr>
          <w:rFonts w:ascii="Times New Roman" w:hAnsi="Times New Roman" w:cs="Times New Roman"/>
          <w:noProof/>
        </w:rPr>
      </w:pPr>
      <w:bookmarkStart w:id="8" w:name="_ENREF_8"/>
      <w:r w:rsidRPr="00345DA1">
        <w:rPr>
          <w:rFonts w:ascii="Times New Roman" w:hAnsi="Times New Roman" w:cs="Times New Roman"/>
          <w:noProof/>
        </w:rPr>
        <w:t>8.</w:t>
      </w:r>
      <w:r w:rsidRPr="00345DA1">
        <w:rPr>
          <w:rFonts w:ascii="Times New Roman" w:hAnsi="Times New Roman" w:cs="Times New Roman"/>
          <w:noProof/>
        </w:rPr>
        <w:tab/>
        <w:t xml:space="preserve">Ehrlenbach, S., Willeit, P., Kiechl, S., Willeit, J., Reindl, M., Schanda, K., Kronenberg, F. and Brandstatter, A. (2009) Influences on the reduction of relative telomere length over 10 years in the population-based Bruneck Study: introduction of a well-controlled high-throughput assay. </w:t>
      </w:r>
      <w:r w:rsidRPr="00345DA1">
        <w:rPr>
          <w:rFonts w:ascii="Times New Roman" w:hAnsi="Times New Roman" w:cs="Times New Roman"/>
          <w:i/>
          <w:noProof/>
        </w:rPr>
        <w:t>Int J Epidemiol</w:t>
      </w:r>
      <w:r w:rsidRPr="00345DA1">
        <w:rPr>
          <w:rFonts w:ascii="Times New Roman" w:hAnsi="Times New Roman" w:cs="Times New Roman"/>
          <w:noProof/>
        </w:rPr>
        <w:t>, 38, 1725-1734.</w:t>
      </w:r>
      <w:bookmarkEnd w:id="8"/>
    </w:p>
    <w:p w:rsidR="00AA0BB2" w:rsidRPr="00345DA1" w:rsidRDefault="00AA0BB2" w:rsidP="00AA0BB2">
      <w:pPr>
        <w:spacing w:after="0" w:line="240" w:lineRule="auto"/>
        <w:ind w:left="720" w:hanging="720"/>
        <w:rPr>
          <w:rFonts w:ascii="Times New Roman" w:hAnsi="Times New Roman" w:cs="Times New Roman"/>
          <w:noProof/>
        </w:rPr>
      </w:pPr>
      <w:bookmarkStart w:id="9" w:name="_ENREF_9"/>
      <w:r w:rsidRPr="00345DA1">
        <w:rPr>
          <w:rFonts w:ascii="Times New Roman" w:hAnsi="Times New Roman" w:cs="Times New Roman"/>
          <w:noProof/>
        </w:rPr>
        <w:lastRenderedPageBreak/>
        <w:t>9.</w:t>
      </w:r>
      <w:r w:rsidRPr="00345DA1">
        <w:rPr>
          <w:rFonts w:ascii="Times New Roman" w:hAnsi="Times New Roman" w:cs="Times New Roman"/>
          <w:noProof/>
        </w:rPr>
        <w:tab/>
        <w:t xml:space="preserve">Ehrlenbach, S., Willeit, P., Kiechl, S., Willeit, J., Reindl, M., Schanda, K., Kronenberg, F. and Brandstatter, A. (2010) Raising the bar on telomere epidemiology. </w:t>
      </w:r>
      <w:r w:rsidRPr="00345DA1">
        <w:rPr>
          <w:rFonts w:ascii="Times New Roman" w:hAnsi="Times New Roman" w:cs="Times New Roman"/>
          <w:i/>
          <w:noProof/>
        </w:rPr>
        <w:t>Int J Epidemiol</w:t>
      </w:r>
      <w:r w:rsidRPr="00345DA1">
        <w:rPr>
          <w:rFonts w:ascii="Times New Roman" w:hAnsi="Times New Roman" w:cs="Times New Roman"/>
          <w:noProof/>
        </w:rPr>
        <w:t>, 39, 308-309.</w:t>
      </w:r>
      <w:bookmarkEnd w:id="9"/>
    </w:p>
    <w:p w:rsidR="00AA0BB2" w:rsidRPr="00345DA1" w:rsidRDefault="00AA0BB2" w:rsidP="00AA0BB2">
      <w:pPr>
        <w:spacing w:after="0" w:line="240" w:lineRule="auto"/>
        <w:ind w:left="720" w:hanging="720"/>
        <w:rPr>
          <w:rFonts w:ascii="Times New Roman" w:hAnsi="Times New Roman" w:cs="Times New Roman"/>
          <w:noProof/>
        </w:rPr>
      </w:pPr>
      <w:bookmarkStart w:id="10" w:name="_ENREF_10"/>
      <w:r w:rsidRPr="00345DA1">
        <w:rPr>
          <w:rFonts w:ascii="Times New Roman" w:hAnsi="Times New Roman" w:cs="Times New Roman"/>
          <w:noProof/>
        </w:rPr>
        <w:t>10.</w:t>
      </w:r>
      <w:r w:rsidRPr="00345DA1">
        <w:rPr>
          <w:rFonts w:ascii="Times New Roman" w:hAnsi="Times New Roman" w:cs="Times New Roman"/>
          <w:noProof/>
        </w:rPr>
        <w:tab/>
        <w:t xml:space="preserve">Willeit, P., Willeit, J., Mayr, A., Weger, S., Oberhollenzer, F., Brandstatter, A., Kronenberg, F. and Kiechl, S. (2010) Telomere length and risk of incident cancer and cancer mortality. </w:t>
      </w:r>
      <w:r w:rsidRPr="00345DA1">
        <w:rPr>
          <w:rFonts w:ascii="Times New Roman" w:hAnsi="Times New Roman" w:cs="Times New Roman"/>
          <w:i/>
          <w:noProof/>
        </w:rPr>
        <w:t>JAMA</w:t>
      </w:r>
      <w:r w:rsidRPr="00345DA1">
        <w:rPr>
          <w:rFonts w:ascii="Times New Roman" w:hAnsi="Times New Roman" w:cs="Times New Roman"/>
          <w:noProof/>
        </w:rPr>
        <w:t>, 304, 69-75.</w:t>
      </w:r>
      <w:bookmarkEnd w:id="10"/>
    </w:p>
    <w:p w:rsidR="00AA0BB2" w:rsidRPr="00345DA1" w:rsidRDefault="00AA0BB2" w:rsidP="00AA0BB2">
      <w:pPr>
        <w:spacing w:after="0" w:line="240" w:lineRule="auto"/>
        <w:ind w:left="720" w:hanging="720"/>
        <w:rPr>
          <w:rFonts w:ascii="Times New Roman" w:hAnsi="Times New Roman" w:cs="Times New Roman"/>
          <w:noProof/>
        </w:rPr>
      </w:pPr>
      <w:bookmarkStart w:id="11" w:name="_ENREF_11"/>
      <w:r w:rsidRPr="00345DA1">
        <w:rPr>
          <w:rFonts w:ascii="Times New Roman" w:hAnsi="Times New Roman" w:cs="Times New Roman"/>
          <w:noProof/>
        </w:rPr>
        <w:t>11.</w:t>
      </w:r>
      <w:r w:rsidRPr="00345DA1">
        <w:rPr>
          <w:rFonts w:ascii="Times New Roman" w:hAnsi="Times New Roman" w:cs="Times New Roman"/>
          <w:noProof/>
        </w:rPr>
        <w:tab/>
        <w:t xml:space="preserve">Karlen, Y., McNair, A., Perseguers, S., Mazza, C. and Mermod, N. (2007) Statistical significance of quantitative PCR. </w:t>
      </w:r>
      <w:r w:rsidRPr="00345DA1">
        <w:rPr>
          <w:rFonts w:ascii="Times New Roman" w:hAnsi="Times New Roman" w:cs="Times New Roman"/>
          <w:i/>
          <w:noProof/>
        </w:rPr>
        <w:t>BMC Bioinformatics</w:t>
      </w:r>
      <w:r w:rsidRPr="00345DA1">
        <w:rPr>
          <w:rFonts w:ascii="Times New Roman" w:hAnsi="Times New Roman" w:cs="Times New Roman"/>
          <w:noProof/>
        </w:rPr>
        <w:t>, 8, 131.</w:t>
      </w:r>
      <w:bookmarkEnd w:id="11"/>
    </w:p>
    <w:p w:rsidR="00AA0BB2" w:rsidRPr="00345DA1" w:rsidRDefault="00AA0BB2" w:rsidP="00AA0BB2">
      <w:pPr>
        <w:spacing w:line="240" w:lineRule="auto"/>
        <w:ind w:left="720" w:hanging="720"/>
        <w:rPr>
          <w:rFonts w:ascii="Times New Roman" w:hAnsi="Times New Roman" w:cs="Times New Roman"/>
          <w:noProof/>
        </w:rPr>
      </w:pPr>
      <w:bookmarkStart w:id="12" w:name="_ENREF_12"/>
      <w:r w:rsidRPr="00345DA1">
        <w:rPr>
          <w:rFonts w:ascii="Times New Roman" w:hAnsi="Times New Roman" w:cs="Times New Roman"/>
          <w:noProof/>
        </w:rPr>
        <w:t>12.</w:t>
      </w:r>
      <w:r w:rsidRPr="00345DA1">
        <w:rPr>
          <w:rFonts w:ascii="Times New Roman" w:hAnsi="Times New Roman" w:cs="Times New Roman"/>
          <w:noProof/>
        </w:rPr>
        <w:tab/>
        <w:t xml:space="preserve">Aviv, A., Hunt, S.C., Lin, J., Cao, X., Kimura, M. and Blackburn, E. (2011) Impartial comparative analysis of measurement of leukocyte telomere length/DNA content by Southern blots and qPCR. </w:t>
      </w:r>
      <w:r w:rsidRPr="00345DA1">
        <w:rPr>
          <w:rFonts w:ascii="Times New Roman" w:hAnsi="Times New Roman" w:cs="Times New Roman"/>
          <w:i/>
          <w:noProof/>
        </w:rPr>
        <w:t>Nucleic Acids Res</w:t>
      </w:r>
      <w:r w:rsidRPr="00345DA1">
        <w:rPr>
          <w:rFonts w:ascii="Times New Roman" w:hAnsi="Times New Roman" w:cs="Times New Roman"/>
          <w:noProof/>
        </w:rPr>
        <w:t>, 39, e134.</w:t>
      </w:r>
      <w:bookmarkEnd w:id="12"/>
    </w:p>
    <w:p w:rsidR="00AA0BB2" w:rsidRPr="00345DA1" w:rsidRDefault="00AA0BB2" w:rsidP="00AA0BB2">
      <w:pPr>
        <w:spacing w:line="240" w:lineRule="auto"/>
        <w:rPr>
          <w:rFonts w:ascii="Times New Roman" w:hAnsi="Times New Roman" w:cs="Times New Roman"/>
          <w:noProof/>
        </w:rPr>
      </w:pPr>
    </w:p>
    <w:p w:rsidR="0073753D" w:rsidRPr="00345DA1" w:rsidRDefault="00AA0BB2" w:rsidP="00A76451">
      <w:pPr>
        <w:spacing w:line="276" w:lineRule="auto"/>
        <w:rPr>
          <w:rFonts w:ascii="Times New Roman" w:hAnsi="Times New Roman" w:cs="Times New Roman"/>
        </w:rPr>
      </w:pPr>
      <w:r w:rsidRPr="00345DA1">
        <w:rPr>
          <w:rFonts w:ascii="Times New Roman" w:hAnsi="Times New Roman" w:cs="Times New Roman"/>
        </w:rPr>
        <w:fldChar w:fldCharType="end"/>
      </w:r>
    </w:p>
    <w:sectPr w:rsidR="0073753D" w:rsidRPr="00345D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B17AA"/>
    <w:multiLevelType w:val="multilevel"/>
    <w:tmpl w:val="A3F0DE74"/>
    <w:styleLink w:val="Headings"/>
    <w:lvl w:ilvl="0">
      <w:start w:val="1"/>
      <w:numFmt w:val="decimal"/>
      <w:pStyle w:val="Heading1"/>
      <w:lvlText w:val="Chapter %1."/>
      <w:lvlJc w:val="left"/>
      <w:pPr>
        <w:ind w:left="360" w:hanging="360"/>
      </w:pPr>
      <w:rPr>
        <w:rFonts w:hint="default"/>
      </w:rPr>
    </w:lvl>
    <w:lvl w:ilvl="1">
      <w:start w:val="1"/>
      <w:numFmt w:val="decimal"/>
      <w:pStyle w:val="Heading2"/>
      <w:lvlText w:val="%1.%2  "/>
      <w:lvlJc w:val="left"/>
      <w:pPr>
        <w:ind w:left="576" w:hanging="360"/>
      </w:pPr>
      <w:rPr>
        <w:rFonts w:hint="default"/>
      </w:rPr>
    </w:lvl>
    <w:lvl w:ilvl="2">
      <w:start w:val="1"/>
      <w:numFmt w:val="none"/>
      <w:pStyle w:val="Heading3"/>
      <w:lvlText w:val=""/>
      <w:lvlJc w:val="left"/>
      <w:pPr>
        <w:ind w:left="1080" w:hanging="360"/>
      </w:pPr>
      <w:rPr>
        <w:rFonts w:hint="default"/>
      </w:rPr>
    </w:lvl>
    <w:lvl w:ilvl="3">
      <w:start w:val="1"/>
      <w:numFmt w:val="none"/>
      <w:pStyle w:val="Heading4"/>
      <w:lvlText w:val=""/>
      <w:lvlJc w:val="left"/>
      <w:pPr>
        <w:ind w:left="1440" w:hanging="360"/>
      </w:pPr>
      <w:rPr>
        <w:rFonts w:hint="default"/>
      </w:rPr>
    </w:lvl>
    <w:lvl w:ilvl="4">
      <w:start w:val="1"/>
      <w:numFmt w:val="none"/>
      <w:pStyle w:val="Heading5"/>
      <w:lvlText w:val=""/>
      <w:lvlJc w:val="left"/>
      <w:pPr>
        <w:ind w:left="1800" w:hanging="360"/>
      </w:pPr>
      <w:rPr>
        <w:rFonts w:hint="default"/>
      </w:rPr>
    </w:lvl>
    <w:lvl w:ilvl="5">
      <w:start w:val="1"/>
      <w:numFmt w:val="none"/>
      <w:pStyle w:val="Heading6"/>
      <w:lvlText w:val=""/>
      <w:lvlJc w:val="left"/>
      <w:pPr>
        <w:ind w:left="2160" w:hanging="360"/>
      </w:pPr>
      <w:rPr>
        <w:rFonts w:hint="default"/>
      </w:rPr>
    </w:lvl>
    <w:lvl w:ilvl="6">
      <w:start w:val="1"/>
      <w:numFmt w:val="none"/>
      <w:pStyle w:val="Heading7"/>
      <w:lvlText w:val=""/>
      <w:lvlJc w:val="left"/>
      <w:pPr>
        <w:ind w:left="2520" w:hanging="360"/>
      </w:pPr>
      <w:rPr>
        <w:rFonts w:hint="default"/>
      </w:rPr>
    </w:lvl>
    <w:lvl w:ilvl="7">
      <w:start w:val="1"/>
      <w:numFmt w:val="none"/>
      <w:pStyle w:val="Heading8"/>
      <w:lvlText w:val=""/>
      <w:lvlJc w:val="left"/>
      <w:pPr>
        <w:ind w:left="2880" w:hanging="360"/>
      </w:pPr>
      <w:rPr>
        <w:rFonts w:hint="default"/>
      </w:rPr>
    </w:lvl>
    <w:lvl w:ilvl="8">
      <w:start w:val="1"/>
      <w:numFmt w:val="none"/>
      <w:pStyle w:val="Heading9"/>
      <w:lvlText w:val=""/>
      <w:lvlJc w:val="left"/>
      <w:pPr>
        <w:ind w:left="3240" w:hanging="360"/>
      </w:pPr>
      <w:rPr>
        <w:rFonts w:hint="default"/>
      </w:rPr>
    </w:lvl>
  </w:abstractNum>
  <w:abstractNum w:abstractNumId="1">
    <w:nsid w:val="62D673F5"/>
    <w:multiLevelType w:val="multilevel"/>
    <w:tmpl w:val="A3F0DE74"/>
    <w:numStyleLink w:val="Headings"/>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Nucleic Acids Re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rt20vase9a095zevxvwpterq2t02v22e520p&quot;&gt;Behavior Genetics EndNote&lt;record-ids&gt;&lt;item&gt;3244&lt;/item&gt;&lt;item&gt;4231&lt;/item&gt;&lt;item&gt;4471&lt;/item&gt;&lt;item&gt;4846&lt;/item&gt;&lt;item&gt;4847&lt;/item&gt;&lt;item&gt;4850&lt;/item&gt;&lt;item&gt;5023&lt;/item&gt;&lt;item&gt;5393&lt;/item&gt;&lt;item&gt;5394&lt;/item&gt;&lt;item&gt;5681&lt;/item&gt;&lt;item&gt;6057&lt;/item&gt;&lt;item&gt;6456&lt;/item&gt;&lt;/record-ids&gt;&lt;/item&gt;&lt;/Libraries&gt;"/>
  </w:docVars>
  <w:rsids>
    <w:rsidRoot w:val="000227E1"/>
    <w:rsid w:val="000227E1"/>
    <w:rsid w:val="000B328D"/>
    <w:rsid w:val="001D2204"/>
    <w:rsid w:val="00345DA1"/>
    <w:rsid w:val="003F3091"/>
    <w:rsid w:val="004A697A"/>
    <w:rsid w:val="004D51A3"/>
    <w:rsid w:val="004E746D"/>
    <w:rsid w:val="005F5EE2"/>
    <w:rsid w:val="00737344"/>
    <w:rsid w:val="0073753D"/>
    <w:rsid w:val="00772337"/>
    <w:rsid w:val="007C5920"/>
    <w:rsid w:val="00845FC9"/>
    <w:rsid w:val="009A4F14"/>
    <w:rsid w:val="00A03DA2"/>
    <w:rsid w:val="00A76451"/>
    <w:rsid w:val="00AA0BB2"/>
    <w:rsid w:val="00AF7415"/>
    <w:rsid w:val="00B1199C"/>
    <w:rsid w:val="00B1718D"/>
    <w:rsid w:val="00B66CF2"/>
    <w:rsid w:val="00BA7146"/>
    <w:rsid w:val="00CC4826"/>
    <w:rsid w:val="00E237FD"/>
    <w:rsid w:val="00FD2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C7429D-384C-4FB0-9E0C-6328C2317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qFormat/>
    <w:rsid w:val="004A697A"/>
    <w:pPr>
      <w:keepNext/>
      <w:pageBreakBefore/>
      <w:numPr>
        <w:numId w:val="2"/>
      </w:numPr>
      <w:pBdr>
        <w:top w:val="single" w:sz="4" w:space="1" w:color="auto"/>
        <w:left w:val="single" w:sz="4" w:space="4" w:color="auto"/>
        <w:bottom w:val="single" w:sz="4" w:space="1" w:color="auto"/>
        <w:right w:val="single" w:sz="4" w:space="4" w:color="auto"/>
      </w:pBdr>
      <w:spacing w:before="240" w:after="60" w:line="240" w:lineRule="auto"/>
      <w:outlineLvl w:val="0"/>
    </w:pPr>
    <w:rPr>
      <w:rFonts w:ascii="Times New Roman" w:eastAsia="Times New Roman" w:hAnsi="Times New Roman" w:cs="Times New Roman"/>
      <w:b/>
      <w:bCs/>
      <w:kern w:val="32"/>
      <w:sz w:val="28"/>
      <w:szCs w:val="32"/>
    </w:rPr>
  </w:style>
  <w:style w:type="paragraph" w:styleId="Heading2">
    <w:name w:val="heading 2"/>
    <w:basedOn w:val="Heading1"/>
    <w:next w:val="Normal"/>
    <w:link w:val="Heading2Char"/>
    <w:uiPriority w:val="9"/>
    <w:unhideWhenUsed/>
    <w:qFormat/>
    <w:rsid w:val="004A697A"/>
    <w:pPr>
      <w:pageBreakBefore w:val="0"/>
      <w:numPr>
        <w:ilvl w:val="1"/>
      </w:numPr>
      <w:pBdr>
        <w:top w:val="none" w:sz="0" w:space="0" w:color="auto"/>
        <w:left w:val="none" w:sz="0" w:space="0" w:color="auto"/>
        <w:bottom w:val="none" w:sz="0" w:space="0" w:color="auto"/>
        <w:right w:val="none" w:sz="0" w:space="0" w:color="auto"/>
      </w:pBdr>
      <w:outlineLvl w:val="1"/>
    </w:pPr>
    <w:rPr>
      <w:bCs w:val="0"/>
      <w:iCs/>
      <w:sz w:val="24"/>
      <w:szCs w:val="28"/>
    </w:rPr>
  </w:style>
  <w:style w:type="paragraph" w:styleId="Heading3">
    <w:name w:val="heading 3"/>
    <w:basedOn w:val="Heading2"/>
    <w:next w:val="Normal"/>
    <w:link w:val="Heading3Char"/>
    <w:uiPriority w:val="9"/>
    <w:unhideWhenUsed/>
    <w:qFormat/>
    <w:rsid w:val="004A697A"/>
    <w:pPr>
      <w:numPr>
        <w:ilvl w:val="2"/>
      </w:numPr>
      <w:ind w:left="792"/>
      <w:outlineLvl w:val="2"/>
    </w:pPr>
    <w:rPr>
      <w:bCs/>
      <w:i/>
      <w:szCs w:val="26"/>
    </w:rPr>
  </w:style>
  <w:style w:type="paragraph" w:styleId="Heading4">
    <w:name w:val="heading 4"/>
    <w:basedOn w:val="Heading3"/>
    <w:next w:val="Normal"/>
    <w:link w:val="Heading4Char"/>
    <w:uiPriority w:val="9"/>
    <w:unhideWhenUsed/>
    <w:qFormat/>
    <w:rsid w:val="004A697A"/>
    <w:pPr>
      <w:numPr>
        <w:ilvl w:val="3"/>
      </w:numPr>
      <w:ind w:left="936"/>
      <w:outlineLvl w:val="3"/>
    </w:pPr>
    <w:rPr>
      <w:b w:val="0"/>
      <w:bCs w:val="0"/>
      <w:szCs w:val="28"/>
    </w:rPr>
  </w:style>
  <w:style w:type="paragraph" w:styleId="Heading5">
    <w:name w:val="heading 5"/>
    <w:basedOn w:val="Heading4"/>
    <w:next w:val="Normal"/>
    <w:link w:val="Heading5Char"/>
    <w:uiPriority w:val="9"/>
    <w:unhideWhenUsed/>
    <w:qFormat/>
    <w:rsid w:val="004A697A"/>
    <w:pPr>
      <w:numPr>
        <w:ilvl w:val="4"/>
      </w:numPr>
      <w:outlineLvl w:val="4"/>
    </w:pPr>
    <w:rPr>
      <w:rFonts w:ascii="Calibri" w:hAnsi="Calibri"/>
      <w:b/>
      <w:bCs/>
      <w:i w:val="0"/>
      <w:iCs w:val="0"/>
      <w:sz w:val="26"/>
      <w:szCs w:val="26"/>
    </w:rPr>
  </w:style>
  <w:style w:type="paragraph" w:styleId="Heading6">
    <w:name w:val="heading 6"/>
    <w:basedOn w:val="Heading5"/>
    <w:next w:val="Normal"/>
    <w:link w:val="Heading6Char"/>
    <w:uiPriority w:val="9"/>
    <w:semiHidden/>
    <w:unhideWhenUsed/>
    <w:qFormat/>
    <w:rsid w:val="004A697A"/>
    <w:pPr>
      <w:numPr>
        <w:ilvl w:val="5"/>
      </w:numPr>
      <w:outlineLvl w:val="5"/>
    </w:pPr>
    <w:rPr>
      <w:b w:val="0"/>
      <w:bCs w:val="0"/>
    </w:rPr>
  </w:style>
  <w:style w:type="paragraph" w:styleId="Heading7">
    <w:name w:val="heading 7"/>
    <w:basedOn w:val="Normal"/>
    <w:next w:val="Normal"/>
    <w:link w:val="Heading7Char"/>
    <w:uiPriority w:val="9"/>
    <w:semiHidden/>
    <w:unhideWhenUsed/>
    <w:qFormat/>
    <w:rsid w:val="004A697A"/>
    <w:pPr>
      <w:numPr>
        <w:ilvl w:val="6"/>
        <w:numId w:val="2"/>
      </w:numPr>
      <w:spacing w:before="240" w:after="60" w:line="240" w:lineRule="auto"/>
      <w:outlineLvl w:val="6"/>
    </w:pPr>
    <w:rPr>
      <w:rFonts w:ascii="Calibri" w:eastAsia="Times New Roman" w:hAnsi="Calibri" w:cs="Times New Roman"/>
      <w:color w:val="000000"/>
      <w:sz w:val="24"/>
      <w:szCs w:val="24"/>
    </w:rPr>
  </w:style>
  <w:style w:type="paragraph" w:styleId="Heading8">
    <w:name w:val="heading 8"/>
    <w:basedOn w:val="Normal"/>
    <w:next w:val="Normal"/>
    <w:link w:val="Heading8Char"/>
    <w:uiPriority w:val="9"/>
    <w:semiHidden/>
    <w:unhideWhenUsed/>
    <w:qFormat/>
    <w:rsid w:val="004A697A"/>
    <w:pPr>
      <w:numPr>
        <w:ilvl w:val="7"/>
        <w:numId w:val="2"/>
      </w:numPr>
      <w:spacing w:before="240" w:after="60" w:line="240" w:lineRule="auto"/>
      <w:outlineLvl w:val="7"/>
    </w:pPr>
    <w:rPr>
      <w:rFonts w:ascii="Calibri" w:eastAsia="Times New Roman" w:hAnsi="Calibri" w:cs="Times New Roman"/>
      <w:i/>
      <w:iCs/>
      <w:color w:val="000000"/>
      <w:sz w:val="24"/>
      <w:szCs w:val="24"/>
    </w:rPr>
  </w:style>
  <w:style w:type="paragraph" w:styleId="Heading9">
    <w:name w:val="heading 9"/>
    <w:basedOn w:val="Normal"/>
    <w:next w:val="Normal"/>
    <w:link w:val="Heading9Char"/>
    <w:uiPriority w:val="9"/>
    <w:semiHidden/>
    <w:unhideWhenUsed/>
    <w:qFormat/>
    <w:rsid w:val="004A697A"/>
    <w:pPr>
      <w:numPr>
        <w:ilvl w:val="8"/>
        <w:numId w:val="2"/>
      </w:numPr>
      <w:spacing w:before="240" w:after="60" w:line="240" w:lineRule="auto"/>
      <w:outlineLvl w:val="8"/>
    </w:pPr>
    <w:rPr>
      <w:rFonts w:ascii="Cambria" w:eastAsia="Times New Roman" w:hAnsi="Cambria"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97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4A697A"/>
    <w:rPr>
      <w:rFonts w:ascii="Times New Roman" w:eastAsia="Times New Roman" w:hAnsi="Times New Roman" w:cs="Times New Roman"/>
      <w:b/>
      <w:iCs/>
      <w:kern w:val="32"/>
      <w:sz w:val="24"/>
      <w:szCs w:val="28"/>
    </w:rPr>
  </w:style>
  <w:style w:type="character" w:customStyle="1" w:styleId="Heading3Char">
    <w:name w:val="Heading 3 Char"/>
    <w:basedOn w:val="DefaultParagraphFont"/>
    <w:link w:val="Heading3"/>
    <w:uiPriority w:val="9"/>
    <w:rsid w:val="004A697A"/>
    <w:rPr>
      <w:rFonts w:ascii="Times New Roman" w:eastAsia="Times New Roman" w:hAnsi="Times New Roman" w:cs="Times New Roman"/>
      <w:b/>
      <w:bCs/>
      <w:i/>
      <w:iCs/>
      <w:kern w:val="32"/>
      <w:sz w:val="24"/>
      <w:szCs w:val="26"/>
    </w:rPr>
  </w:style>
  <w:style w:type="character" w:customStyle="1" w:styleId="Heading4Char">
    <w:name w:val="Heading 4 Char"/>
    <w:basedOn w:val="DefaultParagraphFont"/>
    <w:link w:val="Heading4"/>
    <w:uiPriority w:val="9"/>
    <w:rsid w:val="004A697A"/>
    <w:rPr>
      <w:rFonts w:ascii="Times New Roman" w:eastAsia="Times New Roman" w:hAnsi="Times New Roman" w:cs="Times New Roman"/>
      <w:i/>
      <w:iCs/>
      <w:kern w:val="32"/>
      <w:sz w:val="24"/>
      <w:szCs w:val="28"/>
    </w:rPr>
  </w:style>
  <w:style w:type="character" w:customStyle="1" w:styleId="Heading5Char">
    <w:name w:val="Heading 5 Char"/>
    <w:basedOn w:val="DefaultParagraphFont"/>
    <w:link w:val="Heading5"/>
    <w:uiPriority w:val="9"/>
    <w:rsid w:val="004A697A"/>
    <w:rPr>
      <w:rFonts w:ascii="Calibri" w:eastAsia="Times New Roman" w:hAnsi="Calibri" w:cs="Times New Roman"/>
      <w:b/>
      <w:bCs/>
      <w:kern w:val="32"/>
      <w:sz w:val="26"/>
      <w:szCs w:val="26"/>
    </w:rPr>
  </w:style>
  <w:style w:type="character" w:customStyle="1" w:styleId="Heading6Char">
    <w:name w:val="Heading 6 Char"/>
    <w:basedOn w:val="DefaultParagraphFont"/>
    <w:link w:val="Heading6"/>
    <w:uiPriority w:val="9"/>
    <w:semiHidden/>
    <w:rsid w:val="004A697A"/>
    <w:rPr>
      <w:rFonts w:ascii="Calibri" w:eastAsia="Times New Roman" w:hAnsi="Calibri" w:cs="Times New Roman"/>
      <w:kern w:val="32"/>
      <w:sz w:val="26"/>
      <w:szCs w:val="26"/>
    </w:rPr>
  </w:style>
  <w:style w:type="character" w:customStyle="1" w:styleId="Heading7Char">
    <w:name w:val="Heading 7 Char"/>
    <w:basedOn w:val="DefaultParagraphFont"/>
    <w:link w:val="Heading7"/>
    <w:uiPriority w:val="9"/>
    <w:semiHidden/>
    <w:rsid w:val="004A697A"/>
    <w:rPr>
      <w:rFonts w:ascii="Calibri" w:eastAsia="Times New Roman" w:hAnsi="Calibri" w:cs="Times New Roman"/>
      <w:color w:val="000000"/>
      <w:sz w:val="24"/>
      <w:szCs w:val="24"/>
    </w:rPr>
  </w:style>
  <w:style w:type="character" w:customStyle="1" w:styleId="Heading8Char">
    <w:name w:val="Heading 8 Char"/>
    <w:basedOn w:val="DefaultParagraphFont"/>
    <w:link w:val="Heading8"/>
    <w:uiPriority w:val="9"/>
    <w:semiHidden/>
    <w:rsid w:val="004A697A"/>
    <w:rPr>
      <w:rFonts w:ascii="Calibri" w:eastAsia="Times New Roman" w:hAnsi="Calibri" w:cs="Times New Roman"/>
      <w:i/>
      <w:iCs/>
      <w:color w:val="000000"/>
      <w:sz w:val="24"/>
      <w:szCs w:val="24"/>
    </w:rPr>
  </w:style>
  <w:style w:type="character" w:customStyle="1" w:styleId="Heading9Char">
    <w:name w:val="Heading 9 Char"/>
    <w:basedOn w:val="DefaultParagraphFont"/>
    <w:link w:val="Heading9"/>
    <w:uiPriority w:val="9"/>
    <w:semiHidden/>
    <w:rsid w:val="004A697A"/>
    <w:rPr>
      <w:rFonts w:ascii="Cambria" w:eastAsia="Times New Roman" w:hAnsi="Cambria" w:cs="Times New Roman"/>
      <w:color w:val="000000"/>
      <w:sz w:val="24"/>
    </w:rPr>
  </w:style>
  <w:style w:type="numbering" w:customStyle="1" w:styleId="Headings">
    <w:name w:val="Headings"/>
    <w:uiPriority w:val="99"/>
    <w:rsid w:val="004A697A"/>
    <w:pPr>
      <w:numPr>
        <w:numId w:val="1"/>
      </w:numPr>
    </w:pPr>
  </w:style>
  <w:style w:type="character" w:styleId="Hyperlink">
    <w:name w:val="Hyperlink"/>
    <w:uiPriority w:val="99"/>
    <w:unhideWhenUsed/>
    <w:rsid w:val="004A697A"/>
    <w:rPr>
      <w:color w:val="0000FF"/>
      <w:u w:val="single"/>
    </w:rPr>
  </w:style>
  <w:style w:type="paragraph" w:customStyle="1" w:styleId="Equations">
    <w:name w:val="Equations"/>
    <w:basedOn w:val="Normal"/>
    <w:link w:val="EquationsChar"/>
    <w:qFormat/>
    <w:rsid w:val="004A697A"/>
    <w:pPr>
      <w:spacing w:before="240" w:after="240" w:line="240" w:lineRule="auto"/>
      <w:ind w:left="432"/>
    </w:pPr>
    <w:rPr>
      <w:rFonts w:ascii="Calibri" w:eastAsia="Calibri" w:hAnsi="Calibri" w:cs="Calibri"/>
      <w:i/>
      <w:color w:val="000000"/>
    </w:rPr>
  </w:style>
  <w:style w:type="character" w:customStyle="1" w:styleId="EquationsChar">
    <w:name w:val="Equations Char"/>
    <w:link w:val="Equations"/>
    <w:rsid w:val="004A697A"/>
    <w:rPr>
      <w:rFonts w:ascii="Calibri" w:eastAsia="Calibri" w:hAnsi="Calibri" w:cs="Calibri"/>
      <w:i/>
      <w:color w:val="000000"/>
    </w:rPr>
  </w:style>
  <w:style w:type="paragraph" w:styleId="BalloonText">
    <w:name w:val="Balloon Text"/>
    <w:basedOn w:val="Normal"/>
    <w:link w:val="BalloonTextChar"/>
    <w:uiPriority w:val="99"/>
    <w:semiHidden/>
    <w:unhideWhenUsed/>
    <w:rsid w:val="00AA0B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0B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hyperlink" Target="http://openwetware.org/wiki/Prbbbb:dna_measurement_on_plate_v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6</Pages>
  <Words>5215</Words>
  <Characters>29728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Eisenberg</dc:creator>
  <cp:keywords/>
  <dc:description/>
  <cp:lastModifiedBy>Dan Eisenberg</cp:lastModifiedBy>
  <cp:revision>6</cp:revision>
  <cp:lastPrinted>2014-08-25T19:52:00Z</cp:lastPrinted>
  <dcterms:created xsi:type="dcterms:W3CDTF">2014-06-21T18:27:00Z</dcterms:created>
  <dcterms:modified xsi:type="dcterms:W3CDTF">2014-12-09T17:53:00Z</dcterms:modified>
</cp:coreProperties>
</file>