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B50CE7" w14:textId="74E19346" w:rsidR="0002795B" w:rsidRPr="0002795B" w:rsidRDefault="0002795B" w:rsidP="0002795B">
      <w:pPr>
        <w:jc w:val="center"/>
      </w:pPr>
      <w:r w:rsidRPr="0002795B">
        <w:t>This is a pre-copyedited, autho</w:t>
      </w:r>
      <w:r>
        <w:t>r-produced version of a commentary</w:t>
      </w:r>
      <w:r w:rsidRPr="0002795B">
        <w:t xml:space="preserve"> accepted for publication in </w:t>
      </w:r>
      <w:r>
        <w:t>Social Work</w:t>
      </w:r>
      <w:r w:rsidRPr="0002795B">
        <w:t xml:space="preserve"> following peer review. The version of record Dotolo D, Petros R, Berridge C. A Hard Pill to Swallow: Ethical Problems of Digital Medication. Social Work. 2018 Oct 1;63(4):370-372. doi: 10.1093/s</w:t>
      </w:r>
      <w:r>
        <w:t>w/swy038. PubMed PMID: 30137573</w:t>
      </w:r>
    </w:p>
    <w:p w14:paraId="6ABFA25C" w14:textId="5A583E66" w:rsidR="0002795B" w:rsidRPr="0002795B" w:rsidRDefault="0002795B" w:rsidP="0002795B">
      <w:pPr>
        <w:jc w:val="center"/>
        <w:rPr>
          <w:highlight w:val="yellow"/>
        </w:rPr>
      </w:pPr>
      <w:r w:rsidRPr="0002795B">
        <w:t xml:space="preserve">is available online at: </w:t>
      </w:r>
      <w:hyperlink r:id="rId8" w:history="1">
        <w:r w:rsidRPr="0002795B">
          <w:rPr>
            <w:rStyle w:val="Hyperlink"/>
          </w:rPr>
          <w:t>https://academic.oup.com/sw/article-abstract/63/4/370/5077506</w:t>
        </w:r>
      </w:hyperlink>
      <w:r w:rsidRPr="0002795B">
        <w:t xml:space="preserve">, </w:t>
      </w:r>
    </w:p>
    <w:p w14:paraId="1269DB2A" w14:textId="77777777" w:rsidR="001E0227" w:rsidRDefault="001E0227" w:rsidP="001E0227">
      <w:pPr>
        <w:pStyle w:val="NoSpacing"/>
        <w:spacing w:line="480" w:lineRule="auto"/>
        <w:rPr>
          <w:b/>
        </w:rPr>
      </w:pPr>
    </w:p>
    <w:p w14:paraId="2A4A4A7D" w14:textId="77777777" w:rsidR="00930F11" w:rsidRDefault="00930F11" w:rsidP="00930F11">
      <w:pPr>
        <w:pStyle w:val="NoSpacing"/>
        <w:spacing w:line="480" w:lineRule="auto"/>
        <w:jc w:val="center"/>
      </w:pPr>
    </w:p>
    <w:p w14:paraId="49AD54D5" w14:textId="117A8342" w:rsidR="001E0227" w:rsidRPr="00734A06" w:rsidRDefault="0002795B" w:rsidP="00734A06">
      <w:pPr>
        <w:pStyle w:val="NoSpacing"/>
        <w:spacing w:line="480" w:lineRule="auto"/>
        <w:jc w:val="center"/>
      </w:pPr>
      <w:r w:rsidRPr="0002795B">
        <w:t>Danae Dotolo, Ryan Petros, Clara Berridge</w:t>
      </w:r>
      <w:bookmarkStart w:id="0" w:name="_GoBack"/>
      <w:bookmarkEnd w:id="0"/>
    </w:p>
    <w:p w14:paraId="41485DA3" w14:textId="38B117E0" w:rsidR="007E2B9C" w:rsidRDefault="009D3FE3" w:rsidP="007E2B9C">
      <w:pPr>
        <w:pStyle w:val="NoSpacing"/>
        <w:spacing w:line="480" w:lineRule="auto"/>
        <w:rPr>
          <w:b/>
        </w:rPr>
      </w:pPr>
      <w:r>
        <w:rPr>
          <w:b/>
        </w:rPr>
        <w:t>A Hard Pill to Swallow</w:t>
      </w:r>
      <w:r w:rsidR="00E84753">
        <w:rPr>
          <w:b/>
        </w:rPr>
        <w:t xml:space="preserve">: </w:t>
      </w:r>
      <w:r w:rsidR="007E2B9C" w:rsidRPr="007E2B9C">
        <w:rPr>
          <w:b/>
        </w:rPr>
        <w:t xml:space="preserve">Ethical </w:t>
      </w:r>
      <w:r w:rsidR="00AC7D67">
        <w:rPr>
          <w:b/>
        </w:rPr>
        <w:t>Problems</w:t>
      </w:r>
      <w:r w:rsidR="00AC7D67" w:rsidRPr="007E2B9C">
        <w:rPr>
          <w:b/>
        </w:rPr>
        <w:t xml:space="preserve"> </w:t>
      </w:r>
      <w:r>
        <w:rPr>
          <w:b/>
        </w:rPr>
        <w:t>of Digital Medication</w:t>
      </w:r>
    </w:p>
    <w:p w14:paraId="31219B74" w14:textId="0DF83637" w:rsidR="008538E2" w:rsidRPr="003E4A17" w:rsidRDefault="00F503A3" w:rsidP="0067619F">
      <w:pPr>
        <w:pStyle w:val="NoSpacing"/>
        <w:spacing w:line="480" w:lineRule="auto"/>
        <w:ind w:firstLine="720"/>
      </w:pPr>
      <w:r>
        <w:t>Late last year</w:t>
      </w:r>
      <w:r w:rsidR="003E4A17" w:rsidRPr="003E4A17">
        <w:t xml:space="preserve"> news broke that the U.S. Food and Drug Administration (FDA) approved the inaugural digital medication, Abilify MyCite (AMC). AMC u</w:t>
      </w:r>
      <w:r w:rsidR="0018224B">
        <w:t>ses</w:t>
      </w:r>
      <w:r w:rsidR="003E4A17" w:rsidRPr="003E4A17">
        <w:t xml:space="preserve"> digital technology embedded in the medication to track ingestion with the purported goal of increasing adherence. </w:t>
      </w:r>
      <w:r w:rsidR="00AE6B46">
        <w:t xml:space="preserve">As members of the field with diverse </w:t>
      </w:r>
      <w:r w:rsidR="00084991">
        <w:t xml:space="preserve">research and clinical </w:t>
      </w:r>
      <w:r w:rsidR="00AE6B46">
        <w:t>interests,</w:t>
      </w:r>
      <w:r w:rsidR="008538E2">
        <w:t xml:space="preserve"> </w:t>
      </w:r>
      <w:r w:rsidR="00361171">
        <w:t xml:space="preserve">we </w:t>
      </w:r>
      <w:r w:rsidR="008538E2">
        <w:t xml:space="preserve">were compelled to explicate ethical concerns regarding digital medication. </w:t>
      </w:r>
      <w:r w:rsidR="00E16FA8">
        <w:t xml:space="preserve">Our </w:t>
      </w:r>
      <w:r w:rsidR="008538E2">
        <w:t>areas of scholarship</w:t>
      </w:r>
      <w:r w:rsidR="00E16FA8">
        <w:t xml:space="preserve"> </w:t>
      </w:r>
      <w:r w:rsidR="008538E2">
        <w:t>are uniquely relevant to this topic</w:t>
      </w:r>
      <w:r w:rsidR="00DA63CD">
        <w:t xml:space="preserve"> – c</w:t>
      </w:r>
      <w:r w:rsidR="008538E2">
        <w:t xml:space="preserve">ollectively, social work practice, bioethics, gerontology, disability studies, health care technologies, and mental health interventions. </w:t>
      </w:r>
      <w:r w:rsidR="003E4A17" w:rsidRPr="003E4A17">
        <w:t xml:space="preserve">We argue that the introduction of AMC is ethically problematic and requires critical reflection </w:t>
      </w:r>
      <w:r w:rsidR="00F61B06">
        <w:t xml:space="preserve">by social workers, and the field </w:t>
      </w:r>
      <w:r w:rsidR="00DA63CD">
        <w:t>as a</w:t>
      </w:r>
      <w:r w:rsidR="00F61B06">
        <w:t xml:space="preserve"> whole</w:t>
      </w:r>
      <w:r w:rsidR="003E4A17" w:rsidRPr="003E4A17">
        <w:t xml:space="preserve">. </w:t>
      </w:r>
      <w:r w:rsidR="00361171">
        <w:t xml:space="preserve">We </w:t>
      </w:r>
      <w:r w:rsidR="003E4A17" w:rsidRPr="003E4A17">
        <w:t xml:space="preserve">encourage social workers’ active participation in decision-making related to adoption and implementation of such treatments. </w:t>
      </w:r>
    </w:p>
    <w:p w14:paraId="5E98E008" w14:textId="46239BBB" w:rsidR="005C2116" w:rsidRPr="003E4A17" w:rsidRDefault="00044510" w:rsidP="00EB668B">
      <w:pPr>
        <w:pStyle w:val="NoSpacing"/>
        <w:spacing w:line="480" w:lineRule="auto"/>
        <w:rPr>
          <w:b/>
        </w:rPr>
      </w:pPr>
      <w:r w:rsidRPr="003E4A17">
        <w:rPr>
          <w:b/>
        </w:rPr>
        <w:t>Digital Medication</w:t>
      </w:r>
    </w:p>
    <w:p w14:paraId="392B80FA" w14:textId="55AF97ED" w:rsidR="007A668D" w:rsidRDefault="00044510">
      <w:pPr>
        <w:pStyle w:val="NoSpacing"/>
        <w:spacing w:line="480" w:lineRule="auto"/>
        <w:ind w:firstLine="720"/>
      </w:pPr>
      <w:r>
        <w:t>AMC,</w:t>
      </w:r>
      <w:r w:rsidR="006234F7">
        <w:t xml:space="preserve"> a</w:t>
      </w:r>
      <w:r w:rsidR="00581084">
        <w:t xml:space="preserve"> “</w:t>
      </w:r>
      <w:r w:rsidR="00581084" w:rsidRPr="001334BE">
        <w:t>drug-device combination product</w:t>
      </w:r>
      <w:r w:rsidR="006234F7">
        <w:t>,</w:t>
      </w:r>
      <w:r w:rsidR="00581084">
        <w:t>”</w:t>
      </w:r>
      <w:r w:rsidR="00581084" w:rsidRPr="001334BE">
        <w:t> </w:t>
      </w:r>
      <w:r w:rsidR="00581084">
        <w:t xml:space="preserve">is </w:t>
      </w:r>
      <w:r w:rsidR="003B2750">
        <w:t>simpler</w:t>
      </w:r>
      <w:r w:rsidR="00581084">
        <w:t xml:space="preserve"> in concept than it may sound: it is an ingestible sensor the size of a grain of sand </w:t>
      </w:r>
      <w:r w:rsidR="00581084" w:rsidRPr="002B7CA6">
        <w:t xml:space="preserve">that is embedded within a pill </w:t>
      </w:r>
      <w:r w:rsidR="00581084">
        <w:t>at the point of manufacturing</w:t>
      </w:r>
      <w:r w:rsidR="00581084" w:rsidRPr="002B7CA6">
        <w:t>.</w:t>
      </w:r>
      <w:r w:rsidR="00581084" w:rsidRPr="00FC7AED">
        <w:t xml:space="preserve"> </w:t>
      </w:r>
      <w:r w:rsidR="00581084">
        <w:t xml:space="preserve">When the sensor reaches the stomach, it sends a signal to a patch worn on </w:t>
      </w:r>
      <w:r w:rsidR="003B2750">
        <w:t xml:space="preserve">the </w:t>
      </w:r>
      <w:r w:rsidR="00E07C5F">
        <w:t>patient’s</w:t>
      </w:r>
      <w:r w:rsidR="00581084">
        <w:t xml:space="preserve"> body</w:t>
      </w:r>
      <w:r w:rsidR="004D35AE">
        <w:t xml:space="preserve">, recording information such as time of ingestion, </w:t>
      </w:r>
      <w:r w:rsidR="00581084">
        <w:t>rest, body angle</w:t>
      </w:r>
      <w:r w:rsidR="004D35AE">
        <w:t>,</w:t>
      </w:r>
      <w:r w:rsidR="00581084">
        <w:t xml:space="preserve"> and activity patterns</w:t>
      </w:r>
      <w:r w:rsidR="004D35AE">
        <w:t>. The</w:t>
      </w:r>
      <w:r w:rsidR="00581084">
        <w:t xml:space="preserve"> information is transmitted via Bluetooth to patients, physicians, or caregivers.</w:t>
      </w:r>
      <w:r w:rsidR="00581084" w:rsidRPr="002B7CA6">
        <w:t xml:space="preserve"> In </w:t>
      </w:r>
      <w:r w:rsidR="00581084">
        <w:t xml:space="preserve">this first FDA-approved product, </w:t>
      </w:r>
      <w:r w:rsidR="00581084" w:rsidRPr="002B7CA6">
        <w:t>Proteus Digital Health’s ingestible sensor is e</w:t>
      </w:r>
      <w:r w:rsidR="00581084">
        <w:t>mbedded in</w:t>
      </w:r>
      <w:r w:rsidR="00581084" w:rsidRPr="002B7CA6">
        <w:t xml:space="preserve"> </w:t>
      </w:r>
      <w:r w:rsidR="00581084" w:rsidRPr="002B7CA6">
        <w:lastRenderedPageBreak/>
        <w:t>Abilify, an antipsychotic</w:t>
      </w:r>
      <w:r w:rsidR="00581084">
        <w:t xml:space="preserve"> </w:t>
      </w:r>
      <w:r w:rsidR="00581084" w:rsidRPr="002B7CA6">
        <w:t xml:space="preserve">medication. </w:t>
      </w:r>
      <w:r w:rsidR="00581084">
        <w:t xml:space="preserve">Starting this year, </w:t>
      </w:r>
      <w:r w:rsidR="00361171">
        <w:t>AMC</w:t>
      </w:r>
      <w:r w:rsidR="00581084" w:rsidRPr="002B7CA6">
        <w:t xml:space="preserve"> </w:t>
      </w:r>
      <w:r w:rsidR="00581084">
        <w:t xml:space="preserve">will be rolled out </w:t>
      </w:r>
      <w:r w:rsidR="00F87C1A">
        <w:t xml:space="preserve">to </w:t>
      </w:r>
      <w:r w:rsidR="00581084">
        <w:t>limited health plans and providers and</w:t>
      </w:r>
      <w:r w:rsidR="00672C76">
        <w:t xml:space="preserve"> will be</w:t>
      </w:r>
      <w:r w:rsidR="00581084" w:rsidRPr="002B7CA6">
        <w:t xml:space="preserve"> indicated in adults for the treatment of schizophrenia, bipolar I disorder, </w:t>
      </w:r>
      <w:r w:rsidR="00672C76">
        <w:t>and</w:t>
      </w:r>
      <w:r w:rsidR="00581084" w:rsidRPr="002B7CA6">
        <w:t xml:space="preserve"> major depressive disorder</w:t>
      </w:r>
      <w:r w:rsidR="007A668D">
        <w:t xml:space="preserve"> (Proteus Digital Health, 2017).</w:t>
      </w:r>
    </w:p>
    <w:p w14:paraId="30644541" w14:textId="6D10BA41" w:rsidR="00581084" w:rsidRDefault="00581084" w:rsidP="003B2750">
      <w:pPr>
        <w:spacing w:line="480" w:lineRule="auto"/>
        <w:contextualSpacing/>
      </w:pPr>
      <w:r>
        <w:tab/>
        <w:t xml:space="preserve">The appeal of digital medication is </w:t>
      </w:r>
      <w:r w:rsidR="003B4FA5">
        <w:t>the</w:t>
      </w:r>
      <w:r>
        <w:t xml:space="preserve"> </w:t>
      </w:r>
      <w:r w:rsidR="00F87C1A">
        <w:t xml:space="preserve">potential </w:t>
      </w:r>
      <w:r>
        <w:t xml:space="preserve">power to track and </w:t>
      </w:r>
      <w:r w:rsidR="002F2788">
        <w:t xml:space="preserve">encourage </w:t>
      </w:r>
      <w:r>
        <w:t xml:space="preserve">medication adherence. Nonadherence to medication regimens is common (Brown &amp; Bussell, 2011) and can significantly affect patient outcomes. </w:t>
      </w:r>
      <w:r w:rsidR="00872C2F">
        <w:t xml:space="preserve">Patients with a range of conditions frequently report unintentional nonadherence </w:t>
      </w:r>
      <w:r w:rsidR="00872C2F" w:rsidRPr="007748DE">
        <w:t>(Gadkari &amp; McHorney, 2012)</w:t>
      </w:r>
      <w:r w:rsidR="00872C2F">
        <w:t>, and p</w:t>
      </w:r>
      <w:r w:rsidR="00803823">
        <w:t xml:space="preserve">hysicians and mental health providers </w:t>
      </w:r>
      <w:r w:rsidR="00872C2F">
        <w:t>struggle to address the problem</w:t>
      </w:r>
      <w:r w:rsidR="003B2750">
        <w:t xml:space="preserve"> </w:t>
      </w:r>
      <w:r>
        <w:t xml:space="preserve">(Brown &amp; Bussell, 2011). </w:t>
      </w:r>
      <w:r w:rsidR="00872C2F" w:rsidRPr="007748DE">
        <w:t>F</w:t>
      </w:r>
      <w:r w:rsidR="00507535">
        <w:t>urther, f</w:t>
      </w:r>
      <w:r w:rsidR="00872C2F" w:rsidRPr="007748DE">
        <w:t>ailed treatment is costly for individuals and health care systems (Ro</w:t>
      </w:r>
      <w:r w:rsidR="00ED1021">
        <w:t>d</w:t>
      </w:r>
      <w:r w:rsidR="00872C2F" w:rsidRPr="007748DE">
        <w:t>gers et al., 2017)</w:t>
      </w:r>
      <w:r w:rsidR="00872C2F">
        <w:t>, and th</w:t>
      </w:r>
      <w:r w:rsidRPr="007748DE">
        <w:t xml:space="preserve">ere is hope that digital pills that convey adherence data </w:t>
      </w:r>
      <w:r w:rsidR="00E55CFE">
        <w:t>will</w:t>
      </w:r>
      <w:r w:rsidRPr="007748DE">
        <w:t xml:space="preserve"> </w:t>
      </w:r>
      <w:r w:rsidR="002F2788">
        <w:t>enhance</w:t>
      </w:r>
      <w:r w:rsidR="002F2788" w:rsidRPr="007748DE">
        <w:t xml:space="preserve"> </w:t>
      </w:r>
      <w:r w:rsidR="00E55CFE">
        <w:t>patient</w:t>
      </w:r>
      <w:r w:rsidR="002F2788">
        <w:t xml:space="preserve"> awareness and increase </w:t>
      </w:r>
      <w:r w:rsidRPr="007748DE">
        <w:t xml:space="preserve">adherence capacity. </w:t>
      </w:r>
    </w:p>
    <w:p w14:paraId="208CA419" w14:textId="6FEFB1E4" w:rsidR="00581084" w:rsidRDefault="00061B62" w:rsidP="003B2750">
      <w:pPr>
        <w:pStyle w:val="NoSpacing"/>
        <w:spacing w:line="480" w:lineRule="auto"/>
        <w:ind w:firstLine="720"/>
      </w:pPr>
      <w:r>
        <w:t xml:space="preserve">The following vignette </w:t>
      </w:r>
      <w:r w:rsidR="001F0343">
        <w:t xml:space="preserve">offers </w:t>
      </w:r>
      <w:r w:rsidR="00507535">
        <w:t xml:space="preserve">context for </w:t>
      </w:r>
      <w:r w:rsidR="00F87C1A">
        <w:t xml:space="preserve">the </w:t>
      </w:r>
      <w:r w:rsidR="001F0343">
        <w:t xml:space="preserve">pragmatic </w:t>
      </w:r>
      <w:r w:rsidR="00F87C1A">
        <w:t>appeal of</w:t>
      </w:r>
      <w:r w:rsidR="001F0343">
        <w:t xml:space="preserve"> </w:t>
      </w:r>
      <w:r w:rsidR="001319BA">
        <w:t>AMC</w:t>
      </w:r>
      <w:r w:rsidR="009C4718">
        <w:t>,</w:t>
      </w:r>
      <w:r w:rsidR="0027690E">
        <w:t xml:space="preserve"> </w:t>
      </w:r>
      <w:r w:rsidR="001F0343">
        <w:t>setting aside</w:t>
      </w:r>
      <w:r w:rsidR="0027690E">
        <w:t xml:space="preserve"> underlying ethical concerns</w:t>
      </w:r>
      <w:r w:rsidR="00507535">
        <w:t xml:space="preserve"> to be discussed below</w:t>
      </w:r>
      <w:r w:rsidR="0027690E">
        <w:t xml:space="preserve">. </w:t>
      </w:r>
      <w:r w:rsidR="00581084">
        <w:t>Imagine a 65-year-old woman named Ida who presents in a primary care office with her daughter. Ida lives alone and has a diagnosis of bipolar disorder with no significant relapse for the past three years. During the past two months, she has experienced disturbed sleep, decreased appetite, irritability, and general forgetfulness. Her daughter reports that Ida has not been returning phone calls, had two recent overdraft fees on her bank account, and her apartment is progressively untidy. Ida agreed to the appointment to pacify her daughter, who is worried Ida is not taking Abilify as prescribed and may be experiencing mania or early stages of dementia.</w:t>
      </w:r>
    </w:p>
    <w:p w14:paraId="4E801EAF" w14:textId="3C8D8117" w:rsidR="00581084" w:rsidRDefault="00581084" w:rsidP="003B2750">
      <w:pPr>
        <w:pStyle w:val="NoSpacing"/>
        <w:spacing w:line="480" w:lineRule="auto"/>
      </w:pPr>
      <w:r>
        <w:tab/>
        <w:t xml:space="preserve">The doctor may see Ida as a prime candidate for </w:t>
      </w:r>
      <w:r w:rsidR="00FF3497">
        <w:t>AMC</w:t>
      </w:r>
      <w:r w:rsidR="00695560">
        <w:t>.</w:t>
      </w:r>
      <w:r>
        <w:t xml:space="preserve"> Given doubts about Ida’s memory and </w:t>
      </w:r>
      <w:r w:rsidR="00A43B1F">
        <w:t>self-report</w:t>
      </w:r>
      <w:r>
        <w:t xml:space="preserve">, both daughter and doctor may prefer objective information about medication adherence. Moreover, it can be difficult to interpret whether Ida’s symptoms are related to </w:t>
      </w:r>
      <w:r>
        <w:lastRenderedPageBreak/>
        <w:t xml:space="preserve">preexisting mental illness or </w:t>
      </w:r>
      <w:r w:rsidR="007B563A">
        <w:t xml:space="preserve">new </w:t>
      </w:r>
      <w:r>
        <w:t xml:space="preserve">neurological changes. </w:t>
      </w:r>
      <w:r w:rsidR="002C2ECE">
        <w:t>Data</w:t>
      </w:r>
      <w:r>
        <w:t xml:space="preserve"> about medication adherence provides diagnostic information, early warning about risk for a manic episode, and may indicate how well Ida is managing independent living. Such information may help to mobilize resources quickly to prevent further decompensation and manage risks to Ida’s health and safety.</w:t>
      </w:r>
    </w:p>
    <w:p w14:paraId="01B611C3" w14:textId="648B6CA6" w:rsidR="00471A2A" w:rsidRPr="00471A2A" w:rsidRDefault="006E51BF" w:rsidP="00471A2A">
      <w:pPr>
        <w:pStyle w:val="NoSpacing"/>
        <w:spacing w:line="480" w:lineRule="auto"/>
        <w:rPr>
          <w:b/>
        </w:rPr>
      </w:pPr>
      <w:r>
        <w:rPr>
          <w:b/>
        </w:rPr>
        <w:t>Supporting</w:t>
      </w:r>
      <w:r w:rsidR="00C41EA4">
        <w:rPr>
          <w:b/>
        </w:rPr>
        <w:t xml:space="preserve"> Self-</w:t>
      </w:r>
      <w:r w:rsidR="00471A2A" w:rsidRPr="00471A2A">
        <w:rPr>
          <w:b/>
        </w:rPr>
        <w:t>Determination</w:t>
      </w:r>
    </w:p>
    <w:p w14:paraId="40D412B9" w14:textId="3CA11895" w:rsidR="00471A2A" w:rsidRPr="00471A2A" w:rsidRDefault="00471A2A" w:rsidP="00C41EA4">
      <w:pPr>
        <w:pStyle w:val="NoSpacing"/>
        <w:spacing w:line="480" w:lineRule="auto"/>
        <w:ind w:firstLine="720"/>
      </w:pPr>
      <w:r w:rsidRPr="00471A2A">
        <w:t xml:space="preserve">However enticing it may be to embrace digital medication, </w:t>
      </w:r>
      <w:r w:rsidR="00D24CDE">
        <w:t xml:space="preserve">it fundamentally conflicts with </w:t>
      </w:r>
      <w:r w:rsidRPr="00471A2A">
        <w:t xml:space="preserve">social work values. At its core, AMC is a form of surveillance and may be experienced as intrusive, coercive, or an invasion of privacy by people who experience mental illness </w:t>
      </w:r>
      <w:r w:rsidR="009B2C77">
        <w:t xml:space="preserve">or are </w:t>
      </w:r>
      <w:r w:rsidR="003050A9">
        <w:t>neurodivergent</w:t>
      </w:r>
      <w:r w:rsidRPr="00471A2A">
        <w:t xml:space="preserve">. There are many reasons people may be mindfully nonadherent to prescribed medication regimens, such as </w:t>
      </w:r>
      <w:r w:rsidR="00585A65">
        <w:t xml:space="preserve">wishes to avoid </w:t>
      </w:r>
      <w:r w:rsidRPr="00471A2A">
        <w:t>undesirable side effects</w:t>
      </w:r>
      <w:r w:rsidR="009E2038">
        <w:t xml:space="preserve"> (Neumeier, 2017)</w:t>
      </w:r>
      <w:r w:rsidRPr="00471A2A">
        <w:t xml:space="preserve">, burdensome medication costs, </w:t>
      </w:r>
      <w:r w:rsidR="00585A65">
        <w:t xml:space="preserve">a </w:t>
      </w:r>
      <w:r w:rsidRPr="00471A2A">
        <w:t xml:space="preserve">lack of trust in providers’ advice, and treatment goals </w:t>
      </w:r>
      <w:r w:rsidR="002F7F74">
        <w:t>that</w:t>
      </w:r>
      <w:r w:rsidRPr="00471A2A">
        <w:t xml:space="preserve"> may </w:t>
      </w:r>
      <w:r w:rsidR="00585A65">
        <w:t>conflict with providers</w:t>
      </w:r>
      <w:r w:rsidR="00865D56">
        <w:t>’</w:t>
      </w:r>
      <w:r w:rsidR="00A363BA">
        <w:t xml:space="preserve"> – including </w:t>
      </w:r>
      <w:r w:rsidRPr="00471A2A">
        <w:t xml:space="preserve">attempts to decrease medication use. Absent strict legal orders, people have the right to manage their medications without oversight or covert pressure. Digital medication may subvert the autonomy of people to make choices about medication regimens and inhibit privacy about mindful nonadherence. Social workers are ethically bound to support individual self-determination (NASW, 2017), and we argue </w:t>
      </w:r>
      <w:r w:rsidR="009207B5">
        <w:t xml:space="preserve">that </w:t>
      </w:r>
      <w:r w:rsidRPr="00471A2A">
        <w:t>this includes</w:t>
      </w:r>
      <w:r w:rsidR="00865D56">
        <w:t xml:space="preserve"> support for</w:t>
      </w:r>
      <w:r w:rsidRPr="00471A2A">
        <w:t xml:space="preserve"> “the dignity of risk and the right to failure” (Deegan, 1992, p. 7)</w:t>
      </w:r>
      <w:r w:rsidR="00E24E56">
        <w:t xml:space="preserve"> that accompanies </w:t>
      </w:r>
      <w:r w:rsidR="00FA05CC">
        <w:t>difficult</w:t>
      </w:r>
      <w:r w:rsidR="00E24E56">
        <w:t xml:space="preserve"> decisions about medications</w:t>
      </w:r>
      <w:r w:rsidRPr="00471A2A">
        <w:t xml:space="preserve">. Thus, </w:t>
      </w:r>
      <w:r w:rsidR="00A56A5C">
        <w:t>supporting self-determination</w:t>
      </w:r>
      <w:r w:rsidRPr="00471A2A">
        <w:t xml:space="preserve"> to make medical choices is consistent with the ethical obligations of social work. </w:t>
      </w:r>
    </w:p>
    <w:p w14:paraId="22DF157C" w14:textId="0B38EA51" w:rsidR="00471A2A" w:rsidRPr="00471A2A" w:rsidRDefault="00471A2A" w:rsidP="009A685B">
      <w:pPr>
        <w:pStyle w:val="NoSpacing"/>
        <w:spacing w:line="480" w:lineRule="auto"/>
        <w:ind w:firstLine="720"/>
      </w:pPr>
      <w:r w:rsidRPr="00471A2A">
        <w:t>When the technology embedded in AMC is introduced to client</w:t>
      </w:r>
      <w:r w:rsidR="00F75422">
        <w:t>s</w:t>
      </w:r>
      <w:r w:rsidRPr="00471A2A">
        <w:t xml:space="preserve"> </w:t>
      </w:r>
      <w:r w:rsidR="00543271">
        <w:t xml:space="preserve">and families </w:t>
      </w:r>
      <w:r w:rsidRPr="00471A2A">
        <w:t xml:space="preserve">by prescribers, its use is normalized, if not tacitly endorsed. While formal policy may require informed consent for AMC prescription use, social workers understand that freely-given consent in practice is often complicated by </w:t>
      </w:r>
      <w:r w:rsidR="00D202C3">
        <w:t xml:space="preserve">difficulty understanding </w:t>
      </w:r>
      <w:r w:rsidR="00CC52DB">
        <w:t xml:space="preserve">consent forms and processes </w:t>
      </w:r>
      <w:r w:rsidR="00CC52DB">
        <w:lastRenderedPageBreak/>
        <w:t>(</w:t>
      </w:r>
      <w:r w:rsidR="00D8339E">
        <w:t>Schenker, Fernandez, Sudore, &amp;</w:t>
      </w:r>
      <w:r w:rsidR="00CC52DB">
        <w:t xml:space="preserve"> Schillinger, 2011</w:t>
      </w:r>
      <w:r w:rsidR="009F1873">
        <w:t>)</w:t>
      </w:r>
      <w:r w:rsidR="00CA5A9D">
        <w:t>,</w:t>
      </w:r>
      <w:r w:rsidR="009F1873">
        <w:t xml:space="preserve"> </w:t>
      </w:r>
      <w:r w:rsidRPr="00471A2A">
        <w:t>power asymmetries</w:t>
      </w:r>
      <w:r w:rsidR="00E63C1A">
        <w:t xml:space="preserve"> (Barusch, 1987)</w:t>
      </w:r>
      <w:r w:rsidR="00CA5A9D">
        <w:t>,</w:t>
      </w:r>
      <w:r w:rsidRPr="00471A2A">
        <w:t xml:space="preserve"> and borderline coercive practices in the context of caregiving</w:t>
      </w:r>
      <w:r w:rsidR="00D21FBF">
        <w:t xml:space="preserve"> (Berridge, 2017)</w:t>
      </w:r>
      <w:r w:rsidRPr="00471A2A">
        <w:t xml:space="preserve">. Once the technology is broadly adopted and normalized, it may be featured in mandated treatment or </w:t>
      </w:r>
      <w:r w:rsidR="001D283A">
        <w:t xml:space="preserve">coercively encouraged </w:t>
      </w:r>
      <w:r w:rsidRPr="00471A2A">
        <w:t xml:space="preserve">by family members and service providers in the name of </w:t>
      </w:r>
      <w:r w:rsidR="0000530C" w:rsidRPr="00471A2A">
        <w:t>bene</w:t>
      </w:r>
      <w:r w:rsidR="0000530C">
        <w:t>ficence</w:t>
      </w:r>
      <w:r w:rsidR="0000530C" w:rsidRPr="00471A2A">
        <w:t xml:space="preserve"> </w:t>
      </w:r>
      <w:r w:rsidRPr="00471A2A">
        <w:t xml:space="preserve">and safety. </w:t>
      </w:r>
    </w:p>
    <w:p w14:paraId="6D340E35" w14:textId="68196522" w:rsidR="00132AC9" w:rsidRPr="00132AC9" w:rsidRDefault="00132AC9" w:rsidP="00132AC9">
      <w:pPr>
        <w:pStyle w:val="NoSpacing"/>
        <w:spacing w:line="480" w:lineRule="auto"/>
        <w:rPr>
          <w:b/>
        </w:rPr>
      </w:pPr>
      <w:r>
        <w:rPr>
          <w:b/>
        </w:rPr>
        <w:t>Scrutinizing Paternalism</w:t>
      </w:r>
    </w:p>
    <w:p w14:paraId="6347EB18" w14:textId="1B0172F9" w:rsidR="00471A2A" w:rsidRPr="00471A2A" w:rsidRDefault="00471A2A" w:rsidP="009A685B">
      <w:pPr>
        <w:pStyle w:val="NoSpacing"/>
        <w:spacing w:line="480" w:lineRule="auto"/>
        <w:ind w:firstLine="720"/>
      </w:pPr>
      <w:r w:rsidRPr="00471A2A">
        <w:t>An ethical conflict exists when two or more ethical principles are in tension with one another –</w:t>
      </w:r>
      <w:r w:rsidR="009A685B">
        <w:t xml:space="preserve"> </w:t>
      </w:r>
      <w:r w:rsidRPr="00471A2A">
        <w:t>in this case, beneficence and autonomy</w:t>
      </w:r>
      <w:r w:rsidR="00BC262C">
        <w:t xml:space="preserve"> (</w:t>
      </w:r>
      <w:r w:rsidR="00656A09">
        <w:t>self</w:t>
      </w:r>
      <w:r w:rsidR="005B4EE3">
        <w:t>-determination in social work)</w:t>
      </w:r>
      <w:r w:rsidRPr="00471A2A">
        <w:t>. The rational</w:t>
      </w:r>
      <w:r w:rsidR="00FA05CC">
        <w:t>e</w:t>
      </w:r>
      <w:r w:rsidRPr="00471A2A">
        <w:t xml:space="preserve"> for using AMC is that the benefits of monitoring medication compliance of a person with a demonstrated or suspected inability to sustain adherence (beneficence) outweigh any infringements of privacy or individual choice to take medication on any given day (autonomy). Valuing beneficence over autonomy in this decisional balance </w:t>
      </w:r>
      <w:r w:rsidR="005B4EE3">
        <w:t>represent</w:t>
      </w:r>
      <w:r w:rsidR="005B4EE3" w:rsidRPr="00471A2A">
        <w:t xml:space="preserve">s </w:t>
      </w:r>
      <w:r w:rsidRPr="00471A2A">
        <w:t>paternalism. For AMC, paternalism is rationalized based on concerns that people with medication nonadherence present a risk of harm to themselves and others. According to NASW (2017), “Social workers may limit clients’ right to self-determination [autonomy] when, in the social workers’ professional judgment, clients’ actions or potential actions pose a serious, foreseeable, and imminent risk to themselves or others”</w:t>
      </w:r>
      <w:r w:rsidR="00904825">
        <w:t xml:space="preserve"> (Ethical Standard 1.02: Self-Determination)</w:t>
      </w:r>
      <w:r w:rsidRPr="00471A2A">
        <w:t xml:space="preserve">. In our estimation, this standard represents a high bar for justifying paternalistic interventions </w:t>
      </w:r>
      <w:r w:rsidR="00FE4A93">
        <w:t>with</w:t>
      </w:r>
      <w:r w:rsidRPr="00471A2A">
        <w:t xml:space="preserve"> AMC</w:t>
      </w:r>
      <w:r w:rsidR="005B4EE3">
        <w:t xml:space="preserve"> given tha</w:t>
      </w:r>
      <w:r w:rsidR="00670067">
        <w:t>t</w:t>
      </w:r>
      <w:r w:rsidR="005B4EE3">
        <w:t xml:space="preserve"> </w:t>
      </w:r>
      <w:r w:rsidR="003B4FA5">
        <w:t xml:space="preserve">there are less intrusive medication management </w:t>
      </w:r>
      <w:r w:rsidR="00312390">
        <w:t xml:space="preserve">tools </w:t>
      </w:r>
      <w:r w:rsidR="003B4FA5">
        <w:t xml:space="preserve">available, and in-patient commitment laws </w:t>
      </w:r>
      <w:r w:rsidR="00FA05CC">
        <w:t>already exist to address the needs of people</w:t>
      </w:r>
      <w:r w:rsidR="003B4FA5">
        <w:t xml:space="preserve"> </w:t>
      </w:r>
      <w:r w:rsidR="00312390">
        <w:t xml:space="preserve">who </w:t>
      </w:r>
      <w:r w:rsidR="003B4FA5">
        <w:t xml:space="preserve">demonstrate imminent risk to self or others. </w:t>
      </w:r>
      <w:r w:rsidR="00623AFA">
        <w:t>The introduction and normalization of AMC represents the shifting sands of more circumscribed laws governing mandatory treatment</w:t>
      </w:r>
      <w:r w:rsidR="002C2ECE">
        <w:t>, risking</w:t>
      </w:r>
      <w:r w:rsidR="00623AFA">
        <w:t xml:space="preserve"> a gradual erosion of </w:t>
      </w:r>
      <w:r w:rsidR="00543271">
        <w:t xml:space="preserve">self-determination </w:t>
      </w:r>
      <w:r w:rsidR="00623AFA">
        <w:t>and personal freedom by erring on the side of risk-aversion and paternalism.</w:t>
      </w:r>
    </w:p>
    <w:p w14:paraId="5912E8A2" w14:textId="19DB37E1" w:rsidR="00471A2A" w:rsidRPr="00471A2A" w:rsidRDefault="003B4FA5" w:rsidP="009A685B">
      <w:pPr>
        <w:pStyle w:val="NoSpacing"/>
        <w:spacing w:line="480" w:lineRule="auto"/>
        <w:ind w:firstLine="720"/>
      </w:pPr>
      <w:r>
        <w:lastRenderedPageBreak/>
        <w:t>In addition to prima facie concerns about constraining self-determination,</w:t>
      </w:r>
      <w:r w:rsidR="00F61E31">
        <w:t xml:space="preserve"> </w:t>
      </w:r>
      <w:r w:rsidR="009D0FCB">
        <w:t xml:space="preserve">it is also important to recognize that </w:t>
      </w:r>
      <w:r w:rsidR="00471A2A" w:rsidRPr="00471A2A">
        <w:t xml:space="preserve">“paternalistic…health practices are susceptible to abuse if they lack high-level public scrutiny” (Beauchamps &amp; Childress, 2013, p. 219). Without public scrutiny, </w:t>
      </w:r>
      <w:r w:rsidR="002D2140">
        <w:t>individuals</w:t>
      </w:r>
      <w:r w:rsidR="002D2140" w:rsidRPr="00471A2A">
        <w:t xml:space="preserve"> </w:t>
      </w:r>
      <w:r w:rsidR="00471A2A" w:rsidRPr="00471A2A">
        <w:t xml:space="preserve">may progressively find surveillance </w:t>
      </w:r>
      <w:r w:rsidR="001D283A">
        <w:t xml:space="preserve">technologies </w:t>
      </w:r>
      <w:r w:rsidR="00471A2A" w:rsidRPr="00471A2A">
        <w:t xml:space="preserve">prescribed, and </w:t>
      </w:r>
      <w:r w:rsidR="00AC14B2">
        <w:t>some</w:t>
      </w:r>
      <w:r w:rsidR="00AC14B2" w:rsidRPr="00471A2A">
        <w:t xml:space="preserve"> </w:t>
      </w:r>
      <w:r w:rsidR="00471A2A" w:rsidRPr="00471A2A">
        <w:t>may incur negative consequences for nonadherence. This commentary represents a call to social work</w:t>
      </w:r>
      <w:r w:rsidR="002D2140">
        <w:t>ers</w:t>
      </w:r>
      <w:r w:rsidR="00471A2A" w:rsidRPr="00471A2A">
        <w:t xml:space="preserve"> to engage in dialogue about ethical concerns inherent in the use of AMC</w:t>
      </w:r>
      <w:r w:rsidR="009A685B">
        <w:t>.</w:t>
      </w:r>
    </w:p>
    <w:p w14:paraId="457384CA" w14:textId="27479F00" w:rsidR="00471A2A" w:rsidRPr="00471A2A" w:rsidRDefault="00471A2A" w:rsidP="00471A2A">
      <w:pPr>
        <w:pStyle w:val="NoSpacing"/>
        <w:spacing w:line="480" w:lineRule="auto"/>
        <w:rPr>
          <w:b/>
        </w:rPr>
      </w:pPr>
      <w:r w:rsidRPr="00471A2A">
        <w:rPr>
          <w:b/>
        </w:rPr>
        <w:t xml:space="preserve">Social </w:t>
      </w:r>
      <w:r w:rsidR="004C3050">
        <w:rPr>
          <w:b/>
        </w:rPr>
        <w:t>J</w:t>
      </w:r>
      <w:r w:rsidRPr="00471A2A">
        <w:rPr>
          <w:b/>
        </w:rPr>
        <w:t>ustice and Proactive Protections</w:t>
      </w:r>
    </w:p>
    <w:p w14:paraId="7BBA0F79" w14:textId="1A298E45" w:rsidR="00471A2A" w:rsidRPr="00471A2A" w:rsidRDefault="00471A2A" w:rsidP="009A685B">
      <w:pPr>
        <w:pStyle w:val="NoSpacing"/>
        <w:spacing w:line="480" w:lineRule="auto"/>
        <w:ind w:firstLine="720"/>
      </w:pPr>
      <w:r w:rsidRPr="00471A2A">
        <w:t>People likely to be prescribed AMC are neurodive</w:t>
      </w:r>
      <w:r w:rsidR="004C3050">
        <w:t>rgent</w:t>
      </w:r>
      <w:r w:rsidRPr="00471A2A">
        <w:t xml:space="preserve"> or experience mental illness and represent populations</w:t>
      </w:r>
      <w:r w:rsidR="00D4015B">
        <w:t xml:space="preserve"> who have historically </w:t>
      </w:r>
      <w:r w:rsidR="002E7178">
        <w:t xml:space="preserve">been subject to biases and paternalistic treatment approaches </w:t>
      </w:r>
      <w:r w:rsidR="002D2140">
        <w:t>(Fabris, 2011).</w:t>
      </w:r>
      <w:r w:rsidRPr="00471A2A">
        <w:t xml:space="preserve"> </w:t>
      </w:r>
      <w:r w:rsidR="002E7178">
        <w:t>W</w:t>
      </w:r>
      <w:r w:rsidRPr="00471A2A">
        <w:t xml:space="preserve">e argue </w:t>
      </w:r>
      <w:r w:rsidR="002E7178">
        <w:t xml:space="preserve">that </w:t>
      </w:r>
      <w:r w:rsidRPr="00471A2A">
        <w:t xml:space="preserve">additional scrutiny should be applied </w:t>
      </w:r>
      <w:r w:rsidR="002E7178">
        <w:t xml:space="preserve">to the use of AMC </w:t>
      </w:r>
      <w:r w:rsidRPr="00471A2A">
        <w:t xml:space="preserve">because </w:t>
      </w:r>
      <w:r w:rsidR="002061B8">
        <w:t xml:space="preserve">further </w:t>
      </w:r>
      <w:r w:rsidR="00AC14B2">
        <w:t xml:space="preserve">curtailment </w:t>
      </w:r>
      <w:r w:rsidR="002D2140">
        <w:t xml:space="preserve">of self-determination </w:t>
      </w:r>
      <w:r w:rsidR="00306463">
        <w:t>compounds</w:t>
      </w:r>
      <w:r w:rsidR="002061B8">
        <w:t xml:space="preserve"> the</w:t>
      </w:r>
      <w:r w:rsidR="00306463">
        <w:t xml:space="preserve"> </w:t>
      </w:r>
      <w:r w:rsidRPr="00471A2A">
        <w:t>injustice</w:t>
      </w:r>
      <w:r w:rsidR="002061B8">
        <w:t>s that pervade the</w:t>
      </w:r>
      <w:r w:rsidR="00B23431">
        <w:t xml:space="preserve"> fraught history of </w:t>
      </w:r>
      <w:r w:rsidR="00395D99">
        <w:t>care for people with mental illnesses in the US</w:t>
      </w:r>
      <w:r w:rsidR="0047729C">
        <w:t xml:space="preserve"> (</w:t>
      </w:r>
      <w:r w:rsidR="00543271">
        <w:t>Fabris, 2011</w:t>
      </w:r>
      <w:r w:rsidR="0047729C">
        <w:t>)</w:t>
      </w:r>
      <w:r w:rsidRPr="00471A2A">
        <w:t xml:space="preserve">. Before </w:t>
      </w:r>
      <w:r w:rsidR="002D2140">
        <w:t>paternalistic treatment options</w:t>
      </w:r>
      <w:r w:rsidR="00D81CDC">
        <w:t xml:space="preserve"> are adopted and normalized</w:t>
      </w:r>
      <w:r w:rsidRPr="00471A2A">
        <w:t>, it is imperative</w:t>
      </w:r>
      <w:r w:rsidR="00570F1A">
        <w:t xml:space="preserve"> that we</w:t>
      </w:r>
      <w:r w:rsidRPr="00471A2A">
        <w:t xml:space="preserve"> </w:t>
      </w:r>
      <w:r w:rsidR="00570F1A">
        <w:t>consider</w:t>
      </w:r>
      <w:r w:rsidR="002F3C90">
        <w:t xml:space="preserve"> </w:t>
      </w:r>
      <w:r w:rsidR="00C30916">
        <w:t>how</w:t>
      </w:r>
      <w:r w:rsidR="00AB6D2E">
        <w:t xml:space="preserve"> </w:t>
      </w:r>
      <w:r w:rsidRPr="00471A2A">
        <w:t xml:space="preserve">people at </w:t>
      </w:r>
      <w:r w:rsidR="00AC14B2">
        <w:t xml:space="preserve">greatest </w:t>
      </w:r>
      <w:r w:rsidRPr="00471A2A">
        <w:t xml:space="preserve">risk of harm </w:t>
      </w:r>
      <w:r w:rsidR="00AB6D2E">
        <w:t xml:space="preserve">might </w:t>
      </w:r>
      <w:r w:rsidR="00AC14B2">
        <w:t>be affected</w:t>
      </w:r>
      <w:r w:rsidR="00FB5DA2">
        <w:t>.</w:t>
      </w:r>
      <w:r w:rsidR="00AC14B2">
        <w:t xml:space="preserve"> </w:t>
      </w:r>
    </w:p>
    <w:p w14:paraId="2BF089D9" w14:textId="49847B86" w:rsidR="00471A2A" w:rsidRPr="00471A2A" w:rsidRDefault="00AB6D2E" w:rsidP="00AB6D2E">
      <w:pPr>
        <w:pStyle w:val="NoSpacing"/>
        <w:spacing w:line="480" w:lineRule="auto"/>
        <w:ind w:firstLine="720"/>
      </w:pPr>
      <w:r>
        <w:t>R</w:t>
      </w:r>
      <w:r w:rsidR="00471A2A" w:rsidRPr="00471A2A">
        <w:t xml:space="preserve">eturning to the vignette with Ida </w:t>
      </w:r>
      <w:r w:rsidR="00041F33">
        <w:t xml:space="preserve">illustrates our concerns about </w:t>
      </w:r>
      <w:r w:rsidR="00C41E21">
        <w:t>AMC</w:t>
      </w:r>
      <w:r w:rsidR="00471A2A" w:rsidRPr="00471A2A">
        <w:t>. Ida’s reluctance to attend a medical appointment with her daughter suggests she succumbed to familial pressure and is non-voluntary in the service encou</w:t>
      </w:r>
      <w:r w:rsidR="00241E62">
        <w:t>nter. Ida may view taking</w:t>
      </w:r>
      <w:r w:rsidR="00471A2A" w:rsidRPr="00471A2A">
        <w:t xml:space="preserve"> AMC as her only option to appease her daughter, who may be </w:t>
      </w:r>
      <w:r w:rsidR="003C6AD0">
        <w:t>Ida’s</w:t>
      </w:r>
      <w:r w:rsidR="00241E62">
        <w:t xml:space="preserve"> only</w:t>
      </w:r>
      <w:r w:rsidR="00471A2A" w:rsidRPr="00471A2A">
        <w:t xml:space="preserve"> social support. In this way, Ida’s double bind – preserving autonomy and privacy versus </w:t>
      </w:r>
      <w:r w:rsidR="005644B3">
        <w:t>maintaining an amicable r</w:t>
      </w:r>
      <w:r w:rsidR="00471A2A" w:rsidRPr="00471A2A">
        <w:t xml:space="preserve">elationship with her daughter – is resolved by </w:t>
      </w:r>
      <w:r w:rsidR="00C30916">
        <w:t>acquiescence</w:t>
      </w:r>
      <w:r w:rsidR="00471A2A" w:rsidRPr="00471A2A">
        <w:t xml:space="preserve">. While there are many reasons Ida may not be adherent, her </w:t>
      </w:r>
      <w:r w:rsidR="005644B3">
        <w:t xml:space="preserve">subsequent </w:t>
      </w:r>
      <w:r w:rsidR="00471A2A" w:rsidRPr="00471A2A">
        <w:t xml:space="preserve">well-tracked nonadherence may be interpreted as </w:t>
      </w:r>
      <w:r w:rsidR="005F20B8">
        <w:t xml:space="preserve">a </w:t>
      </w:r>
      <w:r w:rsidR="00471A2A" w:rsidRPr="00471A2A">
        <w:t xml:space="preserve">symptom of her illness and used by her daughter and medical provider to justify their interpretations of Ida as </w:t>
      </w:r>
      <w:r w:rsidR="005F20B8">
        <w:t xml:space="preserve">difficult, </w:t>
      </w:r>
      <w:r w:rsidR="00471A2A" w:rsidRPr="00471A2A">
        <w:t>incompetent, unable to make informed medical decisions, and unable to live independently.</w:t>
      </w:r>
    </w:p>
    <w:p w14:paraId="08B1F031" w14:textId="35C21628" w:rsidR="00074511" w:rsidRPr="00FF7D8B" w:rsidRDefault="005B4BF3" w:rsidP="00471A2A">
      <w:pPr>
        <w:pStyle w:val="NoSpacing"/>
        <w:spacing w:line="480" w:lineRule="auto"/>
        <w:rPr>
          <w:b/>
        </w:rPr>
      </w:pPr>
      <w:r>
        <w:rPr>
          <w:b/>
        </w:rPr>
        <w:lastRenderedPageBreak/>
        <w:t>Stemming the Tide</w:t>
      </w:r>
    </w:p>
    <w:p w14:paraId="6F64A90F" w14:textId="765614D6" w:rsidR="00784857" w:rsidRDefault="00FF7D8B" w:rsidP="00784857">
      <w:pPr>
        <w:spacing w:line="480" w:lineRule="auto"/>
        <w:ind w:firstLine="720"/>
        <w:contextualSpacing/>
      </w:pPr>
      <w:r>
        <w:t xml:space="preserve">Social workers practice in increasingly complex and interprofessional </w:t>
      </w:r>
      <w:r w:rsidR="00C41E21">
        <w:t xml:space="preserve">health care settings and </w:t>
      </w:r>
      <w:r w:rsidR="00D27F80">
        <w:t xml:space="preserve">require </w:t>
      </w:r>
      <w:r w:rsidR="00933232">
        <w:t xml:space="preserve">clarity about the profession’s stance on AMC (as well as </w:t>
      </w:r>
      <w:r w:rsidR="00B8217E">
        <w:t xml:space="preserve">future digital medications). We must </w:t>
      </w:r>
      <w:r w:rsidR="00933232">
        <w:t>articulately engage with interprofessional colleagues about ethical concerns</w:t>
      </w:r>
      <w:r w:rsidR="00C96C90">
        <w:t xml:space="preserve"> and</w:t>
      </w:r>
      <w:r w:rsidR="00933232">
        <w:t xml:space="preserve"> </w:t>
      </w:r>
      <w:r w:rsidR="00D20D34">
        <w:t xml:space="preserve">elicit and </w:t>
      </w:r>
      <w:r w:rsidR="00933232">
        <w:t>advocate for the</w:t>
      </w:r>
      <w:r w:rsidR="00D20D34">
        <w:t xml:space="preserve"> treatment preferences of</w:t>
      </w:r>
      <w:r w:rsidR="00B8217E">
        <w:t xml:space="preserve"> individuals we</w:t>
      </w:r>
      <w:r w:rsidR="00933232">
        <w:t xml:space="preserve"> serve</w:t>
      </w:r>
      <w:r w:rsidR="000414B1">
        <w:t>.</w:t>
      </w:r>
      <w:r w:rsidR="007757AD" w:rsidRPr="00343B3E">
        <w:t xml:space="preserve"> </w:t>
      </w:r>
    </w:p>
    <w:p w14:paraId="7129D9C4" w14:textId="5F6A51BF" w:rsidR="00784857" w:rsidRPr="00784857" w:rsidRDefault="00784857" w:rsidP="001C6AE2">
      <w:pPr>
        <w:spacing w:line="480" w:lineRule="auto"/>
        <w:ind w:firstLine="720"/>
        <w:contextualSpacing/>
      </w:pPr>
      <w:r w:rsidRPr="00784857">
        <w:t xml:space="preserve">For front line workers interested in stemming the tide of AMC adoption and implementation, the most accessible </w:t>
      </w:r>
      <w:r w:rsidR="005970CB">
        <w:t xml:space="preserve">point </w:t>
      </w:r>
      <w:r w:rsidRPr="00784857">
        <w:t xml:space="preserve">of intervention may be at the mezzo level. At this level, social workers can impact how widely </w:t>
      </w:r>
      <w:r w:rsidR="00C41E21">
        <w:t>AMC</w:t>
      </w:r>
      <w:r w:rsidRPr="00784857">
        <w:t xml:space="preserve"> is embraced within health care organizations, prescribed and recommended by in-house providers,</w:t>
      </w:r>
      <w:r>
        <w:t xml:space="preserve"> and introduced to clients</w:t>
      </w:r>
      <w:r w:rsidRPr="00784857">
        <w:t xml:space="preserve"> as part of routine clinical encounters. We suggest that social workers can most effectively </w:t>
      </w:r>
      <w:r>
        <w:t xml:space="preserve">attenuate AMC expansion by educating </w:t>
      </w:r>
      <w:r w:rsidR="005F20B8">
        <w:t xml:space="preserve">interprofessional </w:t>
      </w:r>
      <w:r>
        <w:t>par</w:t>
      </w:r>
      <w:r w:rsidR="00F0477F">
        <w:t>tners about the ethical problems</w:t>
      </w:r>
      <w:r>
        <w:t xml:space="preserve"> associated with adopting th</w:t>
      </w:r>
      <w:r w:rsidR="004B5B54">
        <w:t>is</w:t>
      </w:r>
      <w:r>
        <w:t xml:space="preserve"> paternalistic intervention.</w:t>
      </w:r>
      <w:r w:rsidR="00931C8D">
        <w:t xml:space="preserve"> </w:t>
      </w:r>
      <w:r w:rsidR="00915C1A">
        <w:t xml:space="preserve">The conversations we risk having </w:t>
      </w:r>
      <w:r w:rsidR="0093129D">
        <w:t>today</w:t>
      </w:r>
      <w:r w:rsidR="00915C1A">
        <w:t xml:space="preserve"> could</w:t>
      </w:r>
      <w:r w:rsidR="0063207F">
        <w:t xml:space="preserve"> significantly shape</w:t>
      </w:r>
      <w:r w:rsidR="008669CC">
        <w:t xml:space="preserve"> </w:t>
      </w:r>
      <w:r w:rsidR="002139E4">
        <w:t xml:space="preserve">just and considered </w:t>
      </w:r>
      <w:r w:rsidR="008669CC">
        <w:t xml:space="preserve">medication </w:t>
      </w:r>
      <w:r w:rsidR="002F3C90">
        <w:t xml:space="preserve">management </w:t>
      </w:r>
      <w:r w:rsidR="008669CC">
        <w:t>practices</w:t>
      </w:r>
      <w:r w:rsidR="0063207F">
        <w:t xml:space="preserve"> of</w:t>
      </w:r>
      <w:r w:rsidR="0093129D">
        <w:t xml:space="preserve"> </w:t>
      </w:r>
      <w:r w:rsidR="008669CC">
        <w:t>tomorrow.</w:t>
      </w:r>
    </w:p>
    <w:p w14:paraId="66D81119" w14:textId="5B35749C" w:rsidR="00581084" w:rsidRDefault="00581084" w:rsidP="003D2C28">
      <w:pPr>
        <w:jc w:val="center"/>
      </w:pPr>
      <w:r>
        <w:t>References</w:t>
      </w:r>
    </w:p>
    <w:p w14:paraId="2CC77930" w14:textId="77777777" w:rsidR="003D2C28" w:rsidRPr="003D2C28" w:rsidRDefault="003D2C28" w:rsidP="003D2C28">
      <w:pPr>
        <w:jc w:val="center"/>
        <w:rPr>
          <w:rFonts w:eastAsiaTheme="minorEastAsia" w:cstheme="minorBidi"/>
          <w:lang w:eastAsia="ja-JP"/>
        </w:rPr>
      </w:pPr>
    </w:p>
    <w:p w14:paraId="2C7DF0E0" w14:textId="1BCCB9CF" w:rsidR="00F86044" w:rsidRPr="002F3C90" w:rsidRDefault="00F86044">
      <w:pPr>
        <w:pStyle w:val="NoSpacing"/>
        <w:spacing w:line="480" w:lineRule="auto"/>
        <w:ind w:left="720" w:hanging="720"/>
        <w:rPr>
          <w:shd w:val="clear" w:color="auto" w:fill="FFFFFF"/>
        </w:rPr>
      </w:pPr>
      <w:r w:rsidRPr="00E63C1A">
        <w:t>Barusch, A. (1987). Power Dynamics in the Aging Family. </w:t>
      </w:r>
      <w:r w:rsidRPr="003D2C28">
        <w:rPr>
          <w:i/>
        </w:rPr>
        <w:t>Journal of Gerontological Social Work, 11</w:t>
      </w:r>
      <w:r w:rsidRPr="00E63C1A">
        <w:t>(3-4), 43-56.</w:t>
      </w:r>
    </w:p>
    <w:p w14:paraId="6D1AC190" w14:textId="011B140C" w:rsidR="00900D64" w:rsidRDefault="00900D64" w:rsidP="002F191E">
      <w:pPr>
        <w:tabs>
          <w:tab w:val="left" w:pos="90"/>
        </w:tabs>
        <w:spacing w:line="480" w:lineRule="auto"/>
        <w:ind w:left="720" w:hanging="720"/>
        <w:rPr>
          <w:bCs/>
          <w:color w:val="000000"/>
        </w:rPr>
      </w:pPr>
      <w:r>
        <w:rPr>
          <w:bCs/>
          <w:color w:val="000000"/>
        </w:rPr>
        <w:t>Beauchamps</w:t>
      </w:r>
      <w:r w:rsidR="002F191E">
        <w:rPr>
          <w:bCs/>
          <w:color w:val="000000"/>
        </w:rPr>
        <w:t xml:space="preserve">, T., &amp; Childress, J.F. (2013). </w:t>
      </w:r>
      <w:r w:rsidR="002F191E" w:rsidRPr="002F191E">
        <w:rPr>
          <w:bCs/>
          <w:i/>
          <w:color w:val="000000"/>
        </w:rPr>
        <w:t>Principles of biomedical ethics</w:t>
      </w:r>
      <w:r w:rsidR="002F191E">
        <w:rPr>
          <w:bCs/>
          <w:color w:val="000000"/>
        </w:rPr>
        <w:t xml:space="preserve"> (7</w:t>
      </w:r>
      <w:r w:rsidR="002F191E" w:rsidRPr="002F191E">
        <w:rPr>
          <w:bCs/>
          <w:color w:val="000000"/>
          <w:vertAlign w:val="superscript"/>
        </w:rPr>
        <w:t>th</w:t>
      </w:r>
      <w:r w:rsidR="002F191E">
        <w:rPr>
          <w:bCs/>
          <w:color w:val="000000"/>
        </w:rPr>
        <w:t xml:space="preserve"> Ed.) New York: Oxford University Press. </w:t>
      </w:r>
    </w:p>
    <w:p w14:paraId="33863162" w14:textId="77777777" w:rsidR="00A67CBF" w:rsidRDefault="00F86044" w:rsidP="002F3C90">
      <w:pPr>
        <w:tabs>
          <w:tab w:val="left" w:pos="90"/>
        </w:tabs>
        <w:spacing w:line="480" w:lineRule="auto"/>
      </w:pPr>
      <w:r w:rsidRPr="00D21FBF">
        <w:rPr>
          <w:bCs/>
          <w:color w:val="000000"/>
        </w:rPr>
        <w:t>Berridge, C.</w:t>
      </w:r>
      <w:r w:rsidRPr="00B83B57">
        <w:rPr>
          <w:bCs/>
          <w:color w:val="000000"/>
        </w:rPr>
        <w:t xml:space="preserve"> </w:t>
      </w:r>
      <w:r w:rsidR="00A67CBF" w:rsidRPr="00B83B57">
        <w:rPr>
          <w:bCs/>
          <w:color w:val="000000"/>
        </w:rPr>
        <w:t>(</w:t>
      </w:r>
      <w:r w:rsidR="00A67CBF">
        <w:rPr>
          <w:bCs/>
          <w:color w:val="000000"/>
        </w:rPr>
        <w:t>2017</w:t>
      </w:r>
      <w:r w:rsidR="00A67CBF" w:rsidRPr="00B83B57">
        <w:rPr>
          <w:bCs/>
          <w:color w:val="000000"/>
        </w:rPr>
        <w:t xml:space="preserve">). </w:t>
      </w:r>
      <w:r w:rsidR="00A67CBF" w:rsidRPr="00B83B57">
        <w:t xml:space="preserve">Selling passive monitoring to manage </w:t>
      </w:r>
      <w:r w:rsidR="00A67CBF">
        <w:t xml:space="preserve">risk in </w:t>
      </w:r>
      <w:r w:rsidR="00A67CBF" w:rsidRPr="00B83B57">
        <w:t>independent living: Front</w:t>
      </w:r>
      <w:r w:rsidR="00A67CBF">
        <w:t xml:space="preserve">line </w:t>
      </w:r>
    </w:p>
    <w:p w14:paraId="0060C002" w14:textId="6BC4BE3A" w:rsidR="00AF785C" w:rsidRDefault="00A67CBF">
      <w:pPr>
        <w:tabs>
          <w:tab w:val="left" w:pos="90"/>
        </w:tabs>
        <w:spacing w:line="480" w:lineRule="auto"/>
        <w:ind w:left="720"/>
        <w:rPr>
          <w:color w:val="000000"/>
        </w:rPr>
      </w:pPr>
      <w:r>
        <w:t xml:space="preserve">workers in a </w:t>
      </w:r>
      <w:r w:rsidRPr="00436BEC">
        <w:t xml:space="preserve">bind. In </w:t>
      </w:r>
      <w:r>
        <w:t xml:space="preserve">S. Adams, </w:t>
      </w:r>
      <w:r w:rsidRPr="00436BEC">
        <w:t>N. Purtova</w:t>
      </w:r>
      <w:r>
        <w:t>, &amp; R. Leenes</w:t>
      </w:r>
      <w:r w:rsidRPr="00436BEC">
        <w:t xml:space="preserve"> (Ed</w:t>
      </w:r>
      <w:r>
        <w:t>s</w:t>
      </w:r>
      <w:r w:rsidRPr="00436BEC">
        <w:t xml:space="preserve">.), </w:t>
      </w:r>
      <w:r w:rsidRPr="00436BEC">
        <w:rPr>
          <w:i/>
          <w:color w:val="000000"/>
        </w:rPr>
        <w:t>Under Observation: The Interplay B</w:t>
      </w:r>
      <w:r>
        <w:rPr>
          <w:i/>
          <w:color w:val="000000"/>
        </w:rPr>
        <w:t>etween eHealth and Surveillance</w:t>
      </w:r>
      <w:r w:rsidRPr="007C3F81">
        <w:rPr>
          <w:color w:val="000000"/>
        </w:rPr>
        <w:t xml:space="preserve"> (</w:t>
      </w:r>
      <w:r w:rsidRPr="000C253A">
        <w:rPr>
          <w:color w:val="000000"/>
        </w:rPr>
        <w:t>pp</w:t>
      </w:r>
      <w:r>
        <w:rPr>
          <w:color w:val="000000"/>
        </w:rPr>
        <w:t xml:space="preserve">. </w:t>
      </w:r>
      <w:r w:rsidRPr="000C253A">
        <w:rPr>
          <w:color w:val="000000"/>
        </w:rPr>
        <w:t>73-90</w:t>
      </w:r>
      <w:r>
        <w:rPr>
          <w:color w:val="000000"/>
        </w:rPr>
        <w:t>)</w:t>
      </w:r>
      <w:r>
        <w:rPr>
          <w:i/>
          <w:color w:val="000000"/>
        </w:rPr>
        <w:t>.</w:t>
      </w:r>
      <w:r w:rsidRPr="00436BEC">
        <w:rPr>
          <w:color w:val="000000"/>
        </w:rPr>
        <w:t xml:space="preserve"> Springer</w:t>
      </w:r>
      <w:r w:rsidR="00986344">
        <w:rPr>
          <w:color w:val="000000"/>
        </w:rPr>
        <w:t xml:space="preserve"> International</w:t>
      </w:r>
      <w:r>
        <w:rPr>
          <w:color w:val="000000"/>
        </w:rPr>
        <w:t>.</w:t>
      </w:r>
    </w:p>
    <w:p w14:paraId="6308DF1A" w14:textId="3DA50FED" w:rsidR="0046615C" w:rsidRDefault="00581084" w:rsidP="002F3C90">
      <w:pPr>
        <w:tabs>
          <w:tab w:val="left" w:pos="90"/>
        </w:tabs>
        <w:spacing w:line="480" w:lineRule="auto"/>
        <w:rPr>
          <w:i/>
          <w:iCs/>
          <w:shd w:val="clear" w:color="auto" w:fill="FFFFFF"/>
        </w:rPr>
      </w:pPr>
      <w:r>
        <w:rPr>
          <w:shd w:val="clear" w:color="auto" w:fill="FFFFFF"/>
        </w:rPr>
        <w:t>Brown, M. T., &amp; Bussell, J. K. (2011). Medication Adherence: WHO Cares? </w:t>
      </w:r>
      <w:r>
        <w:rPr>
          <w:i/>
          <w:iCs/>
          <w:shd w:val="clear" w:color="auto" w:fill="FFFFFF"/>
        </w:rPr>
        <w:t xml:space="preserve">Mayo Clinic </w:t>
      </w:r>
    </w:p>
    <w:p w14:paraId="5B1373BB" w14:textId="1CE1BC47" w:rsidR="00581084" w:rsidRDefault="0046615C" w:rsidP="002F3C90">
      <w:pPr>
        <w:tabs>
          <w:tab w:val="left" w:pos="90"/>
        </w:tabs>
        <w:spacing w:line="480" w:lineRule="auto"/>
        <w:rPr>
          <w:shd w:val="clear" w:color="auto" w:fill="FFFFFF"/>
        </w:rPr>
      </w:pPr>
      <w:r>
        <w:rPr>
          <w:i/>
          <w:iCs/>
          <w:shd w:val="clear" w:color="auto" w:fill="FFFFFF"/>
        </w:rPr>
        <w:tab/>
      </w:r>
      <w:r>
        <w:rPr>
          <w:i/>
          <w:iCs/>
          <w:shd w:val="clear" w:color="auto" w:fill="FFFFFF"/>
        </w:rPr>
        <w:tab/>
      </w:r>
      <w:r w:rsidR="00581084">
        <w:rPr>
          <w:i/>
          <w:iCs/>
          <w:shd w:val="clear" w:color="auto" w:fill="FFFFFF"/>
        </w:rPr>
        <w:t>Proceedings, 86</w:t>
      </w:r>
      <w:r w:rsidR="00581084">
        <w:rPr>
          <w:shd w:val="clear" w:color="auto" w:fill="FFFFFF"/>
        </w:rPr>
        <w:t xml:space="preserve">(4), 304–314. </w:t>
      </w:r>
      <w:hyperlink r:id="rId9" w:history="1">
        <w:r w:rsidR="002D2140" w:rsidRPr="00DD110D">
          <w:rPr>
            <w:rStyle w:val="Hyperlink"/>
            <w:shd w:val="clear" w:color="auto" w:fill="FFFFFF"/>
          </w:rPr>
          <w:t>http://doi.org/10.4065/mcp.2010.0575</w:t>
        </w:r>
      </w:hyperlink>
    </w:p>
    <w:p w14:paraId="207B26BD" w14:textId="7FAF12A6" w:rsidR="00ED72A8" w:rsidRDefault="00ED72A8" w:rsidP="002D2140">
      <w:pPr>
        <w:tabs>
          <w:tab w:val="left" w:pos="90"/>
        </w:tabs>
        <w:spacing w:line="480" w:lineRule="auto"/>
        <w:ind w:left="720" w:hanging="720"/>
      </w:pPr>
      <w:r>
        <w:lastRenderedPageBreak/>
        <w:t>Deegan, P. E. (1992). The independent living m</w:t>
      </w:r>
      <w:r w:rsidRPr="00ED72A8">
        <w:t>ovement and people with psychiatric disabilities: Taking back control over our own lives. </w:t>
      </w:r>
      <w:r w:rsidRPr="00ED72A8">
        <w:rPr>
          <w:i/>
          <w:iCs/>
        </w:rPr>
        <w:t>Psychosocial Rehabilitation Journal</w:t>
      </w:r>
      <w:r w:rsidRPr="00ED72A8">
        <w:t>, </w:t>
      </w:r>
      <w:r w:rsidRPr="00ED72A8">
        <w:rPr>
          <w:i/>
          <w:iCs/>
        </w:rPr>
        <w:t>15</w:t>
      </w:r>
      <w:r w:rsidRPr="00ED72A8">
        <w:t>(3), 3</w:t>
      </w:r>
      <w:r>
        <w:t>-19</w:t>
      </w:r>
      <w:r w:rsidRPr="00ED72A8">
        <w:t>.</w:t>
      </w:r>
    </w:p>
    <w:p w14:paraId="4F60912E" w14:textId="635DCC80" w:rsidR="002D2140" w:rsidRPr="0071130B" w:rsidRDefault="002D2140" w:rsidP="002D2140">
      <w:pPr>
        <w:tabs>
          <w:tab w:val="left" w:pos="90"/>
        </w:tabs>
        <w:spacing w:line="480" w:lineRule="auto"/>
        <w:ind w:left="720" w:hanging="720"/>
        <w:rPr>
          <w:shd w:val="clear" w:color="auto" w:fill="FFFFFF"/>
        </w:rPr>
      </w:pPr>
      <w:r w:rsidRPr="00297C57">
        <w:t xml:space="preserve">Fabris, E. (2011). </w:t>
      </w:r>
      <w:r w:rsidRPr="0081037D">
        <w:t xml:space="preserve">Tranquil Prisons: Chemical Incarceration under Community Treatment Order </w:t>
      </w:r>
      <w:r w:rsidRPr="00297C57">
        <w:rPr>
          <w:i/>
          <w:iCs/>
        </w:rPr>
        <w:t>pp. 1-34.</w:t>
      </w:r>
      <w:r w:rsidRPr="00297C57">
        <w:t> Toronto: University of Toronto Press.</w:t>
      </w:r>
    </w:p>
    <w:p w14:paraId="2D89EFA2" w14:textId="3B5ED8AE" w:rsidR="00581084" w:rsidRDefault="00581084" w:rsidP="0071130B">
      <w:pPr>
        <w:pStyle w:val="NoSpacing"/>
        <w:spacing w:line="480" w:lineRule="auto"/>
        <w:ind w:left="720" w:hanging="720"/>
      </w:pPr>
      <w:r>
        <w:t>Gadkari AS, McHorney CA. Unintentional non-adherence to chronic prescription medications: how unintentional is it really? BMC Health Serv Res. 2012 Jun 14;12:98. doi: 10.1186/1472-6963-12-98. PubMed PMID: 22510235; PMCID: PMC3375198.</w:t>
      </w:r>
    </w:p>
    <w:p w14:paraId="11864D4C" w14:textId="6653B270" w:rsidR="00581084" w:rsidRDefault="00132AC9" w:rsidP="00C7188C">
      <w:pPr>
        <w:pStyle w:val="NoSpacing"/>
        <w:spacing w:line="480" w:lineRule="auto"/>
        <w:ind w:left="720" w:hanging="720"/>
      </w:pPr>
      <w:r>
        <w:t>National Association of Social Workers</w:t>
      </w:r>
      <w:r w:rsidR="00581084" w:rsidRPr="00CE6A23">
        <w:t xml:space="preserve"> (20</w:t>
      </w:r>
      <w:r>
        <w:t>17</w:t>
      </w:r>
      <w:r w:rsidR="00581084" w:rsidRPr="00CE6A23">
        <w:t>). NASW Code of Ethics (Guide to the Everyday Professional Conduct of Social Workers). Washington, DC: NASW.</w:t>
      </w:r>
    </w:p>
    <w:p w14:paraId="68501661" w14:textId="182A9CCA" w:rsidR="00581084" w:rsidRDefault="00581084" w:rsidP="00900D64">
      <w:pPr>
        <w:pStyle w:val="NoSpacing"/>
        <w:spacing w:line="480" w:lineRule="auto"/>
        <w:ind w:left="720" w:hanging="720"/>
      </w:pPr>
      <w:r>
        <w:t xml:space="preserve">Neumeier, S. (2017). New compliance tracking drugs violate human rights. NOS Magazine. </w:t>
      </w:r>
      <w:r w:rsidR="006C18F3">
        <w:t>Retrieved</w:t>
      </w:r>
      <w:r>
        <w:t xml:space="preserve"> from </w:t>
      </w:r>
      <w:hyperlink r:id="rId10" w:history="1">
        <w:r w:rsidRPr="009204CE">
          <w:rPr>
            <w:rStyle w:val="Hyperlink"/>
          </w:rPr>
          <w:t>http://nosmag.org/compliance-tracking-drugs-violate-human-rights-abilify-mycite/</w:t>
        </w:r>
      </w:hyperlink>
    </w:p>
    <w:p w14:paraId="50E38EAC" w14:textId="77777777" w:rsidR="002F191E" w:rsidRDefault="004006F9" w:rsidP="002F191E">
      <w:pPr>
        <w:pStyle w:val="Heading1"/>
        <w:pBdr>
          <w:bottom w:val="single" w:sz="6" w:space="1" w:color="DFE4E6"/>
        </w:pBdr>
        <w:spacing w:before="0" w:beforeAutospacing="0" w:after="0" w:afterAutospacing="0" w:line="480" w:lineRule="auto"/>
        <w:ind w:left="720" w:hanging="720"/>
        <w:rPr>
          <w:rFonts w:eastAsiaTheme="minorEastAsia" w:cstheme="minorBidi"/>
          <w:b w:val="0"/>
          <w:bCs w:val="0"/>
          <w:kern w:val="0"/>
          <w:sz w:val="24"/>
          <w:szCs w:val="24"/>
          <w:lang w:eastAsia="ja-JP"/>
        </w:rPr>
      </w:pPr>
      <w:r w:rsidRPr="004006F9">
        <w:rPr>
          <w:rFonts w:eastAsiaTheme="minorEastAsia" w:cstheme="minorBidi"/>
          <w:b w:val="0"/>
          <w:bCs w:val="0"/>
          <w:kern w:val="0"/>
          <w:sz w:val="24"/>
          <w:szCs w:val="24"/>
          <w:lang w:eastAsia="ja-JP"/>
        </w:rPr>
        <w:t xml:space="preserve">Proteus Digital Health (2017). Otsuka and Proteus® </w:t>
      </w:r>
      <w:r w:rsidRPr="002F191E">
        <w:rPr>
          <w:rFonts w:eastAsiaTheme="minorEastAsia" w:cstheme="minorBidi"/>
          <w:b w:val="0"/>
          <w:bCs w:val="0"/>
          <w:kern w:val="0"/>
          <w:sz w:val="24"/>
          <w:szCs w:val="24"/>
          <w:lang w:eastAsia="ja-JP"/>
        </w:rPr>
        <w:t xml:space="preserve">Announce the First U.S. FDA Approval of a Digital Medicine System: Abilify MyCite® (aripiprazole tablets with sensor). Retrieved from: </w:t>
      </w:r>
      <w:hyperlink r:id="rId11" w:history="1">
        <w:r w:rsidRPr="002F191E">
          <w:rPr>
            <w:rStyle w:val="Hyperlink"/>
            <w:rFonts w:eastAsiaTheme="minorEastAsia" w:cstheme="minorBidi"/>
            <w:b w:val="0"/>
            <w:bCs w:val="0"/>
            <w:kern w:val="0"/>
            <w:sz w:val="24"/>
            <w:szCs w:val="24"/>
            <w:lang w:eastAsia="ja-JP"/>
          </w:rPr>
          <w:t>https://www.proteus.com/press-releases/otsuka-and-proteus-announce-the-first-us-fda-approval-of-a-digital-medicine-system-abilify-mycite/</w:t>
        </w:r>
      </w:hyperlink>
      <w:r w:rsidRPr="002F191E">
        <w:rPr>
          <w:rFonts w:eastAsiaTheme="minorEastAsia" w:cstheme="minorBidi"/>
          <w:b w:val="0"/>
          <w:bCs w:val="0"/>
          <w:kern w:val="0"/>
          <w:sz w:val="24"/>
          <w:szCs w:val="24"/>
          <w:lang w:eastAsia="ja-JP"/>
        </w:rPr>
        <w:t xml:space="preserve"> </w:t>
      </w:r>
    </w:p>
    <w:p w14:paraId="35C64540" w14:textId="36DEDE9B" w:rsidR="00ED1021" w:rsidRPr="00ED1021" w:rsidRDefault="00ED1021" w:rsidP="00ED1021">
      <w:pPr>
        <w:pStyle w:val="Heading1"/>
        <w:pBdr>
          <w:bottom w:val="single" w:sz="6" w:space="1" w:color="DFE4E6"/>
        </w:pBdr>
        <w:spacing w:before="0" w:beforeAutospacing="0" w:after="0" w:afterAutospacing="0" w:line="480" w:lineRule="auto"/>
        <w:ind w:left="720" w:hanging="720"/>
        <w:rPr>
          <w:rFonts w:eastAsiaTheme="minorEastAsia" w:cstheme="minorBidi"/>
          <w:b w:val="0"/>
          <w:bCs w:val="0"/>
          <w:kern w:val="0"/>
          <w:sz w:val="24"/>
          <w:szCs w:val="24"/>
          <w:lang w:eastAsia="ja-JP"/>
        </w:rPr>
      </w:pPr>
      <w:r w:rsidRPr="00ED1021">
        <w:rPr>
          <w:rFonts w:eastAsiaTheme="minorEastAsia" w:cstheme="minorBidi"/>
          <w:b w:val="0"/>
          <w:bCs w:val="0"/>
          <w:kern w:val="0"/>
          <w:sz w:val="24"/>
          <w:szCs w:val="24"/>
          <w:lang w:eastAsia="ja-JP"/>
        </w:rPr>
        <w:t>Rodgers JE, Thudium EM, Beyhaghi H, Sueta CA, Alburikan KA, Kucharska-Newton AM, Chang PP, Stearns SC. Predictors of Medication Adherence in the Elderly: The Role of Mental Health. Med Care Res Rev. 2017 Mar 1:1077558717696992. doi: 10.1177/1077558717696992. PubMed PMID: 29148336; PubMed. Central PMCID: PMC5704980.</w:t>
      </w:r>
    </w:p>
    <w:p w14:paraId="782911E9" w14:textId="44E5429D" w:rsidR="00581084" w:rsidRPr="002F191E" w:rsidRDefault="00727E9A" w:rsidP="002F191E">
      <w:pPr>
        <w:pStyle w:val="Heading1"/>
        <w:pBdr>
          <w:bottom w:val="single" w:sz="6" w:space="1" w:color="DFE4E6"/>
        </w:pBdr>
        <w:spacing w:before="0" w:beforeAutospacing="0" w:after="0" w:afterAutospacing="0" w:line="480" w:lineRule="auto"/>
        <w:ind w:left="720" w:hanging="720"/>
        <w:rPr>
          <w:rFonts w:eastAsiaTheme="minorEastAsia" w:cstheme="minorBidi"/>
          <w:b w:val="0"/>
          <w:bCs w:val="0"/>
          <w:kern w:val="0"/>
          <w:sz w:val="24"/>
          <w:szCs w:val="24"/>
          <w:lang w:eastAsia="ja-JP"/>
        </w:rPr>
      </w:pPr>
      <w:r w:rsidRPr="00ED1021">
        <w:rPr>
          <w:rFonts w:eastAsiaTheme="minorEastAsia" w:cstheme="minorBidi"/>
          <w:b w:val="0"/>
          <w:bCs w:val="0"/>
          <w:kern w:val="0"/>
          <w:sz w:val="24"/>
          <w:szCs w:val="24"/>
          <w:lang w:eastAsia="ja-JP"/>
        </w:rPr>
        <w:lastRenderedPageBreak/>
        <w:t xml:space="preserve">Schenker, Y., Fernandez, A., Sudore, R., &amp; Schillinger, D. (2011). Interventions to improve patient comprehension in informed consent for medical and surgical procedures: A systemic review. </w:t>
      </w:r>
      <w:r w:rsidR="00E07EA3" w:rsidRPr="00ED1021">
        <w:rPr>
          <w:rFonts w:eastAsiaTheme="minorEastAsia" w:cstheme="minorBidi"/>
          <w:b w:val="0"/>
          <w:bCs w:val="0"/>
          <w:kern w:val="0"/>
          <w:sz w:val="24"/>
          <w:szCs w:val="24"/>
          <w:lang w:eastAsia="ja-JP"/>
        </w:rPr>
        <w:t>Medical Decision Making: An International Journal of the Society for Medical Decision Making, 31(1), 151-173.</w:t>
      </w:r>
    </w:p>
    <w:sectPr w:rsidR="00581084" w:rsidRPr="002F191E" w:rsidSect="002F191E">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27C4EC" w14:textId="77777777" w:rsidR="000B6EC8" w:rsidRDefault="000B6EC8" w:rsidP="00361171">
      <w:r>
        <w:separator/>
      </w:r>
    </w:p>
  </w:endnote>
  <w:endnote w:type="continuationSeparator" w:id="0">
    <w:p w14:paraId="63195CEA" w14:textId="77777777" w:rsidR="000B6EC8" w:rsidRDefault="000B6EC8" w:rsidP="003611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auto"/>
    <w:pitch w:val="variable"/>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8C85C" w14:textId="77777777" w:rsidR="002061B8" w:rsidRDefault="002061B8" w:rsidP="00E24E5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BF54E5" w14:textId="77777777" w:rsidR="002061B8" w:rsidRDefault="002061B8" w:rsidP="0036117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74C43" w14:textId="623905F3" w:rsidR="002061B8" w:rsidRDefault="002061B8" w:rsidP="00E24E5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C36D5">
      <w:rPr>
        <w:rStyle w:val="PageNumber"/>
        <w:noProof/>
      </w:rPr>
      <w:t>1</w:t>
    </w:r>
    <w:r>
      <w:rPr>
        <w:rStyle w:val="PageNumber"/>
      </w:rPr>
      <w:fldChar w:fldCharType="end"/>
    </w:r>
  </w:p>
  <w:p w14:paraId="68F19112" w14:textId="77777777" w:rsidR="002061B8" w:rsidRDefault="002061B8" w:rsidP="0036117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D4B90C" w14:textId="77777777" w:rsidR="000B6EC8" w:rsidRDefault="000B6EC8" w:rsidP="00361171">
      <w:r>
        <w:separator/>
      </w:r>
    </w:p>
  </w:footnote>
  <w:footnote w:type="continuationSeparator" w:id="0">
    <w:p w14:paraId="2A293F40" w14:textId="77777777" w:rsidR="000B6EC8" w:rsidRDefault="000B6EC8" w:rsidP="003611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1A7940"/>
    <w:multiLevelType w:val="multilevel"/>
    <w:tmpl w:val="B21EC6F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9487278"/>
    <w:multiLevelType w:val="hybridMultilevel"/>
    <w:tmpl w:val="A0EC1C58"/>
    <w:lvl w:ilvl="0" w:tplc="ED902E54">
      <w:start w:val="6"/>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640CB3"/>
    <w:multiLevelType w:val="hybridMultilevel"/>
    <w:tmpl w:val="F9FA9EBE"/>
    <w:lvl w:ilvl="0" w:tplc="8C18F0A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7B000322"/>
    <w:multiLevelType w:val="hybridMultilevel"/>
    <w:tmpl w:val="1DE06464"/>
    <w:lvl w:ilvl="0" w:tplc="4DBCA658">
      <w:start w:val="6"/>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4EA"/>
    <w:rsid w:val="0000530C"/>
    <w:rsid w:val="00014C87"/>
    <w:rsid w:val="000219C9"/>
    <w:rsid w:val="00021C56"/>
    <w:rsid w:val="0002795B"/>
    <w:rsid w:val="00032143"/>
    <w:rsid w:val="000414B1"/>
    <w:rsid w:val="00041F33"/>
    <w:rsid w:val="00043E71"/>
    <w:rsid w:val="00044510"/>
    <w:rsid w:val="000468E5"/>
    <w:rsid w:val="0005267B"/>
    <w:rsid w:val="00061B62"/>
    <w:rsid w:val="00074511"/>
    <w:rsid w:val="00084991"/>
    <w:rsid w:val="000856AD"/>
    <w:rsid w:val="00090ABA"/>
    <w:rsid w:val="000943F8"/>
    <w:rsid w:val="0009549A"/>
    <w:rsid w:val="000B1F97"/>
    <w:rsid w:val="000B358C"/>
    <w:rsid w:val="000B6EC8"/>
    <w:rsid w:val="000C0B89"/>
    <w:rsid w:val="000F0DBD"/>
    <w:rsid w:val="000F6597"/>
    <w:rsid w:val="00101C78"/>
    <w:rsid w:val="0010208F"/>
    <w:rsid w:val="00114052"/>
    <w:rsid w:val="001154A5"/>
    <w:rsid w:val="0012174F"/>
    <w:rsid w:val="00124DD7"/>
    <w:rsid w:val="001319BA"/>
    <w:rsid w:val="00132AC9"/>
    <w:rsid w:val="0016030A"/>
    <w:rsid w:val="001738BD"/>
    <w:rsid w:val="00175E6A"/>
    <w:rsid w:val="0018224B"/>
    <w:rsid w:val="0018325A"/>
    <w:rsid w:val="001A4737"/>
    <w:rsid w:val="001A6666"/>
    <w:rsid w:val="001C6AE2"/>
    <w:rsid w:val="001C73DF"/>
    <w:rsid w:val="001D1A48"/>
    <w:rsid w:val="001D283A"/>
    <w:rsid w:val="001E0227"/>
    <w:rsid w:val="001F0343"/>
    <w:rsid w:val="001F42BC"/>
    <w:rsid w:val="002013AD"/>
    <w:rsid w:val="002061B8"/>
    <w:rsid w:val="002139E4"/>
    <w:rsid w:val="00225635"/>
    <w:rsid w:val="00234C9D"/>
    <w:rsid w:val="00241E62"/>
    <w:rsid w:val="002429BE"/>
    <w:rsid w:val="00262BED"/>
    <w:rsid w:val="0027690E"/>
    <w:rsid w:val="00287540"/>
    <w:rsid w:val="002C1E37"/>
    <w:rsid w:val="002C2ECE"/>
    <w:rsid w:val="002C7810"/>
    <w:rsid w:val="002D2140"/>
    <w:rsid w:val="002E4B61"/>
    <w:rsid w:val="002E7178"/>
    <w:rsid w:val="002F191E"/>
    <w:rsid w:val="002F2788"/>
    <w:rsid w:val="002F3C90"/>
    <w:rsid w:val="002F7F74"/>
    <w:rsid w:val="003016B7"/>
    <w:rsid w:val="0030212C"/>
    <w:rsid w:val="00303844"/>
    <w:rsid w:val="003050A9"/>
    <w:rsid w:val="00306463"/>
    <w:rsid w:val="00312390"/>
    <w:rsid w:val="00321DFE"/>
    <w:rsid w:val="0032228C"/>
    <w:rsid w:val="003245C1"/>
    <w:rsid w:val="00343B3E"/>
    <w:rsid w:val="00347AD5"/>
    <w:rsid w:val="003572D5"/>
    <w:rsid w:val="00361171"/>
    <w:rsid w:val="00367537"/>
    <w:rsid w:val="00395D99"/>
    <w:rsid w:val="003A15F0"/>
    <w:rsid w:val="003A5579"/>
    <w:rsid w:val="003A66B0"/>
    <w:rsid w:val="003A6AAB"/>
    <w:rsid w:val="003B2750"/>
    <w:rsid w:val="003B4FA5"/>
    <w:rsid w:val="003C044C"/>
    <w:rsid w:val="003C6AD0"/>
    <w:rsid w:val="003D201C"/>
    <w:rsid w:val="003D2C28"/>
    <w:rsid w:val="003D7B41"/>
    <w:rsid w:val="003E06E4"/>
    <w:rsid w:val="003E4A17"/>
    <w:rsid w:val="003F30FF"/>
    <w:rsid w:val="003F4FAB"/>
    <w:rsid w:val="004006F9"/>
    <w:rsid w:val="00401C83"/>
    <w:rsid w:val="00441517"/>
    <w:rsid w:val="004606B2"/>
    <w:rsid w:val="0046615C"/>
    <w:rsid w:val="004678F5"/>
    <w:rsid w:val="00471A2A"/>
    <w:rsid w:val="0047393D"/>
    <w:rsid w:val="00473E8E"/>
    <w:rsid w:val="00475DAA"/>
    <w:rsid w:val="0047729C"/>
    <w:rsid w:val="00485186"/>
    <w:rsid w:val="00496F19"/>
    <w:rsid w:val="004A23FD"/>
    <w:rsid w:val="004B5B54"/>
    <w:rsid w:val="004B5E41"/>
    <w:rsid w:val="004C0417"/>
    <w:rsid w:val="004C3050"/>
    <w:rsid w:val="004C67C4"/>
    <w:rsid w:val="004D35AE"/>
    <w:rsid w:val="004D5F9C"/>
    <w:rsid w:val="004D7194"/>
    <w:rsid w:val="004E64C9"/>
    <w:rsid w:val="004F5472"/>
    <w:rsid w:val="004F67C9"/>
    <w:rsid w:val="0050607C"/>
    <w:rsid w:val="00507535"/>
    <w:rsid w:val="0051501A"/>
    <w:rsid w:val="005369C6"/>
    <w:rsid w:val="00543271"/>
    <w:rsid w:val="0054586D"/>
    <w:rsid w:val="005633E1"/>
    <w:rsid w:val="005644B3"/>
    <w:rsid w:val="00570F1A"/>
    <w:rsid w:val="005712AF"/>
    <w:rsid w:val="00581084"/>
    <w:rsid w:val="00585A65"/>
    <w:rsid w:val="005958F8"/>
    <w:rsid w:val="005970CB"/>
    <w:rsid w:val="005A4EB3"/>
    <w:rsid w:val="005B08EC"/>
    <w:rsid w:val="005B4BF3"/>
    <w:rsid w:val="005B4EE3"/>
    <w:rsid w:val="005B7A75"/>
    <w:rsid w:val="005C0E9E"/>
    <w:rsid w:val="005C0F86"/>
    <w:rsid w:val="005C2116"/>
    <w:rsid w:val="005F20B8"/>
    <w:rsid w:val="005F320F"/>
    <w:rsid w:val="005F7E5B"/>
    <w:rsid w:val="006059F1"/>
    <w:rsid w:val="006159DA"/>
    <w:rsid w:val="00615FEA"/>
    <w:rsid w:val="006234F7"/>
    <w:rsid w:val="00623AFA"/>
    <w:rsid w:val="0063090B"/>
    <w:rsid w:val="0063207F"/>
    <w:rsid w:val="0063602F"/>
    <w:rsid w:val="0064265E"/>
    <w:rsid w:val="00654721"/>
    <w:rsid w:val="00656A09"/>
    <w:rsid w:val="006666C6"/>
    <w:rsid w:val="006674CF"/>
    <w:rsid w:val="00667629"/>
    <w:rsid w:val="00670067"/>
    <w:rsid w:val="00672C76"/>
    <w:rsid w:val="00672D96"/>
    <w:rsid w:val="00673A02"/>
    <w:rsid w:val="0067619F"/>
    <w:rsid w:val="00682591"/>
    <w:rsid w:val="00682AC7"/>
    <w:rsid w:val="00686C41"/>
    <w:rsid w:val="00687EF6"/>
    <w:rsid w:val="00695560"/>
    <w:rsid w:val="006C18F3"/>
    <w:rsid w:val="006E51BF"/>
    <w:rsid w:val="006F7F5A"/>
    <w:rsid w:val="007106F6"/>
    <w:rsid w:val="0071130B"/>
    <w:rsid w:val="00715E36"/>
    <w:rsid w:val="00716920"/>
    <w:rsid w:val="0071770C"/>
    <w:rsid w:val="00727E9A"/>
    <w:rsid w:val="00734A06"/>
    <w:rsid w:val="007460FD"/>
    <w:rsid w:val="00752F43"/>
    <w:rsid w:val="007723A4"/>
    <w:rsid w:val="007748DE"/>
    <w:rsid w:val="007757AD"/>
    <w:rsid w:val="00775B8E"/>
    <w:rsid w:val="0078378F"/>
    <w:rsid w:val="00784857"/>
    <w:rsid w:val="00785A39"/>
    <w:rsid w:val="007A668D"/>
    <w:rsid w:val="007B0637"/>
    <w:rsid w:val="007B1248"/>
    <w:rsid w:val="007B563A"/>
    <w:rsid w:val="007C3185"/>
    <w:rsid w:val="007C440F"/>
    <w:rsid w:val="007C6B71"/>
    <w:rsid w:val="007D5AD5"/>
    <w:rsid w:val="007E2279"/>
    <w:rsid w:val="007E2B9C"/>
    <w:rsid w:val="007E5831"/>
    <w:rsid w:val="007E5D64"/>
    <w:rsid w:val="007E7F5A"/>
    <w:rsid w:val="0080022D"/>
    <w:rsid w:val="00803823"/>
    <w:rsid w:val="0081037D"/>
    <w:rsid w:val="008156B9"/>
    <w:rsid w:val="008237EE"/>
    <w:rsid w:val="00827EC3"/>
    <w:rsid w:val="00835A7F"/>
    <w:rsid w:val="00841A32"/>
    <w:rsid w:val="008538E2"/>
    <w:rsid w:val="008649BF"/>
    <w:rsid w:val="00865820"/>
    <w:rsid w:val="00865D56"/>
    <w:rsid w:val="008669CC"/>
    <w:rsid w:val="00872C2F"/>
    <w:rsid w:val="008819FE"/>
    <w:rsid w:val="00887329"/>
    <w:rsid w:val="008956A9"/>
    <w:rsid w:val="008A0B4B"/>
    <w:rsid w:val="008A7482"/>
    <w:rsid w:val="008B233B"/>
    <w:rsid w:val="008D24EA"/>
    <w:rsid w:val="008D6DCD"/>
    <w:rsid w:val="00900D64"/>
    <w:rsid w:val="00901163"/>
    <w:rsid w:val="00904825"/>
    <w:rsid w:val="00905B8F"/>
    <w:rsid w:val="0091149F"/>
    <w:rsid w:val="00915C1A"/>
    <w:rsid w:val="009207B5"/>
    <w:rsid w:val="00921084"/>
    <w:rsid w:val="00930F11"/>
    <w:rsid w:val="0093129D"/>
    <w:rsid w:val="00931C8D"/>
    <w:rsid w:val="00933232"/>
    <w:rsid w:val="00946EA4"/>
    <w:rsid w:val="00963149"/>
    <w:rsid w:val="00980E15"/>
    <w:rsid w:val="009820A4"/>
    <w:rsid w:val="00986344"/>
    <w:rsid w:val="00992158"/>
    <w:rsid w:val="009A2CA2"/>
    <w:rsid w:val="009A685B"/>
    <w:rsid w:val="009B1188"/>
    <w:rsid w:val="009B2C77"/>
    <w:rsid w:val="009C4718"/>
    <w:rsid w:val="009D0573"/>
    <w:rsid w:val="009D0FCB"/>
    <w:rsid w:val="009D3FE3"/>
    <w:rsid w:val="009E2038"/>
    <w:rsid w:val="009F0674"/>
    <w:rsid w:val="009F1873"/>
    <w:rsid w:val="009F2134"/>
    <w:rsid w:val="00A171CD"/>
    <w:rsid w:val="00A23163"/>
    <w:rsid w:val="00A35B77"/>
    <w:rsid w:val="00A35D4D"/>
    <w:rsid w:val="00A363BA"/>
    <w:rsid w:val="00A43B1F"/>
    <w:rsid w:val="00A43B48"/>
    <w:rsid w:val="00A54DC7"/>
    <w:rsid w:val="00A56A5C"/>
    <w:rsid w:val="00A67CBF"/>
    <w:rsid w:val="00A73B7B"/>
    <w:rsid w:val="00A86956"/>
    <w:rsid w:val="00A90903"/>
    <w:rsid w:val="00A95672"/>
    <w:rsid w:val="00A9778A"/>
    <w:rsid w:val="00AB6D2E"/>
    <w:rsid w:val="00AC14B2"/>
    <w:rsid w:val="00AC7D46"/>
    <w:rsid w:val="00AC7D67"/>
    <w:rsid w:val="00AD6768"/>
    <w:rsid w:val="00AE6B46"/>
    <w:rsid w:val="00AE7072"/>
    <w:rsid w:val="00AF785C"/>
    <w:rsid w:val="00B16C88"/>
    <w:rsid w:val="00B23431"/>
    <w:rsid w:val="00B24C91"/>
    <w:rsid w:val="00B50849"/>
    <w:rsid w:val="00B532CA"/>
    <w:rsid w:val="00B55AF2"/>
    <w:rsid w:val="00B70B51"/>
    <w:rsid w:val="00B8217E"/>
    <w:rsid w:val="00BC262C"/>
    <w:rsid w:val="00BE0BE0"/>
    <w:rsid w:val="00BF427B"/>
    <w:rsid w:val="00C12EE1"/>
    <w:rsid w:val="00C30916"/>
    <w:rsid w:val="00C41E21"/>
    <w:rsid w:val="00C41EA4"/>
    <w:rsid w:val="00C452DF"/>
    <w:rsid w:val="00C45E9A"/>
    <w:rsid w:val="00C51A11"/>
    <w:rsid w:val="00C5487F"/>
    <w:rsid w:val="00C627C9"/>
    <w:rsid w:val="00C62908"/>
    <w:rsid w:val="00C7188C"/>
    <w:rsid w:val="00C72CB9"/>
    <w:rsid w:val="00C77BE6"/>
    <w:rsid w:val="00C90BA4"/>
    <w:rsid w:val="00C96C90"/>
    <w:rsid w:val="00C9733F"/>
    <w:rsid w:val="00CA3FC8"/>
    <w:rsid w:val="00CA5A9D"/>
    <w:rsid w:val="00CB411B"/>
    <w:rsid w:val="00CC52DB"/>
    <w:rsid w:val="00CE4E78"/>
    <w:rsid w:val="00CF71B3"/>
    <w:rsid w:val="00D12344"/>
    <w:rsid w:val="00D202C3"/>
    <w:rsid w:val="00D20D34"/>
    <w:rsid w:val="00D210B0"/>
    <w:rsid w:val="00D21FBF"/>
    <w:rsid w:val="00D24CDE"/>
    <w:rsid w:val="00D27F80"/>
    <w:rsid w:val="00D35BFE"/>
    <w:rsid w:val="00D4015B"/>
    <w:rsid w:val="00D606D3"/>
    <w:rsid w:val="00D80363"/>
    <w:rsid w:val="00D81CDC"/>
    <w:rsid w:val="00D8339E"/>
    <w:rsid w:val="00D83B06"/>
    <w:rsid w:val="00D909F2"/>
    <w:rsid w:val="00DA63CD"/>
    <w:rsid w:val="00DB0474"/>
    <w:rsid w:val="00DB15BC"/>
    <w:rsid w:val="00DB46DE"/>
    <w:rsid w:val="00DB6DE5"/>
    <w:rsid w:val="00DB740D"/>
    <w:rsid w:val="00DC5184"/>
    <w:rsid w:val="00DC5D45"/>
    <w:rsid w:val="00DC6F27"/>
    <w:rsid w:val="00DD0AC3"/>
    <w:rsid w:val="00DE3AAB"/>
    <w:rsid w:val="00DF509B"/>
    <w:rsid w:val="00E005B1"/>
    <w:rsid w:val="00E07C5F"/>
    <w:rsid w:val="00E07EA3"/>
    <w:rsid w:val="00E153DE"/>
    <w:rsid w:val="00E16FA8"/>
    <w:rsid w:val="00E24E56"/>
    <w:rsid w:val="00E271C4"/>
    <w:rsid w:val="00E514AB"/>
    <w:rsid w:val="00E55CFE"/>
    <w:rsid w:val="00E61532"/>
    <w:rsid w:val="00E63C1A"/>
    <w:rsid w:val="00E641B0"/>
    <w:rsid w:val="00E65941"/>
    <w:rsid w:val="00E737A9"/>
    <w:rsid w:val="00E74014"/>
    <w:rsid w:val="00E84753"/>
    <w:rsid w:val="00E902BB"/>
    <w:rsid w:val="00E91A7C"/>
    <w:rsid w:val="00EA1D68"/>
    <w:rsid w:val="00EA6C84"/>
    <w:rsid w:val="00EA73E4"/>
    <w:rsid w:val="00EB0D22"/>
    <w:rsid w:val="00EB384E"/>
    <w:rsid w:val="00EB668B"/>
    <w:rsid w:val="00EC0304"/>
    <w:rsid w:val="00EC36D5"/>
    <w:rsid w:val="00ED1021"/>
    <w:rsid w:val="00ED1F13"/>
    <w:rsid w:val="00ED4E43"/>
    <w:rsid w:val="00ED72A8"/>
    <w:rsid w:val="00EF1FDE"/>
    <w:rsid w:val="00EF3DD4"/>
    <w:rsid w:val="00EF3DE4"/>
    <w:rsid w:val="00F0477F"/>
    <w:rsid w:val="00F211DC"/>
    <w:rsid w:val="00F2240F"/>
    <w:rsid w:val="00F26ACA"/>
    <w:rsid w:val="00F30BB3"/>
    <w:rsid w:val="00F3709B"/>
    <w:rsid w:val="00F503A3"/>
    <w:rsid w:val="00F61B06"/>
    <w:rsid w:val="00F61E31"/>
    <w:rsid w:val="00F63D88"/>
    <w:rsid w:val="00F666C2"/>
    <w:rsid w:val="00F708A3"/>
    <w:rsid w:val="00F70A98"/>
    <w:rsid w:val="00F75422"/>
    <w:rsid w:val="00F86044"/>
    <w:rsid w:val="00F86155"/>
    <w:rsid w:val="00F87C1A"/>
    <w:rsid w:val="00F90A07"/>
    <w:rsid w:val="00FA05CC"/>
    <w:rsid w:val="00FA3596"/>
    <w:rsid w:val="00FB3B13"/>
    <w:rsid w:val="00FB5DA2"/>
    <w:rsid w:val="00FD4CDC"/>
    <w:rsid w:val="00FE0F01"/>
    <w:rsid w:val="00FE4A93"/>
    <w:rsid w:val="00FE5AD3"/>
    <w:rsid w:val="00FE6646"/>
    <w:rsid w:val="00FF0A7E"/>
    <w:rsid w:val="00FF3497"/>
    <w:rsid w:val="00FF5778"/>
    <w:rsid w:val="00FF7D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96689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4DD7"/>
    <w:rPr>
      <w:rFonts w:ascii="Times New Roman" w:hAnsi="Times New Roman" w:cs="Times New Roman"/>
    </w:rPr>
  </w:style>
  <w:style w:type="paragraph" w:styleId="Heading1">
    <w:name w:val="heading 1"/>
    <w:basedOn w:val="Normal"/>
    <w:link w:val="Heading1Char"/>
    <w:uiPriority w:val="9"/>
    <w:qFormat/>
    <w:rsid w:val="004006F9"/>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C7D46"/>
    <w:rPr>
      <w:sz w:val="18"/>
      <w:szCs w:val="18"/>
    </w:rPr>
  </w:style>
  <w:style w:type="paragraph" w:styleId="CommentText">
    <w:name w:val="annotation text"/>
    <w:basedOn w:val="Normal"/>
    <w:link w:val="CommentTextChar"/>
    <w:uiPriority w:val="99"/>
    <w:semiHidden/>
    <w:unhideWhenUsed/>
    <w:rsid w:val="00AC7D46"/>
    <w:pPr>
      <w:pBdr>
        <w:top w:val="nil"/>
        <w:left w:val="nil"/>
        <w:bottom w:val="nil"/>
        <w:right w:val="nil"/>
        <w:between w:val="nil"/>
      </w:pBdr>
      <w:spacing w:after="160"/>
    </w:pPr>
    <w:rPr>
      <w:rFonts w:ascii="Calibri" w:eastAsia="Calibri" w:hAnsi="Calibri" w:cs="Calibri"/>
      <w:color w:val="000000"/>
    </w:rPr>
  </w:style>
  <w:style w:type="character" w:customStyle="1" w:styleId="CommentTextChar">
    <w:name w:val="Comment Text Char"/>
    <w:basedOn w:val="DefaultParagraphFont"/>
    <w:link w:val="CommentText"/>
    <w:uiPriority w:val="99"/>
    <w:semiHidden/>
    <w:rsid w:val="00AC7D46"/>
    <w:rPr>
      <w:rFonts w:ascii="Calibri" w:eastAsia="Calibri" w:hAnsi="Calibri" w:cs="Calibri"/>
      <w:color w:val="000000"/>
    </w:rPr>
  </w:style>
  <w:style w:type="paragraph" w:styleId="CommentSubject">
    <w:name w:val="annotation subject"/>
    <w:basedOn w:val="CommentText"/>
    <w:next w:val="CommentText"/>
    <w:link w:val="CommentSubjectChar"/>
    <w:uiPriority w:val="99"/>
    <w:semiHidden/>
    <w:unhideWhenUsed/>
    <w:rsid w:val="00AC7D46"/>
    <w:rPr>
      <w:b/>
      <w:bCs/>
      <w:sz w:val="20"/>
      <w:szCs w:val="20"/>
    </w:rPr>
  </w:style>
  <w:style w:type="character" w:customStyle="1" w:styleId="CommentSubjectChar">
    <w:name w:val="Comment Subject Char"/>
    <w:basedOn w:val="CommentTextChar"/>
    <w:link w:val="CommentSubject"/>
    <w:uiPriority w:val="99"/>
    <w:semiHidden/>
    <w:rsid w:val="00AC7D46"/>
    <w:rPr>
      <w:rFonts w:ascii="Calibri" w:eastAsia="Calibri" w:hAnsi="Calibri" w:cs="Calibri"/>
      <w:b/>
      <w:bCs/>
      <w:color w:val="000000"/>
      <w:sz w:val="20"/>
      <w:szCs w:val="20"/>
    </w:rPr>
  </w:style>
  <w:style w:type="paragraph" w:styleId="BalloonText">
    <w:name w:val="Balloon Text"/>
    <w:basedOn w:val="Normal"/>
    <w:link w:val="BalloonTextChar"/>
    <w:uiPriority w:val="99"/>
    <w:semiHidden/>
    <w:unhideWhenUsed/>
    <w:rsid w:val="00AC7D46"/>
    <w:pPr>
      <w:pBdr>
        <w:top w:val="nil"/>
        <w:left w:val="nil"/>
        <w:bottom w:val="nil"/>
        <w:right w:val="nil"/>
        <w:between w:val="nil"/>
      </w:pBdr>
    </w:pPr>
    <w:rPr>
      <w:rFonts w:eastAsia="Calibri"/>
      <w:color w:val="000000"/>
      <w:sz w:val="18"/>
      <w:szCs w:val="18"/>
    </w:rPr>
  </w:style>
  <w:style w:type="character" w:customStyle="1" w:styleId="BalloonTextChar">
    <w:name w:val="Balloon Text Char"/>
    <w:basedOn w:val="DefaultParagraphFont"/>
    <w:link w:val="BalloonText"/>
    <w:uiPriority w:val="99"/>
    <w:semiHidden/>
    <w:rsid w:val="00AC7D46"/>
    <w:rPr>
      <w:rFonts w:ascii="Times New Roman" w:eastAsia="Calibri" w:hAnsi="Times New Roman" w:cs="Times New Roman"/>
      <w:color w:val="000000"/>
      <w:sz w:val="18"/>
      <w:szCs w:val="18"/>
    </w:rPr>
  </w:style>
  <w:style w:type="paragraph" w:styleId="NoSpacing">
    <w:name w:val="No Spacing"/>
    <w:uiPriority w:val="1"/>
    <w:qFormat/>
    <w:rsid w:val="00581084"/>
    <w:rPr>
      <w:rFonts w:ascii="Times New Roman" w:eastAsiaTheme="minorEastAsia" w:hAnsi="Times New Roman"/>
      <w:lang w:eastAsia="ja-JP"/>
    </w:rPr>
  </w:style>
  <w:style w:type="character" w:styleId="Hyperlink">
    <w:name w:val="Hyperlink"/>
    <w:basedOn w:val="DefaultParagraphFont"/>
    <w:uiPriority w:val="99"/>
    <w:unhideWhenUsed/>
    <w:rsid w:val="00581084"/>
    <w:rPr>
      <w:color w:val="0563C1" w:themeColor="hyperlink"/>
      <w:u w:val="single"/>
    </w:rPr>
  </w:style>
  <w:style w:type="paragraph" w:styleId="ListParagraph">
    <w:name w:val="List Paragraph"/>
    <w:basedOn w:val="Normal"/>
    <w:uiPriority w:val="34"/>
    <w:qFormat/>
    <w:rsid w:val="0091149F"/>
    <w:pPr>
      <w:ind w:left="720"/>
      <w:contextualSpacing/>
    </w:pPr>
  </w:style>
  <w:style w:type="paragraph" w:styleId="Revision">
    <w:name w:val="Revision"/>
    <w:hidden/>
    <w:uiPriority w:val="99"/>
    <w:semiHidden/>
    <w:rsid w:val="00DB46DE"/>
    <w:rPr>
      <w:rFonts w:ascii="Times New Roman" w:hAnsi="Times New Roman" w:cs="Times New Roman"/>
    </w:rPr>
  </w:style>
  <w:style w:type="character" w:customStyle="1" w:styleId="apple-converted-space">
    <w:name w:val="apple-converted-space"/>
    <w:basedOn w:val="DefaultParagraphFont"/>
    <w:rsid w:val="00727E9A"/>
  </w:style>
  <w:style w:type="paragraph" w:styleId="NormalWeb">
    <w:name w:val="Normal (Web)"/>
    <w:basedOn w:val="Normal"/>
    <w:uiPriority w:val="99"/>
    <w:semiHidden/>
    <w:unhideWhenUsed/>
    <w:rsid w:val="00727E9A"/>
    <w:pPr>
      <w:spacing w:before="100" w:beforeAutospacing="1" w:after="100" w:afterAutospacing="1"/>
    </w:pPr>
  </w:style>
  <w:style w:type="paragraph" w:customStyle="1" w:styleId="Default">
    <w:name w:val="Default"/>
    <w:rsid w:val="0081037D"/>
    <w:pPr>
      <w:autoSpaceDE w:val="0"/>
      <w:autoSpaceDN w:val="0"/>
      <w:adjustRightInd w:val="0"/>
    </w:pPr>
    <w:rPr>
      <w:rFonts w:ascii="Times New Roman" w:hAnsi="Times New Roman" w:cs="Times New Roman"/>
      <w:color w:val="000000"/>
    </w:rPr>
  </w:style>
  <w:style w:type="paragraph" w:customStyle="1" w:styleId="Style1">
    <w:name w:val="Style1"/>
    <w:basedOn w:val="Normal"/>
    <w:next w:val="Default"/>
    <w:qFormat/>
    <w:rsid w:val="0081037D"/>
    <w:pPr>
      <w:spacing w:after="3" w:line="247" w:lineRule="auto"/>
    </w:pPr>
    <w:rPr>
      <w:rFonts w:asciiTheme="minorHAnsi" w:eastAsia="Garamond" w:hAnsiTheme="minorHAnsi" w:cs="Garamond"/>
      <w:color w:val="000000"/>
      <w:szCs w:val="22"/>
    </w:rPr>
  </w:style>
  <w:style w:type="paragraph" w:styleId="Footer">
    <w:name w:val="footer"/>
    <w:basedOn w:val="Normal"/>
    <w:link w:val="FooterChar"/>
    <w:uiPriority w:val="99"/>
    <w:unhideWhenUsed/>
    <w:rsid w:val="00361171"/>
    <w:pPr>
      <w:tabs>
        <w:tab w:val="center" w:pos="4680"/>
        <w:tab w:val="right" w:pos="9360"/>
      </w:tabs>
    </w:pPr>
  </w:style>
  <w:style w:type="character" w:customStyle="1" w:styleId="FooterChar">
    <w:name w:val="Footer Char"/>
    <w:basedOn w:val="DefaultParagraphFont"/>
    <w:link w:val="Footer"/>
    <w:uiPriority w:val="99"/>
    <w:rsid w:val="00361171"/>
    <w:rPr>
      <w:rFonts w:ascii="Times New Roman" w:hAnsi="Times New Roman" w:cs="Times New Roman"/>
    </w:rPr>
  </w:style>
  <w:style w:type="character" w:styleId="PageNumber">
    <w:name w:val="page number"/>
    <w:basedOn w:val="DefaultParagraphFont"/>
    <w:uiPriority w:val="99"/>
    <w:semiHidden/>
    <w:unhideWhenUsed/>
    <w:rsid w:val="00361171"/>
  </w:style>
  <w:style w:type="character" w:customStyle="1" w:styleId="Heading1Char">
    <w:name w:val="Heading 1 Char"/>
    <w:basedOn w:val="DefaultParagraphFont"/>
    <w:link w:val="Heading1"/>
    <w:uiPriority w:val="9"/>
    <w:rsid w:val="004006F9"/>
    <w:rPr>
      <w:rFonts w:ascii="Times New Roman" w:hAnsi="Times New Roman" w:cs="Times New Roman"/>
      <w:b/>
      <w:bCs/>
      <w:kern w:val="36"/>
      <w:sz w:val="48"/>
      <w:szCs w:val="48"/>
    </w:rPr>
  </w:style>
  <w:style w:type="character" w:styleId="FollowedHyperlink">
    <w:name w:val="FollowedHyperlink"/>
    <w:basedOn w:val="DefaultParagraphFont"/>
    <w:uiPriority w:val="99"/>
    <w:semiHidden/>
    <w:unhideWhenUsed/>
    <w:rsid w:val="002F191E"/>
    <w:rPr>
      <w:color w:val="954F72" w:themeColor="followedHyperlink"/>
      <w:u w:val="single"/>
    </w:rPr>
  </w:style>
  <w:style w:type="character" w:styleId="Emphasis">
    <w:name w:val="Emphasis"/>
    <w:basedOn w:val="DefaultParagraphFont"/>
    <w:uiPriority w:val="20"/>
    <w:qFormat/>
    <w:rsid w:val="000279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745580">
      <w:bodyDiv w:val="1"/>
      <w:marLeft w:val="0"/>
      <w:marRight w:val="0"/>
      <w:marTop w:val="0"/>
      <w:marBottom w:val="0"/>
      <w:divBdr>
        <w:top w:val="none" w:sz="0" w:space="0" w:color="auto"/>
        <w:left w:val="none" w:sz="0" w:space="0" w:color="auto"/>
        <w:bottom w:val="none" w:sz="0" w:space="0" w:color="auto"/>
        <w:right w:val="none" w:sz="0" w:space="0" w:color="auto"/>
      </w:divBdr>
    </w:div>
    <w:div w:id="385760444">
      <w:bodyDiv w:val="1"/>
      <w:marLeft w:val="0"/>
      <w:marRight w:val="0"/>
      <w:marTop w:val="0"/>
      <w:marBottom w:val="0"/>
      <w:divBdr>
        <w:top w:val="none" w:sz="0" w:space="0" w:color="auto"/>
        <w:left w:val="none" w:sz="0" w:space="0" w:color="auto"/>
        <w:bottom w:val="none" w:sz="0" w:space="0" w:color="auto"/>
        <w:right w:val="none" w:sz="0" w:space="0" w:color="auto"/>
      </w:divBdr>
    </w:div>
    <w:div w:id="397745847">
      <w:bodyDiv w:val="1"/>
      <w:marLeft w:val="0"/>
      <w:marRight w:val="0"/>
      <w:marTop w:val="0"/>
      <w:marBottom w:val="0"/>
      <w:divBdr>
        <w:top w:val="none" w:sz="0" w:space="0" w:color="auto"/>
        <w:left w:val="none" w:sz="0" w:space="0" w:color="auto"/>
        <w:bottom w:val="none" w:sz="0" w:space="0" w:color="auto"/>
        <w:right w:val="none" w:sz="0" w:space="0" w:color="auto"/>
      </w:divBdr>
    </w:div>
    <w:div w:id="443161184">
      <w:bodyDiv w:val="1"/>
      <w:marLeft w:val="0"/>
      <w:marRight w:val="0"/>
      <w:marTop w:val="0"/>
      <w:marBottom w:val="0"/>
      <w:divBdr>
        <w:top w:val="none" w:sz="0" w:space="0" w:color="auto"/>
        <w:left w:val="none" w:sz="0" w:space="0" w:color="auto"/>
        <w:bottom w:val="none" w:sz="0" w:space="0" w:color="auto"/>
        <w:right w:val="none" w:sz="0" w:space="0" w:color="auto"/>
      </w:divBdr>
    </w:div>
    <w:div w:id="466440381">
      <w:bodyDiv w:val="1"/>
      <w:marLeft w:val="0"/>
      <w:marRight w:val="0"/>
      <w:marTop w:val="0"/>
      <w:marBottom w:val="0"/>
      <w:divBdr>
        <w:top w:val="none" w:sz="0" w:space="0" w:color="auto"/>
        <w:left w:val="none" w:sz="0" w:space="0" w:color="auto"/>
        <w:bottom w:val="none" w:sz="0" w:space="0" w:color="auto"/>
        <w:right w:val="none" w:sz="0" w:space="0" w:color="auto"/>
      </w:divBdr>
    </w:div>
    <w:div w:id="567619058">
      <w:bodyDiv w:val="1"/>
      <w:marLeft w:val="0"/>
      <w:marRight w:val="0"/>
      <w:marTop w:val="0"/>
      <w:marBottom w:val="0"/>
      <w:divBdr>
        <w:top w:val="none" w:sz="0" w:space="0" w:color="auto"/>
        <w:left w:val="none" w:sz="0" w:space="0" w:color="auto"/>
        <w:bottom w:val="none" w:sz="0" w:space="0" w:color="auto"/>
        <w:right w:val="none" w:sz="0" w:space="0" w:color="auto"/>
      </w:divBdr>
    </w:div>
    <w:div w:id="1191916390">
      <w:bodyDiv w:val="1"/>
      <w:marLeft w:val="0"/>
      <w:marRight w:val="0"/>
      <w:marTop w:val="0"/>
      <w:marBottom w:val="0"/>
      <w:divBdr>
        <w:top w:val="none" w:sz="0" w:space="0" w:color="auto"/>
        <w:left w:val="none" w:sz="0" w:space="0" w:color="auto"/>
        <w:bottom w:val="none" w:sz="0" w:space="0" w:color="auto"/>
        <w:right w:val="none" w:sz="0" w:space="0" w:color="auto"/>
      </w:divBdr>
    </w:div>
    <w:div w:id="1325429492">
      <w:bodyDiv w:val="1"/>
      <w:marLeft w:val="0"/>
      <w:marRight w:val="0"/>
      <w:marTop w:val="0"/>
      <w:marBottom w:val="0"/>
      <w:divBdr>
        <w:top w:val="none" w:sz="0" w:space="0" w:color="auto"/>
        <w:left w:val="none" w:sz="0" w:space="0" w:color="auto"/>
        <w:bottom w:val="none" w:sz="0" w:space="0" w:color="auto"/>
        <w:right w:val="none" w:sz="0" w:space="0" w:color="auto"/>
      </w:divBdr>
      <w:divsChild>
        <w:div w:id="203833881">
          <w:marLeft w:val="0"/>
          <w:marRight w:val="0"/>
          <w:marTop w:val="0"/>
          <w:marBottom w:val="0"/>
          <w:divBdr>
            <w:top w:val="none" w:sz="0" w:space="0" w:color="auto"/>
            <w:left w:val="none" w:sz="0" w:space="0" w:color="auto"/>
            <w:bottom w:val="none" w:sz="0" w:space="0" w:color="auto"/>
            <w:right w:val="none" w:sz="0" w:space="0" w:color="auto"/>
          </w:divBdr>
          <w:divsChild>
            <w:div w:id="1891073607">
              <w:marLeft w:val="0"/>
              <w:marRight w:val="0"/>
              <w:marTop w:val="0"/>
              <w:marBottom w:val="0"/>
              <w:divBdr>
                <w:top w:val="none" w:sz="0" w:space="0" w:color="auto"/>
                <w:left w:val="none" w:sz="0" w:space="0" w:color="auto"/>
                <w:bottom w:val="none" w:sz="0" w:space="0" w:color="auto"/>
                <w:right w:val="none" w:sz="0" w:space="0" w:color="auto"/>
              </w:divBdr>
              <w:divsChild>
                <w:div w:id="160361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301803">
      <w:bodyDiv w:val="1"/>
      <w:marLeft w:val="0"/>
      <w:marRight w:val="0"/>
      <w:marTop w:val="0"/>
      <w:marBottom w:val="0"/>
      <w:divBdr>
        <w:top w:val="none" w:sz="0" w:space="0" w:color="auto"/>
        <w:left w:val="none" w:sz="0" w:space="0" w:color="auto"/>
        <w:bottom w:val="none" w:sz="0" w:space="0" w:color="auto"/>
        <w:right w:val="none" w:sz="0" w:space="0" w:color="auto"/>
      </w:divBdr>
    </w:div>
    <w:div w:id="1752850177">
      <w:bodyDiv w:val="1"/>
      <w:marLeft w:val="0"/>
      <w:marRight w:val="0"/>
      <w:marTop w:val="0"/>
      <w:marBottom w:val="0"/>
      <w:divBdr>
        <w:top w:val="none" w:sz="0" w:space="0" w:color="auto"/>
        <w:left w:val="none" w:sz="0" w:space="0" w:color="auto"/>
        <w:bottom w:val="none" w:sz="0" w:space="0" w:color="auto"/>
        <w:right w:val="none" w:sz="0" w:space="0" w:color="auto"/>
      </w:divBdr>
    </w:div>
    <w:div w:id="1822382139">
      <w:bodyDiv w:val="1"/>
      <w:marLeft w:val="0"/>
      <w:marRight w:val="0"/>
      <w:marTop w:val="0"/>
      <w:marBottom w:val="0"/>
      <w:divBdr>
        <w:top w:val="none" w:sz="0" w:space="0" w:color="auto"/>
        <w:left w:val="none" w:sz="0" w:space="0" w:color="auto"/>
        <w:bottom w:val="none" w:sz="0" w:space="0" w:color="auto"/>
        <w:right w:val="none" w:sz="0" w:space="0" w:color="auto"/>
      </w:divBdr>
    </w:div>
    <w:div w:id="1915628539">
      <w:bodyDiv w:val="1"/>
      <w:marLeft w:val="0"/>
      <w:marRight w:val="0"/>
      <w:marTop w:val="0"/>
      <w:marBottom w:val="0"/>
      <w:divBdr>
        <w:top w:val="none" w:sz="0" w:space="0" w:color="auto"/>
        <w:left w:val="none" w:sz="0" w:space="0" w:color="auto"/>
        <w:bottom w:val="none" w:sz="0" w:space="0" w:color="auto"/>
        <w:right w:val="none" w:sz="0" w:space="0" w:color="auto"/>
      </w:divBdr>
    </w:div>
    <w:div w:id="1919636783">
      <w:bodyDiv w:val="1"/>
      <w:marLeft w:val="0"/>
      <w:marRight w:val="0"/>
      <w:marTop w:val="0"/>
      <w:marBottom w:val="0"/>
      <w:divBdr>
        <w:top w:val="none" w:sz="0" w:space="0" w:color="auto"/>
        <w:left w:val="none" w:sz="0" w:space="0" w:color="auto"/>
        <w:bottom w:val="none" w:sz="0" w:space="0" w:color="auto"/>
        <w:right w:val="none" w:sz="0" w:space="0" w:color="auto"/>
      </w:divBdr>
      <w:divsChild>
        <w:div w:id="2083289076">
          <w:marLeft w:val="0"/>
          <w:marRight w:val="0"/>
          <w:marTop w:val="0"/>
          <w:marBottom w:val="0"/>
          <w:divBdr>
            <w:top w:val="none" w:sz="0" w:space="0" w:color="auto"/>
            <w:left w:val="none" w:sz="0" w:space="0" w:color="auto"/>
            <w:bottom w:val="none" w:sz="0" w:space="0" w:color="auto"/>
            <w:right w:val="none" w:sz="0" w:space="0" w:color="auto"/>
          </w:divBdr>
          <w:divsChild>
            <w:div w:id="1672827463">
              <w:marLeft w:val="0"/>
              <w:marRight w:val="0"/>
              <w:marTop w:val="0"/>
              <w:marBottom w:val="0"/>
              <w:divBdr>
                <w:top w:val="none" w:sz="0" w:space="0" w:color="auto"/>
                <w:left w:val="none" w:sz="0" w:space="0" w:color="auto"/>
                <w:bottom w:val="none" w:sz="0" w:space="0" w:color="auto"/>
                <w:right w:val="none" w:sz="0" w:space="0" w:color="auto"/>
              </w:divBdr>
              <w:divsChild>
                <w:div w:id="92834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1692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cademic.oup.com/sw/article-abstract/63/4/370/5077506"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oteus.com/press-releases/otsuka-and-proteus-announce-the-first-us-fda-approval-of-a-digital-medicine-system-abilify-mycit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nosmag.org/compliance-tracking-drugs-violate-human-rights-abilify-mycite/" TargetMode="External"/><Relationship Id="rId4" Type="http://schemas.openxmlformats.org/officeDocument/2006/relationships/settings" Target="settings.xml"/><Relationship Id="rId9" Type="http://schemas.openxmlformats.org/officeDocument/2006/relationships/hyperlink" Target="http://doi.org/10.4065/mcp.2010.0575"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76E94-947E-4385-926C-78658065F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2075</Words>
  <Characters>11834</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SSW, UW</Company>
  <LinksUpToDate>false</LinksUpToDate>
  <CharactersWithSpaces>13882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Clara Berridge</cp:lastModifiedBy>
  <cp:revision>2</cp:revision>
  <cp:lastPrinted>2018-01-30T19:38:00Z</cp:lastPrinted>
  <dcterms:created xsi:type="dcterms:W3CDTF">2019-12-27T00:33:00Z</dcterms:created>
  <dcterms:modified xsi:type="dcterms:W3CDTF">2019-12-27T00:33:00Z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id="rN3YsDf6"/&gt;&lt;style id="http://www.zotero.org/styles/apa" locale="en-US" hasBibliography="1" bibliographyStyleHasBeenSet="0"/&gt;&lt;prefs&gt;&lt;pref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