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895708" w14:textId="5BC7EFA7" w:rsidR="001F1BDC" w:rsidRPr="003D3552" w:rsidRDefault="00B36522" w:rsidP="003D3552">
      <w:pPr>
        <w:pStyle w:val="Heading1"/>
        <w:spacing w:after="120" w:line="480" w:lineRule="auto"/>
      </w:pPr>
      <w:r w:rsidRPr="003D3552">
        <w:t xml:space="preserve">Appendix </w:t>
      </w:r>
      <w:r w:rsidR="003D3552">
        <w:t>1</w:t>
      </w:r>
      <w:r w:rsidRPr="003D3552">
        <w:t>. Supplemental field work detail</w:t>
      </w:r>
    </w:p>
    <w:p w14:paraId="28D92E0E" w14:textId="77777777" w:rsidR="00B36522" w:rsidRPr="003D3552" w:rsidRDefault="00B36522" w:rsidP="003D3552">
      <w:pPr>
        <w:spacing w:after="0" w:line="480" w:lineRule="auto"/>
        <w:rPr>
          <w:rFonts w:ascii="Times New Roman" w:hAnsi="Times New Roman" w:cs="Times New Roman"/>
          <w:i/>
          <w:iCs/>
          <w:sz w:val="24"/>
          <w:szCs w:val="24"/>
        </w:rPr>
      </w:pPr>
      <w:r w:rsidRPr="003D3552">
        <w:rPr>
          <w:rFonts w:ascii="Times New Roman" w:hAnsi="Times New Roman" w:cs="Times New Roman"/>
          <w:i/>
          <w:iCs/>
          <w:sz w:val="24"/>
          <w:szCs w:val="24"/>
        </w:rPr>
        <w:t>Pickett Creek</w:t>
      </w:r>
    </w:p>
    <w:p w14:paraId="2EC8A87A" w14:textId="323C3C12"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Both Site I and Site II of Buechler et al. </w:t>
      </w:r>
      <w:r w:rsidRPr="003D3552">
        <w:rPr>
          <w:rFonts w:ascii="Times New Roman" w:hAnsi="Times New Roman" w:cs="Times New Roman"/>
          <w:sz w:val="24"/>
          <w:szCs w:val="24"/>
        </w:rPr>
        <w:fldChar w:fldCharType="begin"/>
      </w:r>
      <w:r w:rsidRPr="003D3552">
        <w:rPr>
          <w:rFonts w:ascii="Times New Roman" w:hAnsi="Times New Roman" w:cs="Times New Roman"/>
          <w:sz w:val="24"/>
          <w:szCs w:val="24"/>
        </w:rPr>
        <w:instrText xml:space="preserve"> ADDIN ZOTERO_ITEM CSL_CITATION {"citationID":"SgZJ1nyY","properties":{"formattedCitation":"(2007)","plainCitation":"(2007)","noteIndex":0},"citationItems":[{"id":1172,"uris":["http://zotero.org/users/local/GNd40AzT/items/TDGCG3RB"],"itemData":{"id":1172,"type":"article-journal","container-title":"Contributions from the Museum of Paleontology, the University of Michigan","issue":"12","note":"publisher: Museum of Paleontology, The University of Michigan","page":"305-362","title":"Late Miocene Pickett Creek flora of Owyhee County, Idaho","volume":"31","author":[{"family":"Buechler","given":"Walter K"},{"family":"Dunn","given":"Michael T"},{"family":"Rember","given":"William C"}],"issued":{"date-parts":[["2007"]]}},"label":"page","suppress-author":true}],"schema":"https://github.com/citation-style-language/schema/raw/master/csl-citation.json"} </w:instrText>
      </w:r>
      <w:r w:rsidRPr="003D3552">
        <w:rPr>
          <w:rFonts w:ascii="Times New Roman" w:hAnsi="Times New Roman" w:cs="Times New Roman"/>
          <w:sz w:val="24"/>
          <w:szCs w:val="24"/>
        </w:rPr>
        <w:fldChar w:fldCharType="separate"/>
      </w:r>
      <w:r w:rsidRPr="003D3552">
        <w:rPr>
          <w:rFonts w:ascii="Times New Roman" w:hAnsi="Times New Roman" w:cs="Times New Roman"/>
          <w:sz w:val="24"/>
          <w:szCs w:val="24"/>
        </w:rPr>
        <w:t>(2007)</w:t>
      </w:r>
      <w:r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were located. Tuff for radiometric dating and most rock samples for pollen and phytolith extraction were sampled from Site I, although one sample was taken from Site II. We re-measured the stratigraphic section of Site I and identified unit boundaries reported by Buechler et al (2007). In several cases unit thicknesses measured by us differed slightly from those reported in Buechler et al. (2007). For example, we measured to the M to N boundary at -170 cm depth below the grey tuff marker bed, instead of -148 cm reported previously. The upper ash in the image below was radiometrically dated in this study (sample 19P2-0.00).</w:t>
      </w:r>
    </w:p>
    <w:p w14:paraId="62F41E8B" w14:textId="77777777"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4C4386EC" wp14:editId="559BF3BC">
            <wp:extent cx="3969385" cy="2419075"/>
            <wp:effectExtent l="0" t="0" r="0" b="635"/>
            <wp:docPr id="1867561151" name="Picture 3" descr="A group of people working in a rocky are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561151" name="Picture 3" descr="A group of people working in a rocky area&#10;&#10;Description automatically generated"/>
                    <pic:cNvPicPr/>
                  </pic:nvPicPr>
                  <pic:blipFill rotWithShape="1">
                    <a:blip r:embed="rId5" cstate="print">
                      <a:extLst>
                        <a:ext uri="{28A0092B-C50C-407E-A947-70E740481C1C}">
                          <a14:useLocalDpi xmlns:a14="http://schemas.microsoft.com/office/drawing/2010/main" val="0"/>
                        </a:ext>
                      </a:extLst>
                    </a:blip>
                    <a:srcRect t="18592"/>
                    <a:stretch/>
                  </pic:blipFill>
                  <pic:spPr bwMode="auto">
                    <a:xfrm>
                      <a:off x="0" y="0"/>
                      <a:ext cx="3991154" cy="2432342"/>
                    </a:xfrm>
                    <a:prstGeom prst="rect">
                      <a:avLst/>
                    </a:prstGeom>
                    <a:ln>
                      <a:noFill/>
                    </a:ln>
                    <a:extLst>
                      <a:ext uri="{53640926-AAD7-44D8-BBD7-CCE9431645EC}">
                        <a14:shadowObscured xmlns:a14="http://schemas.microsoft.com/office/drawing/2010/main"/>
                      </a:ext>
                    </a:extLst>
                  </pic:spPr>
                </pic:pic>
              </a:graphicData>
            </a:graphic>
          </wp:inline>
        </w:drawing>
      </w:r>
    </w:p>
    <w:p w14:paraId="4A44AC9D" w14:textId="77777777"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i/>
          <w:iCs/>
          <w:sz w:val="24"/>
          <w:szCs w:val="24"/>
        </w:rPr>
        <w:t>Trapper Creek</w:t>
      </w:r>
    </w:p>
    <w:p w14:paraId="479ECF03" w14:textId="5B40CB36"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Axelrod </w:t>
      </w:r>
      <w:r w:rsidRPr="003D3552">
        <w:rPr>
          <w:rFonts w:ascii="Times New Roman" w:hAnsi="Times New Roman" w:cs="Times New Roman"/>
          <w:sz w:val="24"/>
          <w:szCs w:val="24"/>
        </w:rPr>
        <w:fldChar w:fldCharType="begin"/>
      </w:r>
      <w:r w:rsidRPr="003D3552">
        <w:rPr>
          <w:rFonts w:ascii="Times New Roman" w:hAnsi="Times New Roman" w:cs="Times New Roman"/>
          <w:sz w:val="24"/>
          <w:szCs w:val="24"/>
        </w:rPr>
        <w:instrText xml:space="preserve"> ADDIN ZOTERO_ITEM CSL_CITATION {"citationID":"U2E3REkv","properties":{"formattedCitation":"(1964)","plainCitation":"(1964)","noteIndex":0},"citationItems":[{"id":1065,"uris":["http://zotero.org/users/local/GNd40AzT/items/W5LDBUBK"],"itemData":{"id":1065,"type":"article-journal","container-title":"University of California Publications in the Geological Sciences","page":"148","title":"The Miocene Trapper Creek flora of southern Idaho","volume":"51","author":[{"family":"Axelrod","given":"Daniel I."}],"issued":{"date-parts":[["1964"]]}},"label":"page","suppress-author":true}],"schema":"https://github.com/citation-style-language/schema/raw/master/csl-citation.json"} </w:instrText>
      </w:r>
      <w:r w:rsidRPr="003D3552">
        <w:rPr>
          <w:rFonts w:ascii="Times New Roman" w:hAnsi="Times New Roman" w:cs="Times New Roman"/>
          <w:sz w:val="24"/>
          <w:szCs w:val="24"/>
        </w:rPr>
        <w:fldChar w:fldCharType="separate"/>
      </w:r>
      <w:r w:rsidRPr="003D3552">
        <w:rPr>
          <w:rFonts w:ascii="Times New Roman" w:hAnsi="Times New Roman" w:cs="Times New Roman"/>
          <w:sz w:val="24"/>
          <w:szCs w:val="24"/>
        </w:rPr>
        <w:t>(1964)</w:t>
      </w:r>
      <w:r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reports that fossil plants incorporated in his study come from the upper 30 feet of the Beaverdam Formation, in a number of exposures in a natural amphitheater, where plant-bearing strata crop out part way of the hill slope, or as stated in the pl. 1 fig. 1 caption, in the </w:t>
      </w:r>
      <w:r w:rsidRPr="003D3552">
        <w:rPr>
          <w:rFonts w:ascii="Times New Roman" w:hAnsi="Times New Roman" w:cs="Times New Roman"/>
          <w:sz w:val="24"/>
          <w:szCs w:val="24"/>
        </w:rPr>
        <w:lastRenderedPageBreak/>
        <w:t xml:space="preserve">middle and lower parts of the trenched slope. We refer to this as the ‘Amphitheater’. Axelrod had told Patrick Fields some years ago that fossils were collected from large blocks dislodged when the Amphitheater was terraced without precise knowledge of their original stratigraphic position (P. Fields, personal communication). Mainly poorly bedded siltstones of the Beaverdam Fm. constitute the bottom of the terraced Amphitheater, while the overlying Tuff of Ibex Peak, which is mainly light-colored volcaniclastic sandstones make up the rest of the hill above. That is to say, the stratigraphic location of those blocks </w:t>
      </w:r>
      <w:proofErr w:type="gramStart"/>
      <w:r w:rsidRPr="003D3552">
        <w:rPr>
          <w:rFonts w:ascii="Times New Roman" w:hAnsi="Times New Roman" w:cs="Times New Roman"/>
          <w:sz w:val="24"/>
          <w:szCs w:val="24"/>
        </w:rPr>
        <w:t>are</w:t>
      </w:r>
      <w:proofErr w:type="gramEnd"/>
      <w:r w:rsidRPr="003D3552">
        <w:rPr>
          <w:rFonts w:ascii="Times New Roman" w:hAnsi="Times New Roman" w:cs="Times New Roman"/>
          <w:sz w:val="24"/>
          <w:szCs w:val="24"/>
        </w:rPr>
        <w:t xml:space="preserve"> constrained by the extent of Beaverdam Formation exposed in the Amphitheater, which was not measured by us but could be in the future. Instead, ~150 meters northwest of the northwest end of the Amphitheater, there is a thicker well-exposed outcrop of Beaverdam Formation, termed by us the “West</w:t>
      </w:r>
      <w:r w:rsidR="00D869A8" w:rsidRPr="003D3552">
        <w:rPr>
          <w:rFonts w:ascii="Times New Roman" w:hAnsi="Times New Roman" w:cs="Times New Roman"/>
          <w:sz w:val="24"/>
          <w:szCs w:val="24"/>
        </w:rPr>
        <w:t>ern</w:t>
      </w:r>
      <w:r w:rsidRPr="003D3552">
        <w:rPr>
          <w:rFonts w:ascii="Times New Roman" w:hAnsi="Times New Roman" w:cs="Times New Roman"/>
          <w:sz w:val="24"/>
          <w:szCs w:val="24"/>
        </w:rPr>
        <w:t xml:space="preserve"> Exposure”. This is where our stratigraphic section was measured and described. After careful attempts were made over several days to locate productive macrofossil horizons through all the exposed Beaverdam Formation in the West exposure and Amphitheater, we found that relatively better preserved fossils (although still </w:t>
      </w:r>
      <w:proofErr w:type="gramStart"/>
      <w:r w:rsidRPr="003D3552">
        <w:rPr>
          <w:rFonts w:ascii="Times New Roman" w:hAnsi="Times New Roman" w:cs="Times New Roman"/>
          <w:sz w:val="24"/>
          <w:szCs w:val="24"/>
        </w:rPr>
        <w:t>fairly poorly</w:t>
      </w:r>
      <w:proofErr w:type="gramEnd"/>
      <w:r w:rsidRPr="003D3552">
        <w:rPr>
          <w:rFonts w:ascii="Times New Roman" w:hAnsi="Times New Roman" w:cs="Times New Roman"/>
          <w:sz w:val="24"/>
          <w:szCs w:val="24"/>
        </w:rPr>
        <w:t xml:space="preserve"> preserved) were concentrated within 5 meters below the Tuff of Ibex Peak contact. Our main collecting quarry spanned ~2 meters of stratigraphy directly underlying this contact in the West Exposure, but fossils were not preserved well enough, or in high enough abundance, to permit a full census collection. </w:t>
      </w:r>
    </w:p>
    <w:p w14:paraId="327886F9" w14:textId="20B23AC5" w:rsidR="00B36522" w:rsidRPr="003D3552" w:rsidRDefault="00D869A8" w:rsidP="003D3552">
      <w:pPr>
        <w:spacing w:line="480" w:lineRule="auto"/>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708563FE" wp14:editId="6B51EC9B">
            <wp:extent cx="5943600" cy="1849755"/>
            <wp:effectExtent l="0" t="0" r="0" b="0"/>
            <wp:docPr id="959297508" name="Picture 2" descr="A landscape with a hill and tre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297508" name="Picture 2" descr="A landscape with a hill and trees&#10;&#10;Description automatically generated with medium confidence"/>
                    <pic:cNvPicPr/>
                  </pic:nvPicPr>
                  <pic:blipFill>
                    <a:blip r:embed="rId6" cstate="hqprint">
                      <a:extLst>
                        <a:ext uri="{28A0092B-C50C-407E-A947-70E740481C1C}">
                          <a14:useLocalDpi xmlns:a14="http://schemas.microsoft.com/office/drawing/2010/main"/>
                        </a:ext>
                      </a:extLst>
                    </a:blip>
                    <a:stretch>
                      <a:fillRect/>
                    </a:stretch>
                  </pic:blipFill>
                  <pic:spPr>
                    <a:xfrm>
                      <a:off x="0" y="0"/>
                      <a:ext cx="5943600" cy="1849755"/>
                    </a:xfrm>
                    <a:prstGeom prst="rect">
                      <a:avLst/>
                    </a:prstGeom>
                  </pic:spPr>
                </pic:pic>
              </a:graphicData>
            </a:graphic>
          </wp:inline>
        </w:drawing>
      </w:r>
    </w:p>
    <w:p w14:paraId="54DED2FA"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lastRenderedPageBreak/>
        <w:t>Trout Creek</w:t>
      </w:r>
    </w:p>
    <w:p w14:paraId="03509678" w14:textId="1FD7CBA2"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Both </w:t>
      </w:r>
      <w:proofErr w:type="spellStart"/>
      <w:r w:rsidRPr="003D3552">
        <w:rPr>
          <w:rFonts w:ascii="Times New Roman" w:hAnsi="Times New Roman" w:cs="Times New Roman"/>
          <w:sz w:val="24"/>
          <w:szCs w:val="24"/>
        </w:rPr>
        <w:t>MacGinitie</w:t>
      </w:r>
      <w:proofErr w:type="spellEnd"/>
      <w:r w:rsidRPr="003D3552">
        <w:rPr>
          <w:rFonts w:ascii="Times New Roman" w:hAnsi="Times New Roman" w:cs="Times New Roman"/>
          <w:sz w:val="24"/>
          <w:szCs w:val="24"/>
        </w:rPr>
        <w:t xml:space="preserve"> </w:t>
      </w:r>
      <w:r w:rsidR="00D869A8" w:rsidRPr="003D3552">
        <w:rPr>
          <w:rFonts w:ascii="Times New Roman" w:hAnsi="Times New Roman" w:cs="Times New Roman"/>
          <w:sz w:val="24"/>
          <w:szCs w:val="24"/>
        </w:rPr>
        <w:fldChar w:fldCharType="begin"/>
      </w:r>
      <w:r w:rsidR="00D869A8" w:rsidRPr="003D3552">
        <w:rPr>
          <w:rFonts w:ascii="Times New Roman" w:hAnsi="Times New Roman" w:cs="Times New Roman"/>
          <w:sz w:val="24"/>
          <w:szCs w:val="24"/>
        </w:rPr>
        <w:instrText xml:space="preserve"> ADDIN ZOTERO_ITEM CSL_CITATION {"citationID":"Ez56asc3","properties":{"formattedCitation":"(1933)","plainCitation":"(1933)","noteIndex":0},"citationItems":[{"id":1193,"uris":["http://zotero.org/users/local/GNd40AzT/items/8RB2P7EG"],"itemData":{"id":1193,"type":"book","collection-title":"Contributions to Paleontology","event-place":"Washington, D.C","publisher":"Carnegie Institution of Washington","publisher-place":"Washington, D.C","title":"The Trout Creek flora of southeastern Oregon","author":[{"family":"MacGinitie","given":"H. D."}],"issued":{"date-parts":[["1933"]]}},"label":"page","suppress-author":true}],"schema":"https://github.com/citation-style-language/schema/raw/master/csl-citation.json"} </w:instrText>
      </w:r>
      <w:r w:rsidR="00D869A8" w:rsidRPr="003D3552">
        <w:rPr>
          <w:rFonts w:ascii="Times New Roman" w:hAnsi="Times New Roman" w:cs="Times New Roman"/>
          <w:sz w:val="24"/>
          <w:szCs w:val="24"/>
        </w:rPr>
        <w:fldChar w:fldCharType="separate"/>
      </w:r>
      <w:r w:rsidR="00D869A8" w:rsidRPr="003D3552">
        <w:rPr>
          <w:rFonts w:ascii="Times New Roman" w:hAnsi="Times New Roman" w:cs="Times New Roman"/>
          <w:sz w:val="24"/>
          <w:szCs w:val="24"/>
        </w:rPr>
        <w:t>(1933)</w:t>
      </w:r>
      <w:r w:rsidR="00D869A8"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and Graham </w:t>
      </w:r>
      <w:r w:rsidR="00D869A8"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43b5pMcC","properties":{"formattedCitation":"(1965)","plainCitation":"(1965)","noteIndex":0},"citationItems":[{"id":984,"uris":["http://zotero.org/users/local/GNd40AzT/items/AQRTZJBV"],"itemData":{"id":984,"type":"book","collection-number":"IX","collection-title":"Research Series","event-place":"Kent, Ohio","number-of-pages":"147","publisher":"Kent State University Bulletin","publisher-place":"Kent, Ohio","title":"The Sucker Creek and Trout Creek Miocene Floras of Southeastern Oregon","author":[{"family":"Graham","given":"Alan"}],"issued":{"date-parts":[["1965"]]}},"label":"page","suppress-author":true}],"schema":"https://github.com/citation-style-language/schema/raw/master/csl-citation.json"} </w:instrText>
      </w:r>
      <w:r w:rsidR="00D869A8"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(1965)</w:t>
      </w:r>
      <w:r w:rsidR="00D869A8"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studied specimens collected by Percy Train, the former housed at UCMP and the latter at UMMP. Graham (1965) reports the main collecting sub locality for the Trout Creek flora was the West Quarry. Although “West Quarry” is not explicitly stated by </w:t>
      </w:r>
      <w:proofErr w:type="spellStart"/>
      <w:r w:rsidRPr="003D3552">
        <w:rPr>
          <w:rFonts w:ascii="Times New Roman" w:hAnsi="Times New Roman" w:cs="Times New Roman"/>
          <w:sz w:val="24"/>
          <w:szCs w:val="24"/>
        </w:rPr>
        <w:t>MacGinitie</w:t>
      </w:r>
      <w:proofErr w:type="spellEnd"/>
      <w:r w:rsidRPr="003D3552">
        <w:rPr>
          <w:rFonts w:ascii="Times New Roman" w:hAnsi="Times New Roman" w:cs="Times New Roman"/>
          <w:sz w:val="24"/>
          <w:szCs w:val="24"/>
        </w:rPr>
        <w:t xml:space="preserve"> (1933), the location and stratigraphic descriptions he presents, and the figured photograph of the site </w:t>
      </w:r>
      <w:r w:rsidR="009A043C" w:rsidRPr="003D3552">
        <w:rPr>
          <w:rFonts w:ascii="Times New Roman" w:hAnsi="Times New Roman" w:cs="Times New Roman"/>
          <w:sz w:val="24"/>
          <w:szCs w:val="24"/>
        </w:rPr>
        <w:t>in Fig. 2</w:t>
      </w:r>
      <w:r w:rsidRPr="003D3552">
        <w:rPr>
          <w:rFonts w:ascii="Times New Roman" w:hAnsi="Times New Roman" w:cs="Times New Roman"/>
          <w:sz w:val="24"/>
          <w:szCs w:val="24"/>
        </w:rPr>
        <w:t xml:space="preserve">, it seems very likely his material was also sourced from the West Quarry. Graham (1965) reports additional sub localities labelled A, B, and C, all apparently within a few hundred feet of one another, but no other details are provided. The West Quarry is where our stratigraphic section was measured and described. However, we also sampled fossil plants from a small exposure ~500 m NE from the W quarry, termed by us the NE Quarry, and tuff from a pumice rich debris below that occurs between these two sub localities, termed by us the Intermediate Exposures. The NE Quarry and Intermediate Exposures may overlap with the A, B, and C sub </w:t>
      </w:r>
      <w:r w:rsidR="009A043C" w:rsidRPr="003D3552">
        <w:rPr>
          <w:rFonts w:ascii="Times New Roman" w:hAnsi="Times New Roman" w:cs="Times New Roman"/>
          <w:sz w:val="24"/>
          <w:szCs w:val="24"/>
        </w:rPr>
        <w:t>localities</w:t>
      </w:r>
      <w:r w:rsidRPr="003D3552">
        <w:rPr>
          <w:rFonts w:ascii="Times New Roman" w:hAnsi="Times New Roman" w:cs="Times New Roman"/>
          <w:sz w:val="24"/>
          <w:szCs w:val="24"/>
        </w:rPr>
        <w:t xml:space="preserve"> of Graham (1965), but without more detailed information, it is not possible to be certain. </w:t>
      </w:r>
    </w:p>
    <w:p w14:paraId="45A91E4F" w14:textId="62E1CB47"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Graham (1965) reports that fossil plants occur </w:t>
      </w:r>
      <w:proofErr w:type="gramStart"/>
      <w:r w:rsidRPr="003D3552">
        <w:rPr>
          <w:rFonts w:ascii="Times New Roman" w:hAnsi="Times New Roman" w:cs="Times New Roman"/>
          <w:sz w:val="24"/>
          <w:szCs w:val="24"/>
        </w:rPr>
        <w:t>fairly regularly</w:t>
      </w:r>
      <w:proofErr w:type="gramEnd"/>
      <w:r w:rsidRPr="003D3552">
        <w:rPr>
          <w:rFonts w:ascii="Times New Roman" w:hAnsi="Times New Roman" w:cs="Times New Roman"/>
          <w:sz w:val="24"/>
          <w:szCs w:val="24"/>
        </w:rPr>
        <w:t xml:space="preserve"> throughout stratigraphy at the West Quarry, while </w:t>
      </w:r>
      <w:proofErr w:type="spellStart"/>
      <w:r w:rsidRPr="003D3552">
        <w:rPr>
          <w:rFonts w:ascii="Times New Roman" w:hAnsi="Times New Roman" w:cs="Times New Roman"/>
          <w:sz w:val="24"/>
          <w:szCs w:val="24"/>
        </w:rPr>
        <w:t>MacGinitie</w:t>
      </w:r>
      <w:proofErr w:type="spellEnd"/>
      <w:r w:rsidRPr="003D3552">
        <w:rPr>
          <w:rFonts w:ascii="Times New Roman" w:hAnsi="Times New Roman" w:cs="Times New Roman"/>
          <w:sz w:val="24"/>
          <w:szCs w:val="24"/>
        </w:rPr>
        <w:t xml:space="preserve"> (1933) state the diatomite in the lower half of the “formation”, though likely referring to the measured section, below a 15 thick tuffaceous sandstone, contain most of the fossil plant remains. A thick sandstone also occurs in the middle of our measured section and can </w:t>
      </w:r>
      <w:proofErr w:type="gramStart"/>
      <w:r w:rsidR="009A043C" w:rsidRPr="003D3552">
        <w:rPr>
          <w:rFonts w:ascii="Times New Roman" w:hAnsi="Times New Roman" w:cs="Times New Roman"/>
          <w:sz w:val="24"/>
          <w:szCs w:val="24"/>
        </w:rPr>
        <w:t>actually be</w:t>
      </w:r>
      <w:proofErr w:type="gramEnd"/>
      <w:r w:rsidRPr="003D3552">
        <w:rPr>
          <w:rFonts w:ascii="Times New Roman" w:hAnsi="Times New Roman" w:cs="Times New Roman"/>
          <w:sz w:val="24"/>
          <w:szCs w:val="24"/>
        </w:rPr>
        <w:t xml:space="preserve"> discerned in the satellite imagery below, although we measure it as 30 m thick accounting for dip. The few fossil plants we collected from the West Quarry also come from these lower </w:t>
      </w:r>
      <w:proofErr w:type="spellStart"/>
      <w:r w:rsidRPr="003D3552">
        <w:rPr>
          <w:rFonts w:ascii="Times New Roman" w:hAnsi="Times New Roman" w:cs="Times New Roman"/>
          <w:sz w:val="24"/>
          <w:szCs w:val="24"/>
        </w:rPr>
        <w:t>diatomites</w:t>
      </w:r>
      <w:proofErr w:type="spellEnd"/>
      <w:r w:rsidRPr="003D3552">
        <w:rPr>
          <w:rFonts w:ascii="Times New Roman" w:hAnsi="Times New Roman" w:cs="Times New Roman"/>
          <w:sz w:val="24"/>
          <w:szCs w:val="24"/>
        </w:rPr>
        <w:t xml:space="preserve">, below the thick sandstone. We note some discrepancies in the stratigraphic column reported by Graham (1965) in Text-Figure 2, and gather some mistakes were made while either describing, correlating, or transcribing measured sections. For example, </w:t>
      </w:r>
      <w:r w:rsidRPr="003D3552">
        <w:rPr>
          <w:rFonts w:ascii="Times New Roman" w:hAnsi="Times New Roman" w:cs="Times New Roman"/>
          <w:sz w:val="24"/>
          <w:szCs w:val="24"/>
        </w:rPr>
        <w:lastRenderedPageBreak/>
        <w:t>the “basalt cap” is really a dark pumice rich debris flow, and no basalt is mapped in the nearby region.</w:t>
      </w:r>
      <w:r w:rsidRPr="003D3552">
        <w:rPr>
          <w:rFonts w:ascii="Times New Roman" w:hAnsi="Times New Roman" w:cs="Times New Roman"/>
          <w:color w:val="000000"/>
          <w:sz w:val="24"/>
          <w:szCs w:val="24"/>
        </w:rPr>
        <w:t xml:space="preserve"> </w:t>
      </w:r>
      <w:r w:rsidRPr="003D3552">
        <w:rPr>
          <w:rFonts w:ascii="Times New Roman" w:hAnsi="Times New Roman" w:cs="Times New Roman"/>
          <w:sz w:val="24"/>
          <w:szCs w:val="24"/>
        </w:rPr>
        <w:t xml:space="preserve">Graham also refers to a 5 cm “key sand”. We found a likely candidate within the diatomite at the NE quarry, but there is no “basalt cap” here. </w:t>
      </w:r>
    </w:p>
    <w:p w14:paraId="03FC96B2" w14:textId="77777777" w:rsidR="00B36522" w:rsidRPr="003D3552" w:rsidRDefault="00B36522" w:rsidP="003D3552">
      <w:pPr>
        <w:spacing w:after="240" w:line="480" w:lineRule="auto"/>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5913C5CB" wp14:editId="2131A52A">
            <wp:extent cx="4591050" cy="3377561"/>
            <wp:effectExtent l="0" t="0" r="0" b="0"/>
            <wp:docPr id="1978314208" name="Picture 1" descr="A close-up of a landsc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314208" name="Picture 1" descr="A close-up of a landscap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4593830" cy="3379606"/>
                    </a:xfrm>
                    <a:prstGeom prst="rect">
                      <a:avLst/>
                    </a:prstGeom>
                  </pic:spPr>
                </pic:pic>
              </a:graphicData>
            </a:graphic>
          </wp:inline>
        </w:drawing>
      </w:r>
    </w:p>
    <w:p w14:paraId="0C2DD48D"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t>Succor Creek</w:t>
      </w:r>
    </w:p>
    <w:p w14:paraId="553FED4D" w14:textId="4CB995A9"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The Succor Creek flora consists of several sub-localities</w:t>
      </w:r>
      <w:r w:rsidR="009A043C" w:rsidRPr="003D3552">
        <w:rPr>
          <w:rFonts w:ascii="Times New Roman" w:hAnsi="Times New Roman" w:cs="Times New Roman"/>
          <w:sz w:val="24"/>
          <w:szCs w:val="24"/>
        </w:rPr>
        <w:t xml:space="preserve"> and</w:t>
      </w:r>
      <w:r w:rsidRPr="003D3552">
        <w:rPr>
          <w:rFonts w:ascii="Times New Roman" w:hAnsi="Times New Roman" w:cs="Times New Roman"/>
          <w:sz w:val="24"/>
          <w:szCs w:val="24"/>
        </w:rPr>
        <w:t xml:space="preserve"> we visited </w:t>
      </w:r>
      <w:proofErr w:type="gramStart"/>
      <w:r w:rsidRPr="003D3552">
        <w:rPr>
          <w:rFonts w:ascii="Times New Roman" w:hAnsi="Times New Roman" w:cs="Times New Roman"/>
          <w:sz w:val="24"/>
          <w:szCs w:val="24"/>
        </w:rPr>
        <w:t>the majority of</w:t>
      </w:r>
      <w:proofErr w:type="gramEnd"/>
      <w:r w:rsidRPr="003D3552">
        <w:rPr>
          <w:rFonts w:ascii="Times New Roman" w:hAnsi="Times New Roman" w:cs="Times New Roman"/>
          <w:sz w:val="24"/>
          <w:szCs w:val="24"/>
        </w:rPr>
        <w:t xml:space="preserve"> </w:t>
      </w:r>
      <w:r w:rsidR="009A043C" w:rsidRPr="003D3552">
        <w:rPr>
          <w:rFonts w:ascii="Times New Roman" w:hAnsi="Times New Roman" w:cs="Times New Roman"/>
          <w:sz w:val="24"/>
          <w:szCs w:val="24"/>
        </w:rPr>
        <w:t xml:space="preserve">them on a trip </w:t>
      </w:r>
      <w:r w:rsidRPr="003D3552">
        <w:rPr>
          <w:rFonts w:ascii="Times New Roman" w:hAnsi="Times New Roman" w:cs="Times New Roman"/>
          <w:sz w:val="24"/>
          <w:szCs w:val="24"/>
        </w:rPr>
        <w:t xml:space="preserve">led by Patrick Fields.  We determined that the </w:t>
      </w:r>
      <w:proofErr w:type="spellStart"/>
      <w:r w:rsidRPr="003D3552">
        <w:rPr>
          <w:rFonts w:ascii="Times New Roman" w:hAnsi="Times New Roman" w:cs="Times New Roman"/>
          <w:sz w:val="24"/>
          <w:szCs w:val="24"/>
        </w:rPr>
        <w:t>Watersnake</w:t>
      </w:r>
      <w:proofErr w:type="spellEnd"/>
      <w:r w:rsidRPr="003D3552">
        <w:rPr>
          <w:rFonts w:ascii="Times New Roman" w:hAnsi="Times New Roman" w:cs="Times New Roman"/>
          <w:sz w:val="24"/>
          <w:szCs w:val="24"/>
        </w:rPr>
        <w:t xml:space="preserve"> sub locality in the South Bend area of Fields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{"citationID":"YABHbTBU","properties":{"formattedCitation":"(1996)","plainCitation":"(1996)","noteIndex":0},"citationItems":[{"id":983,"uris":["http://zotero.org/users/local/GNd40AzT/items/SCEC3DD8"],"itemData":{"id":983,"type":"thesis","event-place":"East Lansing, MI","genre":"Dissertation","publisher":"Michigan State University","publisher-place":"East Lansing, MI","title":"The Succor Creek flora of the middle Miocene Sucker Creek Formation, southwestern Idaho and eastern Oregon: systematics and paleoecology","author":[{"family":"Fields","given":"Patrick F."}],"issued":{"date-parts":[["1996"]]}},"label":"page","suppress-author":true}],"schema":"https://github.com/citation-style-language/schema/raw/master/csl-citation.json"}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(1996)</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offered the most productive and diverse horizons of plant macrofossils within darker shales with potential for palynomorph recovery closely associated with volcanic tuffs.</w:t>
      </w:r>
    </w:p>
    <w:p w14:paraId="107F9923" w14:textId="60B7371B"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Plant macrofossils collected both by Patrick Fields and housed at the Orma J. Smith Museum at the College of Idaho, and those collected in a census approach in this study come from WS Zone 1 of Schiller et al.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{"citationID":"v2uruWTn","properties":{"formattedCitation":"(2024)","plainCitation":"(2024)","noteIndex":0},"citationItems":[{"id":1178,"uris":["http://zotero.org/users/local/GNd40AzT/items/7GPLRUAW"],"itemData":{"id":1178,"type":"article-journal","container-title":"PLOS One","DOI":"doi.org/10.1371/journal.pone.0312104","issue":"11","page":"e0312104","title":"Mechanisms of rapid plant community change from the Miocene Succor Creek flora, Oregon and Idaho (USA)","volume":"19","author":[{"family":"Schiller","given":"Christopher","suffix":"M."},{"family":"Lowe","given":"Alexander J."},{"family":"Dillhoff","given":"Thomas A."},{"family":"Fields","given":"Patrick F."},{"family":"Riley","given":"Abigail M."},{"family":"Taggart","given":"Ralph E."},{"family":"Schmitz","given":"Mark","suffix":"D."},{"family":"Strömberg","given":"C. A. E."}],"issued":{"date-parts":[["2024"]]}},"label":"page","suppress-author":true}],"schema":"https://github.com/citation-style-language/schema/raw/master/csl-citation.json"}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(2024)</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The complete stratigraphic thickness of this zone is 4.5 m, and while </w:t>
      </w:r>
      <w:r w:rsidRPr="003D3552">
        <w:rPr>
          <w:rFonts w:ascii="Times New Roman" w:hAnsi="Times New Roman" w:cs="Times New Roman"/>
          <w:sz w:val="24"/>
          <w:szCs w:val="24"/>
        </w:rPr>
        <w:lastRenderedPageBreak/>
        <w:t>our census horizon (2.8 m in thickness) very likely overlapped with prior collections made by Patrick Fields, some of his collections may have come from above or below our census horizon.</w:t>
      </w:r>
    </w:p>
    <w:p w14:paraId="0A22985A" w14:textId="77777777" w:rsidR="00B36522" w:rsidRPr="003D3552" w:rsidRDefault="00B36522" w:rsidP="003D3552">
      <w:pPr>
        <w:spacing w:after="240" w:line="480" w:lineRule="auto"/>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6BB0D769" wp14:editId="0899FB93">
            <wp:extent cx="6292215" cy="2226064"/>
            <wp:effectExtent l="0" t="0" r="0" b="3175"/>
            <wp:docPr id="1746290180" name="Picture 6" descr="A field of grass and a hill&#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290180" name="Picture 6" descr="A field of grass and a hill&#10;&#10;Description automatically generated with medium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08233" cy="2231731"/>
                    </a:xfrm>
                    <a:prstGeom prst="rect">
                      <a:avLst/>
                    </a:prstGeom>
                    <a:noFill/>
                  </pic:spPr>
                </pic:pic>
              </a:graphicData>
            </a:graphic>
          </wp:inline>
        </w:drawing>
      </w:r>
    </w:p>
    <w:p w14:paraId="6C3B76DB"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t>Moose Mountain</w:t>
      </w:r>
    </w:p>
    <w:p w14:paraId="404B984F" w14:textId="5E8F904D"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This site represents USGS paleobotany locality 9350 as reported in Peck et al. (1964), representing a road cut exposure in the Cascade Mountains, but little details are provided regarding the horizon sampled. A small collection of fossil plants made by us corresponds to the same horizons sampled by Robert Rosé, some of which are housed at </w:t>
      </w:r>
      <w:proofErr w:type="gramStart"/>
      <w:r w:rsidRPr="003D3552">
        <w:rPr>
          <w:rFonts w:ascii="Times New Roman" w:hAnsi="Times New Roman" w:cs="Times New Roman"/>
          <w:sz w:val="24"/>
          <w:szCs w:val="24"/>
        </w:rPr>
        <w:t>University</w:t>
      </w:r>
      <w:proofErr w:type="gramEnd"/>
      <w:r w:rsidRPr="003D3552">
        <w:rPr>
          <w:rFonts w:ascii="Times New Roman" w:hAnsi="Times New Roman" w:cs="Times New Roman"/>
          <w:sz w:val="24"/>
          <w:szCs w:val="24"/>
        </w:rPr>
        <w:t xml:space="preserve"> of Florida, some at the Burke Museum, and many others in the private collections of Robert Rosé. A census collection was not pursued because the fossiliferous horizon has extensive vertical fracturing </w:t>
      </w:r>
      <w:r w:rsidR="009A043C" w:rsidRPr="003D3552">
        <w:rPr>
          <w:rFonts w:ascii="Times New Roman" w:hAnsi="Times New Roman" w:cs="Times New Roman"/>
          <w:sz w:val="24"/>
          <w:szCs w:val="24"/>
        </w:rPr>
        <w:t>causing</w:t>
      </w:r>
      <w:r w:rsidRPr="003D3552">
        <w:rPr>
          <w:rFonts w:ascii="Times New Roman" w:hAnsi="Times New Roman" w:cs="Times New Roman"/>
          <w:sz w:val="24"/>
          <w:szCs w:val="24"/>
        </w:rPr>
        <w:t xml:space="preserve"> most blocks pulled from the outcrop to be broken into smaller pieces. </w:t>
      </w:r>
    </w:p>
    <w:p w14:paraId="2F1EE624" w14:textId="77777777" w:rsidR="00B36522" w:rsidRPr="003D3552" w:rsidRDefault="00B36522" w:rsidP="003D3552">
      <w:pPr>
        <w:spacing w:after="240" w:line="480" w:lineRule="auto"/>
        <w:rPr>
          <w:rFonts w:ascii="Times New Roman" w:hAnsi="Times New Roman" w:cs="Times New Roman"/>
          <w:sz w:val="24"/>
          <w:szCs w:val="24"/>
        </w:rPr>
      </w:pPr>
      <w:r w:rsidRPr="003D3552">
        <w:rPr>
          <w:rFonts w:ascii="Times New Roman" w:hAnsi="Times New Roman" w:cs="Times New Roman"/>
          <w:noProof/>
          <w:sz w:val="24"/>
          <w:szCs w:val="24"/>
          <w:highlight w:val="yellow"/>
        </w:rPr>
        <w:lastRenderedPageBreak/>
        <w:drawing>
          <wp:inline distT="0" distB="0" distL="0" distR="0" wp14:anchorId="3AA50A15" wp14:editId="1654FC8A">
            <wp:extent cx="6005904" cy="2364723"/>
            <wp:effectExtent l="0" t="0" r="0" b="0"/>
            <wp:docPr id="862331036" name="Picture 7" descr="A green hill with trees and mountains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331036" name="Picture 7" descr="A green hill with trees and mountains in the background&#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25036" cy="2372256"/>
                    </a:xfrm>
                    <a:prstGeom prst="rect">
                      <a:avLst/>
                    </a:prstGeom>
                    <a:noFill/>
                  </pic:spPr>
                </pic:pic>
              </a:graphicData>
            </a:graphic>
          </wp:inline>
        </w:drawing>
      </w:r>
    </w:p>
    <w:p w14:paraId="4F6FCBF1"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t>Clarkia</w:t>
      </w:r>
    </w:p>
    <w:p w14:paraId="0EEFC6BA" w14:textId="16D85BFD"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Both the Racetrack/Fossil Bowl (P33) and Emerald Creek (P37) sub localities provide most of the material comprising the Clarkia flora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{"citationID":"1hjeblux","properties":{"formattedCitation":"(Smiley and Rember 1985)","plainCitation":"(Smiley and Rember 1985)","noteIndex":0},"citationItems":[{"id":1058,"uris":["http://zotero.org/users/local/GNd40AzT/items/CXM3CB8P"],"itemData":{"id":1058,"type":"chapter","container-title":"Late Cenozoic History of the Pacific Northwest","event-place":"San Francisco, California","page":"11-32","publisher":"California Academy of Sciences","publisher-place":"San Francisco, California","title":"Physical setting of the Miocene Clarkia Fossil Beds, northern Idaho","author":[{"family":"Smiley","given":"Charles J."},{"family":"Rember","given":"William C."}],"issued":{"date-parts":[["1985"]]}}}],"schema":"https://github.com/citation-style-language/schema/raw/master/csl-citation.json"}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(Smiley and Rember 1985)</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and included as taxonomic collections in this study. A macrofossil census collection was made at Emerald Creek because one has not yet been published from this sub locality and for ease of logistics. Well preserved</w:t>
      </w:r>
      <w:r w:rsidR="009A043C" w:rsidRPr="003D3552">
        <w:rPr>
          <w:rFonts w:ascii="Times New Roman" w:hAnsi="Times New Roman" w:cs="Times New Roman"/>
          <w:sz w:val="24"/>
          <w:szCs w:val="24"/>
        </w:rPr>
        <w:t xml:space="preserve"> </w:t>
      </w:r>
      <w:r w:rsidRPr="003D3552">
        <w:rPr>
          <w:rFonts w:ascii="Times New Roman" w:hAnsi="Times New Roman" w:cs="Times New Roman"/>
          <w:sz w:val="24"/>
          <w:szCs w:val="24"/>
        </w:rPr>
        <w:t xml:space="preserve">fossil plants occur </w:t>
      </w:r>
      <w:proofErr w:type="gramStart"/>
      <w:r w:rsidRPr="003D3552">
        <w:rPr>
          <w:rFonts w:ascii="Times New Roman" w:hAnsi="Times New Roman" w:cs="Times New Roman"/>
          <w:sz w:val="24"/>
          <w:szCs w:val="24"/>
        </w:rPr>
        <w:t>fairly regularly</w:t>
      </w:r>
      <w:proofErr w:type="gramEnd"/>
      <w:r w:rsidRPr="003D3552">
        <w:rPr>
          <w:rFonts w:ascii="Times New Roman" w:hAnsi="Times New Roman" w:cs="Times New Roman"/>
          <w:sz w:val="24"/>
          <w:szCs w:val="24"/>
        </w:rPr>
        <w:t xml:space="preserve"> throughout the exposed stratigraphy at Emerald Creek. Our census layer was located 115 cm below the P37-8 tuff of </w:t>
      </w:r>
      <w:proofErr w:type="spellStart"/>
      <w:r w:rsidRPr="003D3552">
        <w:rPr>
          <w:rFonts w:ascii="Times New Roman" w:hAnsi="Times New Roman" w:cs="Times New Roman"/>
          <w:sz w:val="24"/>
          <w:szCs w:val="24"/>
        </w:rPr>
        <w:t>Ladderud</w:t>
      </w:r>
      <w:proofErr w:type="spellEnd"/>
      <w:r w:rsidRPr="003D3552">
        <w:rPr>
          <w:rFonts w:ascii="Times New Roman" w:hAnsi="Times New Roman" w:cs="Times New Roman"/>
          <w:sz w:val="24"/>
          <w:szCs w:val="24"/>
        </w:rPr>
        <w:t xml:space="preserve"> et al.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{"citationID":"Osbhj2xY","properties":{"formattedCitation":"(2015)","plainCitation":"(2015)","noteIndex":0},"citationItems":[{"id":1585,"uris":["http://zotero.org/users/local/GNd40AzT/items/SAX8FKSF"],"itemData":{"id":1585,"type":"article-journal","abstract":"We present chemical data for ash beds interbedded within mid-Miocene lacustrine sediment in the vicinity of Clarkia, north Idaho. The Clarkia lake beds are well known for their exceptional preservation of leaf and other fossils. The ash beds have a range of chemical compositions, indicating eruption from diverse sources located within different tectonic environments in western North America: the Yellowstone hotspot province, the Cascades volcanic arc, and potentially the Southwest Nevada Volcanic Field. A few ash beds can be correlated with tephra deposits of known age. These correlations indicate that the age of the Miocene Lake Clarkia deposits lies between 15.4 and 16.0 Ma. The lake formed when the ancestral St. Maries River was dammed by a flow of the Priest Rapids Member of the Wanapum Basalt (Columbia River Basalt Group), previously assigned an age of ~ 15 Ma.","container-title":"Northwest Science","DOI":"10.3955/046.089.0402","ISSN":"0029-344X, 2161-9859","issue":"4","journalAbbreviation":"Northwest Science","language":"en","page":"309-323","source":"DOI.org (Crossref)","title":"Volcanic Ash Layers in the Miocene Lake Clarkia Beds: Geochemistry, Regional Correlation, and Age of the Clarkia Flora","title-short":"Volcanic Ash Layers in the Miocene Lake Clarkia Beds","volume":"89","author":[{"family":"Ladderud","given":"Jeffery A."},{"family":"Wolff","given":"John A."},{"family":"Rember","given":"William C."},{"family":"Brueseke","given":"Matthew E."}],"issued":{"date-parts":[["2015",9]]}},"label":"page","suppress-author":true}],"schema":"https://github.com/citation-style-language/schema/raw/master/csl-citation.json"}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(2015)</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and Geraghty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{"citationID":"7MJMU3w9","properties":{"formattedCitation":"(2017)","plainCitation":"(2017)","noteIndex":0},"citationItems":[{"id":1586,"uris":["http://zotero.org/users/local/GNd40AzT/items/6N3BAKGF"],"itemData":{"id":1586,"type":"thesis","abstract":"Mid-Miocene Clarkia Lake developed when a Priest Rapids Member flow of the Columbia River Basalt Group Wanapum Formation blocked the ancestral St. Maries River, causing the water to back up into a large water body. The deep, anoxic lake bottom conditions, as well as the apparently rapid deposition of lake sediments, provided excellent preservation for fallen vegetation and reworked distal ash deposits; Consequently twelve distinct ash strata have been identified within ~34m of lacustrine sediment. This thesis presents the tephrostratigraphy of the southern end of the lake. Chemical signatures of ashes found within the lake match those of the early Yellowstone Hotspot, the ancestral Cascades, and other high-silica rhyolite sources with unknown origins. Clarkia Lake ashes have been successfully correlated to 1) The Eastern Oregon Bully Creek Formation of ~15.9 Ma (ages of Nash and Perkins, 2012 recalculated to FCS=28.201 Ma); 2) The Northern Nevada Santa Rosa-Calico Cold Springs Tuff of ~15.9 Ma (ages of Brueseke and Hart, 2008 recalculated to FCS=28.201 Ma); 3) Several Buffalo Canyon Formation ashes of ~15.6 and 15.7 Ma; 4) Several Española Basin ashes including two of Cold Springs Tuff chemistry, as well as White Ashes 3 and 4 of ~15.7 and 15.5 Ma, respectively (ages of Koning et al., 2007, recalculated to FCS=28.201Ma). These correlations constrain the age of Clarkia Lake to ~15.5-16.0 Ma, affirming that the majority of Columbia River Basalt volcanism erupted before 15.5 Ma. In addition, chemical correlations between Clarkia Lake sedimentary deposit sites P33 and P37 have allowed for the complete construction of a Clarkia Lake sedimentary deposit tephrostratigraphic column.","event-place":"Pullman, WA","genre":"Masters thesis","language":"eng","publisher":"Washington State University","publisher-place":"Pullman, WA","title":"Tephrochronology of mid-Miocene Clarkia Lake sedimentary deposits","author":[{"family":"Geraghty","given":"Cassie S."}],"issued":{"date-parts":[["2017"]]}},"label":"page","suppress-author":true}],"schema":"https://github.com/citation-style-language/schema/raw/master/csl-citation.json"}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(2017)</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This horizon was chosen given its easy access and abundance of well-preserved fossil plants.</w:t>
      </w:r>
    </w:p>
    <w:p w14:paraId="1FA78FCF"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t>Mascall</w:t>
      </w:r>
    </w:p>
    <w:p w14:paraId="7A44C18D" w14:textId="7B32FDA5"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We visited the ‘Bowl’ sub locality of Bestland et al.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MGNr6vJm","properties":{"formattedCitation":"(2008)","plainCitation":"(2008)","noteIndex":0},"citationItems":[{"id":1304,"uris":["http://zotero.org/users/local/GNd40AzT/items/BCBVWZXB"],"itemData":{"id":1304,"type":"article-journal","container-title":"PaleoBios","issue":"2","page":"41–61","source":"Google Scholar","title":"Stratigraphy, paleopedology, and geochemistry of the middle Miocene Mascall Formation (type area, central Oregon, USA)","volume":"28","author":[{"family":"Bestland","given":"ERICK A."},{"family":"Forbes","given":"MATTHEW S."},{"family":"Krull","given":"EVELYN S."},{"family":"Retallack","given":"GREGORY J."},{"family":"Fremd","given":"THEODORE"}],"issued":{"date-parts":[["2008"]]}},"label":"page","suppress-author":true}],"schema":"https://github.com/citation-style-language/schema/raw/master/csl-citation.json"}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(2008)</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near the Mascall Fm. type section, and the Riverbank/Van Horn’s Ranch and White Hills sub localities of Chaney and Axelrod </w:t>
      </w:r>
      <w:r w:rsidR="009A043C" w:rsidRPr="003D3552">
        <w:rPr>
          <w:rFonts w:ascii="Times New Roman" w:hAnsi="Times New Roman" w:cs="Times New Roman"/>
          <w:sz w:val="24"/>
          <w:szCs w:val="24"/>
        </w:rPr>
        <w:fldChar w:fldCharType="begin"/>
      </w:r>
      <w:r w:rsidR="009A043C" w:rsidRPr="003D3552">
        <w:rPr>
          <w:rFonts w:ascii="Times New Roman" w:hAnsi="Times New Roman" w:cs="Times New Roman"/>
          <w:sz w:val="24"/>
          <w:szCs w:val="24"/>
        </w:rPr>
        <w:instrText xml:space="preserve"> ADDIN ZOTERO_ITEM CSL_CITATION {"citationID":"8gC5WbME","properties":{"formattedCitation":"(1959)","plainCitation":"(1959)","noteIndex":0},"citationItems":[{"id":966,"uris":["http://zotero.org/users/local/GNd40AzT/items/KETQ9ZPD"],"itemData":{"id":966,"type":"book","publisher":"Carnegie Institution of Washington","title":"Miocene floras of the Columbia Plateau","volume":"Publication 617","author":[{"family":"Chaney","given":"R.W."},{"family":"Axelrod","given":"D.L."}],"issued":{"date-parts":[["1959"]]}},"label":"page","suppress-author":true}],"schema":"https://github.com/citation-style-language/schema/raw/master/csl-citation.json"}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9A043C" w:rsidRPr="003D3552">
        <w:rPr>
          <w:rFonts w:ascii="Times New Roman" w:hAnsi="Times New Roman" w:cs="Times New Roman"/>
          <w:sz w:val="24"/>
          <w:szCs w:val="24"/>
        </w:rPr>
        <w:t>(1959)</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~25 km to the east. At the Bowl, we located the exposed contact between the underlying Picture Gorge Basalts and sedimentary rocks of the Mascall Fm., not reported </w:t>
      </w:r>
      <w:r w:rsidR="009A043C" w:rsidRPr="003D3552">
        <w:rPr>
          <w:rFonts w:ascii="Times New Roman" w:hAnsi="Times New Roman" w:cs="Times New Roman"/>
          <w:sz w:val="24"/>
          <w:szCs w:val="24"/>
        </w:rPr>
        <w:t xml:space="preserve">previously. </w:t>
      </w:r>
      <w:r w:rsidRPr="003D3552">
        <w:rPr>
          <w:rFonts w:ascii="Times New Roman" w:hAnsi="Times New Roman" w:cs="Times New Roman"/>
          <w:sz w:val="24"/>
          <w:szCs w:val="24"/>
        </w:rPr>
        <w:t xml:space="preserve">Plant macrofossils were found at the Bowl, including several remains of aquatic plants, but we found </w:t>
      </w:r>
      <w:r w:rsidRPr="003D3552">
        <w:rPr>
          <w:rFonts w:ascii="Times New Roman" w:hAnsi="Times New Roman" w:cs="Times New Roman"/>
          <w:sz w:val="24"/>
          <w:szCs w:val="24"/>
        </w:rPr>
        <w:lastRenderedPageBreak/>
        <w:t>no horizons productive enough for a census collection. At Riverbank/Van Horn’s Ranch, fossils in many horizons were well preserved, and potentially abundant, but were located within a well-cemented matrix in a cliff exposure, making a safe census collection logistically challenging. The White Hills hosted several productive and well preserved horizons along a sloping hillside, the best of which we chose for census collections.</w:t>
      </w:r>
    </w:p>
    <w:p w14:paraId="3AC237C2" w14:textId="77777777"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Axelrod and Chaney (1959) describe their White Hills collections coming from near the top of the more westerly of the two white hills. We also sampled leaves from the western hill, but we may have been stratigraphically below their stated location, potentially up to 10 m but the true distance is difficult to know precisely. At the base of our stratigraphic section occurs a volcanic unit we interpret as a pyroclastic flow, given angular and poorly sorted clasts within a fine grained matrix (matrix supported). This possibility should be further explored, as Bestland et al. (2008) claim that volcanic sources in the Mascall were distal and no primary pyroclastic deposits occur. </w:t>
      </w:r>
    </w:p>
    <w:p w14:paraId="77F13CC1" w14:textId="0E10BF45" w:rsidR="009A043C" w:rsidRPr="003D3552" w:rsidRDefault="009A043C"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Riverbank/Van Horn’s Ranch:</w:t>
      </w:r>
    </w:p>
    <w:p w14:paraId="47E1D8EE" w14:textId="73F29A0E"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27F35EF6" wp14:editId="3E8EBD96">
            <wp:extent cx="5943600" cy="2083627"/>
            <wp:effectExtent l="0" t="0" r="0" b="0"/>
            <wp:docPr id="1739232096" name="Picture 10" descr="A grassy area with a hill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232096" name="Picture 10" descr="A grassy area with a hill in the background&#10;&#10;Description automatically generated"/>
                    <pic:cNvPicPr>
                      <a:picLocks noChangeAspect="1" noChangeArrowheads="1"/>
                    </pic:cNvPicPr>
                  </pic:nvPicPr>
                  <pic:blipFill rotWithShape="1">
                    <a:blip r:embed="rId10" cstate="hqprint">
                      <a:extLst>
                        <a:ext uri="{28A0092B-C50C-407E-A947-70E740481C1C}">
                          <a14:useLocalDpi xmlns:a14="http://schemas.microsoft.com/office/drawing/2010/main"/>
                        </a:ext>
                      </a:extLst>
                    </a:blip>
                    <a:srcRect/>
                    <a:stretch/>
                  </pic:blipFill>
                  <pic:spPr bwMode="auto">
                    <a:xfrm>
                      <a:off x="0" y="0"/>
                      <a:ext cx="5943600" cy="2083627"/>
                    </a:xfrm>
                    <a:prstGeom prst="rect">
                      <a:avLst/>
                    </a:prstGeom>
                    <a:noFill/>
                    <a:ln>
                      <a:noFill/>
                    </a:ln>
                    <a:extLst>
                      <a:ext uri="{53640926-AAD7-44D8-BBD7-CCE9431645EC}">
                        <a14:shadowObscured xmlns:a14="http://schemas.microsoft.com/office/drawing/2010/main"/>
                      </a:ext>
                    </a:extLst>
                  </pic:spPr>
                </pic:pic>
              </a:graphicData>
            </a:graphic>
          </wp:inline>
        </w:drawing>
      </w:r>
    </w:p>
    <w:p w14:paraId="25947D52" w14:textId="77777777" w:rsidR="003D3552" w:rsidRDefault="003D3552" w:rsidP="003D3552">
      <w:pPr>
        <w:spacing w:line="480" w:lineRule="auto"/>
        <w:rPr>
          <w:rFonts w:ascii="Times New Roman" w:hAnsi="Times New Roman" w:cs="Times New Roman"/>
          <w:sz w:val="24"/>
          <w:szCs w:val="24"/>
        </w:rPr>
      </w:pPr>
    </w:p>
    <w:p w14:paraId="0DA0AFFE" w14:textId="77777777" w:rsidR="003D3552" w:rsidRDefault="003D3552" w:rsidP="003D3552">
      <w:pPr>
        <w:spacing w:line="480" w:lineRule="auto"/>
        <w:rPr>
          <w:rFonts w:ascii="Times New Roman" w:hAnsi="Times New Roman" w:cs="Times New Roman"/>
          <w:sz w:val="24"/>
          <w:szCs w:val="24"/>
        </w:rPr>
      </w:pPr>
    </w:p>
    <w:p w14:paraId="46844669" w14:textId="4C98667D" w:rsidR="009A043C" w:rsidRPr="003D3552" w:rsidRDefault="009A043C"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lastRenderedPageBreak/>
        <w:t>White Hills (Unit07):</w:t>
      </w:r>
    </w:p>
    <w:p w14:paraId="3E4BF8EE" w14:textId="77777777" w:rsidR="00B36522" w:rsidRPr="003D3552" w:rsidRDefault="00B36522" w:rsidP="003D3552">
      <w:pPr>
        <w:spacing w:after="240" w:line="480" w:lineRule="auto"/>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050C0281" wp14:editId="3C2C459A">
            <wp:extent cx="5248275" cy="3166066"/>
            <wp:effectExtent l="0" t="0" r="0" b="0"/>
            <wp:docPr id="709844476" name="Picture 9" descr="A landscape with trees and hil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844476" name="Picture 9" descr="A landscape with trees and hills&#10;&#10;Description automatically generated"/>
                    <pic:cNvPicPr/>
                  </pic:nvPicPr>
                  <pic:blipFill rotWithShape="1">
                    <a:blip r:embed="rId11" cstate="print">
                      <a:extLst>
                        <a:ext uri="{28A0092B-C50C-407E-A947-70E740481C1C}">
                          <a14:useLocalDpi xmlns:a14="http://schemas.microsoft.com/office/drawing/2010/main" val="0"/>
                        </a:ext>
                      </a:extLst>
                    </a:blip>
                    <a:srcRect r="1090"/>
                    <a:stretch/>
                  </pic:blipFill>
                  <pic:spPr bwMode="auto">
                    <a:xfrm>
                      <a:off x="0" y="0"/>
                      <a:ext cx="5266375" cy="3176985"/>
                    </a:xfrm>
                    <a:prstGeom prst="rect">
                      <a:avLst/>
                    </a:prstGeom>
                    <a:ln>
                      <a:noFill/>
                    </a:ln>
                    <a:extLst>
                      <a:ext uri="{53640926-AAD7-44D8-BBD7-CCE9431645EC}">
                        <a14:shadowObscured xmlns:a14="http://schemas.microsoft.com/office/drawing/2010/main"/>
                      </a:ext>
                    </a:extLst>
                  </pic:spPr>
                </pic:pic>
              </a:graphicData>
            </a:graphic>
          </wp:inline>
        </w:drawing>
      </w:r>
    </w:p>
    <w:p w14:paraId="03998D78"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t>Spokane</w:t>
      </w:r>
    </w:p>
    <w:p w14:paraId="34D4E141" w14:textId="4D2FCFC2"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Several Spokane sub localities are no longer accessible. Knowlton </w:t>
      </w:r>
      <w:r w:rsidR="009A043C" w:rsidRPr="003D3552">
        <w:rPr>
          <w:rFonts w:ascii="Times New Roman" w:hAnsi="Times New Roman" w:cs="Times New Roman"/>
          <w:sz w:val="24"/>
          <w:szCs w:val="24"/>
        </w:rPr>
        <w:fldChar w:fldCharType="begin"/>
      </w:r>
      <w:r w:rsidR="008A2409" w:rsidRPr="003D3552">
        <w:rPr>
          <w:rFonts w:ascii="Times New Roman" w:hAnsi="Times New Roman" w:cs="Times New Roman"/>
          <w:sz w:val="24"/>
          <w:szCs w:val="24"/>
        </w:rPr>
        <w:instrText xml:space="preserve"> ADDIN ZOTERO_ITEM CSL_CITATION {"citationID":"vUA6zgWr","properties":{"formattedCitation":"(1926)","plainCitation":"(1926)","noteIndex":0},"citationItems":[{"id":1279,"uris":["http://zotero.org/users/local/GNd40AzT/items/8SURKMZ3"],"itemData":{"id":1279,"type":"chapter","collection-title":"Shorter Contribution to General Geology","container-title":"Geology of the Latah Formation in relation to the lavas of the Columbia Plateau near Spokane, Washington","page":"17-82","publisher":"US Government Printing Office","title":"Flora of the Latah Formation of Spokane, Washington and Coeur D'Alene, Idaho","editor":[{"family":"Pardee","given":"Joseph Thomas"},{"family":"Bryan","given":"Kirk"}],"author":[{"family":"Knowlton","given":"Frank Hall"}],"issued":{"date-parts":[["1926"]]}},"label":"page","suppress-author":true}],"schema":"https://github.com/citation-style-language/schema/raw/master/csl-citation.json"} </w:instrText>
      </w:r>
      <w:r w:rsidR="009A043C" w:rsidRPr="003D3552">
        <w:rPr>
          <w:rFonts w:ascii="Times New Roman" w:hAnsi="Times New Roman" w:cs="Times New Roman"/>
          <w:sz w:val="24"/>
          <w:szCs w:val="24"/>
        </w:rPr>
        <w:fldChar w:fldCharType="separate"/>
      </w:r>
      <w:r w:rsidR="008A2409" w:rsidRPr="003D3552">
        <w:rPr>
          <w:rFonts w:ascii="Times New Roman" w:hAnsi="Times New Roman" w:cs="Times New Roman"/>
          <w:sz w:val="24"/>
          <w:szCs w:val="24"/>
        </w:rPr>
        <w:t>(1926)</w:t>
      </w:r>
      <w:r w:rsidR="009A043C"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describes the Deep Creek </w:t>
      </w:r>
      <w:r w:rsidR="009A043C" w:rsidRPr="003D3552">
        <w:rPr>
          <w:rFonts w:ascii="Times New Roman" w:hAnsi="Times New Roman" w:cs="Times New Roman"/>
          <w:sz w:val="24"/>
          <w:szCs w:val="24"/>
        </w:rPr>
        <w:t xml:space="preserve">sub </w:t>
      </w:r>
      <w:r w:rsidRPr="003D3552">
        <w:rPr>
          <w:rFonts w:ascii="Times New Roman" w:hAnsi="Times New Roman" w:cs="Times New Roman"/>
          <w:sz w:val="24"/>
          <w:szCs w:val="24"/>
        </w:rPr>
        <w:t>locality as contributing the larger part of the Spokane collections he analyzed. We located a sedimentary outcrop in the same location he describes</w:t>
      </w:r>
      <w:r w:rsidR="008A2409" w:rsidRPr="003D3552">
        <w:rPr>
          <w:rFonts w:ascii="Times New Roman" w:hAnsi="Times New Roman" w:cs="Times New Roman"/>
          <w:sz w:val="24"/>
          <w:szCs w:val="24"/>
        </w:rPr>
        <w:t xml:space="preserve"> (shown below)</w:t>
      </w:r>
      <w:r w:rsidRPr="003D3552">
        <w:rPr>
          <w:rFonts w:ascii="Times New Roman" w:hAnsi="Times New Roman" w:cs="Times New Roman"/>
          <w:sz w:val="24"/>
          <w:szCs w:val="24"/>
        </w:rPr>
        <w:t>. The lower part of our described section agrees with that reported in Knowlton (192</w:t>
      </w:r>
      <w:r w:rsidR="008A2409" w:rsidRPr="003D3552">
        <w:rPr>
          <w:rFonts w:ascii="Times New Roman" w:hAnsi="Times New Roman" w:cs="Times New Roman"/>
          <w:sz w:val="24"/>
          <w:szCs w:val="24"/>
        </w:rPr>
        <w:t>6</w:t>
      </w:r>
      <w:r w:rsidRPr="003D3552">
        <w:rPr>
          <w:rFonts w:ascii="Times New Roman" w:hAnsi="Times New Roman" w:cs="Times New Roman"/>
          <w:sz w:val="24"/>
          <w:szCs w:val="24"/>
        </w:rPr>
        <w:t xml:space="preserve">), although in the interval they report as fossil-rich we found only very fragmented and poorly preserved plant macrofossils. There </w:t>
      </w:r>
      <w:r w:rsidR="008A2409" w:rsidRPr="003D3552">
        <w:rPr>
          <w:rFonts w:ascii="Times New Roman" w:hAnsi="Times New Roman" w:cs="Times New Roman"/>
          <w:sz w:val="24"/>
          <w:szCs w:val="24"/>
        </w:rPr>
        <w:t>are</w:t>
      </w:r>
      <w:r w:rsidRPr="003D3552">
        <w:rPr>
          <w:rFonts w:ascii="Times New Roman" w:hAnsi="Times New Roman" w:cs="Times New Roman"/>
          <w:sz w:val="24"/>
          <w:szCs w:val="24"/>
        </w:rPr>
        <w:t xml:space="preserve"> some discrepancies in the top of their section to ours. For example, they describe a thick section of sandstone which extends upwards to the overlying basalt. Instead, we observed the sandstone to be overlain by 7-8 m of massive siltstone with conspicuous fossil wood, with the long axis often perpendicular to the bedding plane. Given the lack of productive fossil plant beds, we are unsure if the exposed section that occurs today is the same that was exposed and described in Knowlton (192</w:t>
      </w:r>
      <w:r w:rsidR="008A2409" w:rsidRPr="003D3552">
        <w:rPr>
          <w:rFonts w:ascii="Times New Roman" w:hAnsi="Times New Roman" w:cs="Times New Roman"/>
          <w:sz w:val="24"/>
          <w:szCs w:val="24"/>
        </w:rPr>
        <w:t>6</w:t>
      </w:r>
      <w:r w:rsidRPr="003D3552">
        <w:rPr>
          <w:rFonts w:ascii="Times New Roman" w:hAnsi="Times New Roman" w:cs="Times New Roman"/>
          <w:sz w:val="24"/>
          <w:szCs w:val="24"/>
        </w:rPr>
        <w:t xml:space="preserve">). </w:t>
      </w:r>
    </w:p>
    <w:p w14:paraId="1CB1C98B" w14:textId="688C49EF" w:rsidR="008A2409"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noProof/>
          <w:sz w:val="24"/>
          <w:szCs w:val="24"/>
        </w:rPr>
        <w:lastRenderedPageBreak/>
        <w:drawing>
          <wp:inline distT="0" distB="0" distL="0" distR="0" wp14:anchorId="0AABC012" wp14:editId="79F4343F">
            <wp:extent cx="4009707" cy="3007709"/>
            <wp:effectExtent l="5715" t="0" r="0" b="0"/>
            <wp:docPr id="639086852" name="Picture 11" descr="A close-up of a clif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086852" name="Picture 11" descr="A close-up of a cliff&#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4014246" cy="3011113"/>
                    </a:xfrm>
                    <a:prstGeom prst="rect">
                      <a:avLst/>
                    </a:prstGeom>
                    <a:noFill/>
                    <a:ln>
                      <a:noFill/>
                    </a:ln>
                  </pic:spPr>
                </pic:pic>
              </a:graphicData>
            </a:graphic>
          </wp:inline>
        </w:drawing>
      </w:r>
    </w:p>
    <w:p w14:paraId="4CBA68F5" w14:textId="6324FAAE" w:rsidR="00B36522" w:rsidRPr="003D3552" w:rsidRDefault="00B36522" w:rsidP="003D3552">
      <w:pPr>
        <w:spacing w:line="480" w:lineRule="auto"/>
        <w:rPr>
          <w:rFonts w:ascii="Times New Roman" w:hAnsi="Times New Roman" w:cs="Times New Roman"/>
          <w:i/>
          <w:iCs/>
          <w:sz w:val="24"/>
          <w:szCs w:val="24"/>
        </w:rPr>
      </w:pPr>
      <w:proofErr w:type="spellStart"/>
      <w:r w:rsidRPr="003D3552">
        <w:rPr>
          <w:rFonts w:ascii="Times New Roman" w:hAnsi="Times New Roman" w:cs="Times New Roman"/>
          <w:i/>
          <w:iCs/>
          <w:sz w:val="24"/>
          <w:szCs w:val="24"/>
        </w:rPr>
        <w:t>Juliaetta</w:t>
      </w:r>
      <w:proofErr w:type="spellEnd"/>
    </w:p>
    <w:p w14:paraId="26595180" w14:textId="76097045" w:rsidR="00B36522" w:rsidRPr="003D3552" w:rsidRDefault="008A2409"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The bulk of the collections included in this study from </w:t>
      </w:r>
      <w:proofErr w:type="spellStart"/>
      <w:r w:rsidRPr="003D3552">
        <w:rPr>
          <w:rFonts w:ascii="Times New Roman" w:hAnsi="Times New Roman" w:cs="Times New Roman"/>
          <w:sz w:val="24"/>
          <w:szCs w:val="24"/>
        </w:rPr>
        <w:t>Juliaetta</w:t>
      </w:r>
      <w:proofErr w:type="spellEnd"/>
      <w:r w:rsidRPr="003D3552">
        <w:rPr>
          <w:rFonts w:ascii="Times New Roman" w:hAnsi="Times New Roman" w:cs="Times New Roman"/>
          <w:sz w:val="24"/>
          <w:szCs w:val="24"/>
        </w:rPr>
        <w:t xml:space="preserve"> are housed at the University of Idaho (UI) and represent census collections we made which are housed at the Burke Museum. Our census collection horizon is shown in the image below. We are </w:t>
      </w:r>
      <w:proofErr w:type="gramStart"/>
      <w:r w:rsidRPr="003D3552">
        <w:rPr>
          <w:rFonts w:ascii="Times New Roman" w:hAnsi="Times New Roman" w:cs="Times New Roman"/>
          <w:sz w:val="24"/>
          <w:szCs w:val="24"/>
        </w:rPr>
        <w:t>unsure</w:t>
      </w:r>
      <w:proofErr w:type="gramEnd"/>
      <w:r w:rsidRPr="003D3552">
        <w:rPr>
          <w:rFonts w:ascii="Times New Roman" w:hAnsi="Times New Roman" w:cs="Times New Roman"/>
          <w:sz w:val="24"/>
          <w:szCs w:val="24"/>
        </w:rPr>
        <w:t xml:space="preserve"> the exact stratigraphic location that UI fossils were sampled from, but fine-grained rocks occur only in the lower half of the exposure. Two basalt lobes occur in outcrops, as shown below, and appear to be associated with soft sediment deformation structures, including water escape structures. </w:t>
      </w:r>
    </w:p>
    <w:p w14:paraId="32C63D2F" w14:textId="68FD4B89" w:rsidR="00B36522" w:rsidRPr="003D3552" w:rsidRDefault="00B36522" w:rsidP="003D3552">
      <w:pPr>
        <w:spacing w:line="480" w:lineRule="auto"/>
        <w:rPr>
          <w:rFonts w:ascii="Times New Roman" w:hAnsi="Times New Roman" w:cs="Times New Roman"/>
          <w:color w:val="FF0000"/>
          <w:sz w:val="24"/>
          <w:szCs w:val="24"/>
        </w:rPr>
      </w:pPr>
      <w:r w:rsidRPr="003D3552">
        <w:rPr>
          <w:rFonts w:ascii="Times New Roman" w:hAnsi="Times New Roman" w:cs="Times New Roman"/>
          <w:noProof/>
          <w:color w:val="FF0000"/>
          <w:sz w:val="24"/>
          <w:szCs w:val="24"/>
        </w:rPr>
        <w:lastRenderedPageBreak/>
        <w:drawing>
          <wp:inline distT="0" distB="0" distL="0" distR="0" wp14:anchorId="2885608E" wp14:editId="1FD5F13E">
            <wp:extent cx="6259651" cy="1828800"/>
            <wp:effectExtent l="0" t="0" r="8255" b="0"/>
            <wp:docPr id="635971523" name="Picture 12" descr="A close-up of a hi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971523" name="Picture 12" descr="A close-up of a hill&#10;&#10;Description automatically generated"/>
                    <pic:cNvPicPr/>
                  </pic:nvPicPr>
                  <pic:blipFill rotWithShape="1">
                    <a:blip r:embed="rId13" cstate="print">
                      <a:extLst>
                        <a:ext uri="{28A0092B-C50C-407E-A947-70E740481C1C}">
                          <a14:useLocalDpi xmlns:a14="http://schemas.microsoft.com/office/drawing/2010/main" val="0"/>
                        </a:ext>
                      </a:extLst>
                    </a:blip>
                    <a:srcRect l="7852" t="11671" r="4968"/>
                    <a:stretch/>
                  </pic:blipFill>
                  <pic:spPr bwMode="auto">
                    <a:xfrm>
                      <a:off x="0" y="0"/>
                      <a:ext cx="6265732" cy="1830577"/>
                    </a:xfrm>
                    <a:prstGeom prst="rect">
                      <a:avLst/>
                    </a:prstGeom>
                    <a:ln>
                      <a:noFill/>
                    </a:ln>
                    <a:extLst>
                      <a:ext uri="{53640926-AAD7-44D8-BBD7-CCE9431645EC}">
                        <a14:shadowObscured xmlns:a14="http://schemas.microsoft.com/office/drawing/2010/main"/>
                      </a:ext>
                    </a:extLst>
                  </pic:spPr>
                </pic:pic>
              </a:graphicData>
            </a:graphic>
          </wp:inline>
        </w:drawing>
      </w:r>
    </w:p>
    <w:p w14:paraId="7A2603F2" w14:textId="77777777" w:rsidR="00B36522" w:rsidRPr="003D3552" w:rsidRDefault="00B36522" w:rsidP="003D3552">
      <w:pPr>
        <w:spacing w:line="480" w:lineRule="auto"/>
        <w:rPr>
          <w:rFonts w:ascii="Times New Roman" w:hAnsi="Times New Roman" w:cs="Times New Roman"/>
          <w:i/>
          <w:iCs/>
          <w:sz w:val="24"/>
          <w:szCs w:val="24"/>
        </w:rPr>
      </w:pPr>
      <w:r w:rsidRPr="003D3552">
        <w:rPr>
          <w:rFonts w:ascii="Times New Roman" w:hAnsi="Times New Roman" w:cs="Times New Roman"/>
          <w:i/>
          <w:iCs/>
          <w:sz w:val="24"/>
          <w:szCs w:val="24"/>
        </w:rPr>
        <w:t>Alvord Creek</w:t>
      </w:r>
    </w:p>
    <w:p w14:paraId="1F724CE2" w14:textId="4FF18A2C" w:rsidR="00B36522" w:rsidRPr="003D3552" w:rsidRDefault="00B36522"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Tuff, rock samples for pollen and phytolith extraction, and macrofossil census collections were made at both sub localities 601 and 601N of Axelrod </w:t>
      </w:r>
      <w:r w:rsidR="008A2409" w:rsidRPr="003D3552">
        <w:rPr>
          <w:rFonts w:ascii="Times New Roman" w:hAnsi="Times New Roman" w:cs="Times New Roman"/>
          <w:sz w:val="24"/>
          <w:szCs w:val="24"/>
        </w:rPr>
        <w:fldChar w:fldCharType="begin"/>
      </w:r>
      <w:r w:rsidR="008A2409" w:rsidRPr="003D3552">
        <w:rPr>
          <w:rFonts w:ascii="Times New Roman" w:hAnsi="Times New Roman" w:cs="Times New Roman"/>
          <w:sz w:val="24"/>
          <w:szCs w:val="24"/>
        </w:rPr>
        <w:instrText xml:space="preserve"> ADDIN ZOTERO_ITEM CSL_CITATION {"citationID":"dkGVkyGF","properties":{"formattedCitation":"(1944)","plainCitation":"(1944)","noteIndex":0},"citationItems":[{"id":1085,"uris":["http://zotero.org/users/local/GNd40AzT/items/5443DF9G"],"itemData":{"id":1085,"type":"article-journal","container-title":"Carnegie Institution of Washington","page":"225-262","title":"The Alvord Creek flora","volume":"553","author":[{"family":"Axelrod","given":"D.L."}],"issued":{"date-parts":[["1944"]]}},"label":"page","suppress-author":true}],"schema":"https://github.com/citation-style-language/schema/raw/master/csl-citation.json"} </w:instrText>
      </w:r>
      <w:r w:rsidR="008A2409" w:rsidRPr="003D3552">
        <w:rPr>
          <w:rFonts w:ascii="Times New Roman" w:hAnsi="Times New Roman" w:cs="Times New Roman"/>
          <w:sz w:val="24"/>
          <w:szCs w:val="24"/>
        </w:rPr>
        <w:fldChar w:fldCharType="separate"/>
      </w:r>
      <w:r w:rsidR="008A2409" w:rsidRPr="003D3552">
        <w:rPr>
          <w:rFonts w:ascii="Times New Roman" w:hAnsi="Times New Roman" w:cs="Times New Roman"/>
          <w:sz w:val="24"/>
          <w:szCs w:val="24"/>
        </w:rPr>
        <w:t>(1944)</w:t>
      </w:r>
      <w:r w:rsidR="008A2409"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termed the South Fork and Scarp sites, respectively, by us. At 601, our macrofossil census horizon occurs 20-30 m stratigraphically below a basalt dike. Axelrod (1944) describes fossil collections of his study as coming from ~15 m below the basalt dike, higher in section than our sampled horizon. After careful searching, we did not find a productive layer above the one we sampled. At 601N, Axelrod (1944) and Fuller </w:t>
      </w:r>
      <w:r w:rsidR="008A2409" w:rsidRPr="003D3552">
        <w:rPr>
          <w:rFonts w:ascii="Times New Roman" w:hAnsi="Times New Roman" w:cs="Times New Roman"/>
          <w:sz w:val="24"/>
          <w:szCs w:val="24"/>
        </w:rPr>
        <w:fldChar w:fldCharType="begin"/>
      </w:r>
      <w:r w:rsidR="008A2409" w:rsidRPr="003D3552">
        <w:rPr>
          <w:rFonts w:ascii="Times New Roman" w:hAnsi="Times New Roman" w:cs="Times New Roman"/>
          <w:sz w:val="24"/>
          <w:szCs w:val="24"/>
        </w:rPr>
        <w:instrText xml:space="preserve"> ADDIN ZOTERO_ITEM CSL_CITATION {"citationID":"KnRD83Bu","properties":{"formattedCitation":"(1931)","plainCitation":"(1931)","noteIndex":0},"citationItems":[{"id":1314,"uris":["http://zotero.org/users/local/GNd40AzT/items/I7T9I625"],"itemData":{"id":1314,"type":"article-journal","container-title":"University of Washington Publications in Geology","issue":"1","page":"1-130","title":"The geomorphology and volcanic sequence of Steens Mountain in southeastern Oregon","volume":"3","author":[{"family":"Fuller","given":"R.E"}],"issued":{"date-parts":[["1931"]]}},"label":"page","suppress-author":true}],"schema":"https://github.com/citation-style-language/schema/raw/master/csl-citation.json"} </w:instrText>
      </w:r>
      <w:r w:rsidR="008A2409" w:rsidRPr="003D3552">
        <w:rPr>
          <w:rFonts w:ascii="Times New Roman" w:hAnsi="Times New Roman" w:cs="Times New Roman"/>
          <w:sz w:val="24"/>
          <w:szCs w:val="24"/>
        </w:rPr>
        <w:fldChar w:fldCharType="separate"/>
      </w:r>
      <w:r w:rsidR="008A2409" w:rsidRPr="003D3552">
        <w:rPr>
          <w:rFonts w:ascii="Times New Roman" w:hAnsi="Times New Roman" w:cs="Times New Roman"/>
          <w:sz w:val="24"/>
          <w:szCs w:val="24"/>
        </w:rPr>
        <w:t>(1931)</w:t>
      </w:r>
      <w:r w:rsidR="008A2409" w:rsidRPr="003D3552">
        <w:rPr>
          <w:rFonts w:ascii="Times New Roman" w:hAnsi="Times New Roman" w:cs="Times New Roman"/>
          <w:sz w:val="24"/>
          <w:szCs w:val="24"/>
        </w:rPr>
        <w:fldChar w:fldCharType="end"/>
      </w:r>
      <w:r w:rsidR="008A2409" w:rsidRPr="003D3552">
        <w:rPr>
          <w:rFonts w:ascii="Times New Roman" w:hAnsi="Times New Roman" w:cs="Times New Roman"/>
          <w:sz w:val="24"/>
          <w:szCs w:val="24"/>
        </w:rPr>
        <w:t xml:space="preserve"> </w:t>
      </w:r>
      <w:r w:rsidRPr="003D3552">
        <w:rPr>
          <w:rFonts w:ascii="Times New Roman" w:hAnsi="Times New Roman" w:cs="Times New Roman"/>
          <w:sz w:val="24"/>
          <w:szCs w:val="24"/>
        </w:rPr>
        <w:t>describes 200 ft. of shales underlying a basic andesite where fossil plants were sampled. Our census collection was within this extended horizon, though as they do not report their sampling horizons precisely, it is not possible to align our horizon with theirs precisely.</w:t>
      </w:r>
    </w:p>
    <w:p w14:paraId="7EFC3837" w14:textId="77777777" w:rsidR="00B36522" w:rsidRPr="003D3552" w:rsidRDefault="00B36522" w:rsidP="00B36522">
      <w:pPr>
        <w:rPr>
          <w:rFonts w:ascii="Times New Roman" w:hAnsi="Times New Roman" w:cs="Times New Roman"/>
          <w:sz w:val="24"/>
          <w:szCs w:val="24"/>
        </w:rPr>
      </w:pPr>
      <w:r w:rsidRPr="003D3552">
        <w:rPr>
          <w:rFonts w:ascii="Times New Roman" w:hAnsi="Times New Roman" w:cs="Times New Roman"/>
          <w:noProof/>
          <w:sz w:val="24"/>
          <w:szCs w:val="24"/>
        </w:rPr>
        <w:lastRenderedPageBreak/>
        <w:drawing>
          <wp:inline distT="0" distB="0" distL="0" distR="0" wp14:anchorId="6D94A034" wp14:editId="79D2CC12">
            <wp:extent cx="5600700" cy="2389057"/>
            <wp:effectExtent l="0" t="0" r="0" b="0"/>
            <wp:docPr id="479671843" name="Picture 13" descr="A landscape with mountains and clou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671843" name="Picture 13" descr="A landscape with mountains and clouds&#10;&#10;Description automatically generated"/>
                    <pic:cNvPicPr/>
                  </pic:nvPicPr>
                  <pic:blipFill rotWithShape="1">
                    <a:blip r:embed="rId14" cstate="print">
                      <a:extLst>
                        <a:ext uri="{28A0092B-C50C-407E-A947-70E740481C1C}">
                          <a14:useLocalDpi xmlns:a14="http://schemas.microsoft.com/office/drawing/2010/main" val="0"/>
                        </a:ext>
                      </a:extLst>
                    </a:blip>
                    <a:srcRect t="21733" b="21391"/>
                    <a:stretch/>
                  </pic:blipFill>
                  <pic:spPr bwMode="auto">
                    <a:xfrm>
                      <a:off x="0" y="0"/>
                      <a:ext cx="5681158" cy="2423378"/>
                    </a:xfrm>
                    <a:prstGeom prst="rect">
                      <a:avLst/>
                    </a:prstGeom>
                    <a:ln>
                      <a:noFill/>
                    </a:ln>
                    <a:extLst>
                      <a:ext uri="{53640926-AAD7-44D8-BBD7-CCE9431645EC}">
                        <a14:shadowObscured xmlns:a14="http://schemas.microsoft.com/office/drawing/2010/main"/>
                      </a:ext>
                    </a:extLst>
                  </pic:spPr>
                </pic:pic>
              </a:graphicData>
            </a:graphic>
          </wp:inline>
        </w:drawing>
      </w:r>
    </w:p>
    <w:p w14:paraId="2D058613" w14:textId="77777777" w:rsidR="00B36522" w:rsidRPr="003D3552" w:rsidRDefault="00B36522" w:rsidP="00B36522">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26EBBF02" wp14:editId="3D0B7BEE">
            <wp:extent cx="5514975" cy="3384993"/>
            <wp:effectExtent l="0" t="0" r="0" b="6350"/>
            <wp:docPr id="59613406" name="Picture 15" descr="A mountain with a few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13406" name="Picture 15" descr="A mountain with a few white text&#10;&#10;Description automatically generated with medium confidence"/>
                    <pic:cNvPicPr/>
                  </pic:nvPicPr>
                  <pic:blipFill rotWithShape="1">
                    <a:blip r:embed="rId15" cstate="print">
                      <a:extLst>
                        <a:ext uri="{28A0092B-C50C-407E-A947-70E740481C1C}">
                          <a14:useLocalDpi xmlns:a14="http://schemas.microsoft.com/office/drawing/2010/main" val="0"/>
                        </a:ext>
                      </a:extLst>
                    </a:blip>
                    <a:srcRect b="18522"/>
                    <a:stretch/>
                  </pic:blipFill>
                  <pic:spPr bwMode="auto">
                    <a:xfrm>
                      <a:off x="0" y="0"/>
                      <a:ext cx="5529749" cy="3394061"/>
                    </a:xfrm>
                    <a:prstGeom prst="rect">
                      <a:avLst/>
                    </a:prstGeom>
                    <a:ln>
                      <a:noFill/>
                    </a:ln>
                    <a:extLst>
                      <a:ext uri="{53640926-AAD7-44D8-BBD7-CCE9431645EC}">
                        <a14:shadowObscured xmlns:a14="http://schemas.microsoft.com/office/drawing/2010/main"/>
                      </a:ext>
                    </a:extLst>
                  </pic:spPr>
                </pic:pic>
              </a:graphicData>
            </a:graphic>
          </wp:inline>
        </w:drawing>
      </w:r>
    </w:p>
    <w:p w14:paraId="47F5568D" w14:textId="77777777" w:rsidR="00B36522" w:rsidRPr="003D3552" w:rsidRDefault="00B36522" w:rsidP="00B36522">
      <w:pPr>
        <w:rPr>
          <w:rFonts w:ascii="Times New Roman" w:hAnsi="Times New Roman" w:cs="Times New Roman"/>
          <w:sz w:val="24"/>
          <w:szCs w:val="24"/>
        </w:rPr>
      </w:pPr>
      <w:r w:rsidRPr="003D3552">
        <w:rPr>
          <w:rFonts w:ascii="Times New Roman" w:hAnsi="Times New Roman" w:cs="Times New Roman"/>
          <w:noProof/>
          <w:sz w:val="24"/>
          <w:szCs w:val="24"/>
        </w:rPr>
        <w:lastRenderedPageBreak/>
        <w:drawing>
          <wp:inline distT="0" distB="0" distL="0" distR="0" wp14:anchorId="7C9E28E2" wp14:editId="5A93549F">
            <wp:extent cx="4467225" cy="4223819"/>
            <wp:effectExtent l="0" t="0" r="0" b="5715"/>
            <wp:docPr id="287453320" name="Picture 14" descr="A mountain with a red spo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453320" name="Picture 14" descr="A mountain with a red spot&#10;&#10;Description automatically generated with medium confidence"/>
                    <pic:cNvPicPr/>
                  </pic:nvPicPr>
                  <pic:blipFill rotWithShape="1">
                    <a:blip r:embed="rId16">
                      <a:extLst>
                        <a:ext uri="{28A0092B-C50C-407E-A947-70E740481C1C}">
                          <a14:useLocalDpi xmlns:a14="http://schemas.microsoft.com/office/drawing/2010/main" val="0"/>
                        </a:ext>
                      </a:extLst>
                    </a:blip>
                    <a:srcRect b="10043"/>
                    <a:stretch/>
                  </pic:blipFill>
                  <pic:spPr bwMode="auto">
                    <a:xfrm>
                      <a:off x="0" y="0"/>
                      <a:ext cx="4469974" cy="4226418"/>
                    </a:xfrm>
                    <a:prstGeom prst="rect">
                      <a:avLst/>
                    </a:prstGeom>
                    <a:ln>
                      <a:noFill/>
                    </a:ln>
                    <a:extLst>
                      <a:ext uri="{53640926-AAD7-44D8-BBD7-CCE9431645EC}">
                        <a14:shadowObscured xmlns:a14="http://schemas.microsoft.com/office/drawing/2010/main"/>
                      </a:ext>
                    </a:extLst>
                  </pic:spPr>
                </pic:pic>
              </a:graphicData>
            </a:graphic>
          </wp:inline>
        </w:drawing>
      </w:r>
    </w:p>
    <w:p w14:paraId="6B680C89" w14:textId="50F75AAD" w:rsidR="002B7F56" w:rsidRPr="003D3552" w:rsidRDefault="00B36522">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61222E9A" wp14:editId="7762B7CA">
            <wp:extent cx="5162550" cy="3853160"/>
            <wp:effectExtent l="0" t="0" r="0" b="0"/>
            <wp:docPr id="1111037948" name="Picture 16" descr="A close-up of a rocky hi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037948" name="Picture 16" descr="A close-up of a rocky hill&#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75520" cy="3862841"/>
                    </a:xfrm>
                    <a:prstGeom prst="rect">
                      <a:avLst/>
                    </a:prstGeom>
                  </pic:spPr>
                </pic:pic>
              </a:graphicData>
            </a:graphic>
          </wp:inline>
        </w:drawing>
      </w:r>
    </w:p>
    <w:p w14:paraId="068AE0BA" w14:textId="2D342347" w:rsidR="002B7F56" w:rsidRPr="003D3552" w:rsidRDefault="002B7F56" w:rsidP="003D3552">
      <w:pPr>
        <w:pStyle w:val="Heading1"/>
        <w:spacing w:line="480" w:lineRule="auto"/>
      </w:pPr>
      <w:r w:rsidRPr="003D3552">
        <w:lastRenderedPageBreak/>
        <w:t xml:space="preserve">Appendix </w:t>
      </w:r>
      <w:r w:rsidR="003D3552">
        <w:t>2</w:t>
      </w:r>
      <w:r w:rsidRPr="003D3552">
        <w:t xml:space="preserve">. </w:t>
      </w:r>
      <w:r w:rsidR="00976CD8" w:rsidRPr="003D3552">
        <w:t>Confidence scoring</w:t>
      </w:r>
    </w:p>
    <w:p w14:paraId="339D3391" w14:textId="62972F1D" w:rsidR="004F34DE" w:rsidRPr="003D3552" w:rsidRDefault="00455346" w:rsidP="003D3552">
      <w:pPr>
        <w:spacing w:line="480" w:lineRule="auto"/>
        <w:rPr>
          <w:rFonts w:ascii="Times New Roman" w:hAnsi="Times New Roman" w:cs="Times New Roman"/>
          <w:sz w:val="24"/>
          <w:szCs w:val="24"/>
        </w:rPr>
      </w:pPr>
      <w:r w:rsidRPr="003D3552">
        <w:rPr>
          <w:rFonts w:ascii="Times New Roman" w:hAnsi="Times New Roman" w:cs="Times New Roman"/>
          <w:sz w:val="24"/>
          <w:szCs w:val="24"/>
        </w:rPr>
        <w:t xml:space="preserve">Fossil macrofossils and palynomorphs </w:t>
      </w:r>
      <w:r w:rsidR="004F34DE" w:rsidRPr="003D3552">
        <w:rPr>
          <w:rFonts w:ascii="Times New Roman" w:hAnsi="Times New Roman" w:cs="Times New Roman"/>
          <w:sz w:val="24"/>
          <w:szCs w:val="24"/>
        </w:rPr>
        <w:t xml:space="preserve">were </w:t>
      </w:r>
      <w:r w:rsidRPr="003D3552">
        <w:rPr>
          <w:rFonts w:ascii="Times New Roman" w:hAnsi="Times New Roman" w:cs="Times New Roman"/>
          <w:sz w:val="24"/>
          <w:szCs w:val="24"/>
        </w:rPr>
        <w:t>ascribed</w:t>
      </w:r>
      <w:r w:rsidR="004F34DE" w:rsidRPr="003D3552">
        <w:rPr>
          <w:rFonts w:ascii="Times New Roman" w:hAnsi="Times New Roman" w:cs="Times New Roman"/>
          <w:sz w:val="24"/>
          <w:szCs w:val="24"/>
        </w:rPr>
        <w:t xml:space="preserve"> a score of confidence </w:t>
      </w:r>
      <w:r w:rsidRPr="003D3552">
        <w:rPr>
          <w:rFonts w:ascii="Times New Roman" w:hAnsi="Times New Roman" w:cs="Times New Roman"/>
          <w:sz w:val="24"/>
          <w:szCs w:val="24"/>
        </w:rPr>
        <w:t>regarding</w:t>
      </w:r>
      <w:r w:rsidR="004F34DE" w:rsidRPr="003D3552">
        <w:rPr>
          <w:rFonts w:ascii="Times New Roman" w:hAnsi="Times New Roman" w:cs="Times New Roman"/>
          <w:sz w:val="24"/>
          <w:szCs w:val="24"/>
        </w:rPr>
        <w:t xml:space="preserve"> their assignment of taxonomic affinity</w:t>
      </w:r>
      <w:r w:rsidR="00436A0D" w:rsidRPr="003D3552">
        <w:rPr>
          <w:rFonts w:ascii="Times New Roman" w:hAnsi="Times New Roman" w:cs="Times New Roman"/>
          <w:sz w:val="24"/>
          <w:szCs w:val="24"/>
        </w:rPr>
        <w:t xml:space="preserve"> </w:t>
      </w:r>
      <w:r w:rsidRPr="003D3552">
        <w:rPr>
          <w:rFonts w:ascii="Times New Roman" w:hAnsi="Times New Roman" w:cs="Times New Roman"/>
          <w:sz w:val="24"/>
          <w:szCs w:val="24"/>
        </w:rPr>
        <w:t>following the workflow below</w:t>
      </w:r>
      <w:r w:rsidR="00436A0D" w:rsidRPr="003D3552">
        <w:rPr>
          <w:rFonts w:ascii="Times New Roman" w:hAnsi="Times New Roman" w:cs="Times New Roman"/>
          <w:sz w:val="24"/>
          <w:szCs w:val="24"/>
        </w:rPr>
        <w:t xml:space="preserve"> (Fig. </w:t>
      </w:r>
      <w:r w:rsidR="003D3552">
        <w:rPr>
          <w:rFonts w:ascii="Times New Roman" w:hAnsi="Times New Roman" w:cs="Times New Roman"/>
          <w:sz w:val="24"/>
          <w:szCs w:val="24"/>
        </w:rPr>
        <w:t>A2.1</w:t>
      </w:r>
      <w:r w:rsidR="00436A0D" w:rsidRPr="003D3552">
        <w:rPr>
          <w:rFonts w:ascii="Times New Roman" w:hAnsi="Times New Roman" w:cs="Times New Roman"/>
          <w:sz w:val="24"/>
          <w:szCs w:val="24"/>
        </w:rPr>
        <w:t>)</w:t>
      </w:r>
      <w:r w:rsidR="004F34DE" w:rsidRPr="003D3552">
        <w:rPr>
          <w:rFonts w:ascii="Times New Roman" w:hAnsi="Times New Roman" w:cs="Times New Roman"/>
          <w:sz w:val="24"/>
          <w:szCs w:val="24"/>
        </w:rPr>
        <w:t xml:space="preserve">. This system is </w:t>
      </w:r>
      <w:r w:rsidRPr="003D3552">
        <w:rPr>
          <w:rFonts w:ascii="Times New Roman" w:hAnsi="Times New Roman" w:cs="Times New Roman"/>
          <w:sz w:val="24"/>
          <w:szCs w:val="24"/>
        </w:rPr>
        <w:t xml:space="preserve">used </w:t>
      </w:r>
      <w:r w:rsidR="004F34DE" w:rsidRPr="003D3552">
        <w:rPr>
          <w:rFonts w:ascii="Times New Roman" w:hAnsi="Times New Roman" w:cs="Times New Roman"/>
          <w:sz w:val="24"/>
          <w:szCs w:val="24"/>
        </w:rPr>
        <w:t xml:space="preserve">to better acknowledge uncertainty in taxonomic assignments, especially for fossil foliage. </w:t>
      </w:r>
      <w:r w:rsidR="00436A0D" w:rsidRPr="003D3552">
        <w:rPr>
          <w:rFonts w:ascii="Times New Roman" w:hAnsi="Times New Roman" w:cs="Times New Roman"/>
          <w:sz w:val="24"/>
          <w:szCs w:val="24"/>
        </w:rPr>
        <w:t xml:space="preserve">Organs are first assigned in isolation (considering </w:t>
      </w:r>
      <w:r w:rsidRPr="003D3552">
        <w:rPr>
          <w:rFonts w:ascii="Times New Roman" w:hAnsi="Times New Roman" w:cs="Times New Roman"/>
          <w:sz w:val="24"/>
          <w:szCs w:val="24"/>
        </w:rPr>
        <w:t>a</w:t>
      </w:r>
      <w:r w:rsidR="00436A0D" w:rsidRPr="003D3552">
        <w:rPr>
          <w:rFonts w:ascii="Times New Roman" w:hAnsi="Times New Roman" w:cs="Times New Roman"/>
          <w:sz w:val="24"/>
          <w:szCs w:val="24"/>
        </w:rPr>
        <w:t xml:space="preserve"> single organ at </w:t>
      </w:r>
      <w:r w:rsidRPr="003D3552">
        <w:rPr>
          <w:rFonts w:ascii="Times New Roman" w:hAnsi="Times New Roman" w:cs="Times New Roman"/>
          <w:sz w:val="24"/>
          <w:szCs w:val="24"/>
        </w:rPr>
        <w:t>a</w:t>
      </w:r>
      <w:r w:rsidR="00436A0D" w:rsidRPr="003D3552">
        <w:rPr>
          <w:rFonts w:ascii="Times New Roman" w:hAnsi="Times New Roman" w:cs="Times New Roman"/>
          <w:sz w:val="24"/>
          <w:szCs w:val="24"/>
        </w:rPr>
        <w:t xml:space="preserve"> single site). Criteria used in these assignments </w:t>
      </w:r>
      <w:r w:rsidRPr="003D3552">
        <w:rPr>
          <w:rFonts w:ascii="Times New Roman" w:hAnsi="Times New Roman" w:cs="Times New Roman"/>
          <w:sz w:val="24"/>
          <w:szCs w:val="24"/>
        </w:rPr>
        <w:t>are</w:t>
      </w:r>
      <w:r w:rsidR="00436A0D" w:rsidRPr="003D3552">
        <w:rPr>
          <w:rFonts w:ascii="Times New Roman" w:hAnsi="Times New Roman" w:cs="Times New Roman"/>
          <w:sz w:val="24"/>
          <w:szCs w:val="24"/>
        </w:rPr>
        <w:t xml:space="preserve"> detailed </w:t>
      </w:r>
      <w:r w:rsidRPr="003D3552">
        <w:rPr>
          <w:rFonts w:ascii="Times New Roman" w:hAnsi="Times New Roman" w:cs="Times New Roman"/>
          <w:sz w:val="24"/>
          <w:szCs w:val="24"/>
        </w:rPr>
        <w:t>below</w:t>
      </w:r>
      <w:r w:rsidR="00436A0D" w:rsidRPr="003D3552">
        <w:rPr>
          <w:rFonts w:ascii="Times New Roman" w:hAnsi="Times New Roman" w:cs="Times New Roman"/>
          <w:sz w:val="24"/>
          <w:szCs w:val="24"/>
        </w:rPr>
        <w:t xml:space="preserve">. Fossil taxon </w:t>
      </w:r>
      <w:proofErr w:type="gramStart"/>
      <w:r w:rsidR="00436A0D" w:rsidRPr="003D3552">
        <w:rPr>
          <w:rFonts w:ascii="Times New Roman" w:hAnsi="Times New Roman" w:cs="Times New Roman"/>
          <w:sz w:val="24"/>
          <w:szCs w:val="24"/>
        </w:rPr>
        <w:t>are</w:t>
      </w:r>
      <w:proofErr w:type="gramEnd"/>
      <w:r w:rsidR="00436A0D" w:rsidRPr="003D3552">
        <w:rPr>
          <w:rFonts w:ascii="Times New Roman" w:hAnsi="Times New Roman" w:cs="Times New Roman"/>
          <w:sz w:val="24"/>
          <w:szCs w:val="24"/>
        </w:rPr>
        <w:t xml:space="preserve"> most often assigned a score of 3, rather than simply not providing taxonomic affinity (“Unassigned”), to preserve discussion on historical nomenclature and/or to encourage future work. If present, we then allow the occurrence of more diagnostic organs (either pollen or reproductive macrofossils) at the same site to influence the confidence of fossil foliage. </w:t>
      </w:r>
      <w:r w:rsidRPr="003D3552">
        <w:rPr>
          <w:rFonts w:ascii="Times New Roman" w:hAnsi="Times New Roman" w:cs="Times New Roman"/>
          <w:sz w:val="24"/>
          <w:szCs w:val="24"/>
        </w:rPr>
        <w:t xml:space="preserve">Taxonomic </w:t>
      </w:r>
      <w:r w:rsidR="00436A0D" w:rsidRPr="003D3552">
        <w:rPr>
          <w:rFonts w:ascii="Times New Roman" w:hAnsi="Times New Roman" w:cs="Times New Roman"/>
          <w:sz w:val="24"/>
          <w:szCs w:val="24"/>
        </w:rPr>
        <w:t>Lastly, we consider synonymy drawn between site-level morphotypes (i.e., those included in study-level morphotypes), such that if a morphotype in synonymy is assigned a lower confidence (higher score) at one site, due to poorer preservation or lack of more diagnostic organs co-occurring at the site, than a morphotype under the same synonymy at a separate site, the highest confidence (lowest score) is assumed.</w:t>
      </w:r>
      <w:r w:rsidRPr="003D3552">
        <w:rPr>
          <w:rFonts w:ascii="Times New Roman" w:hAnsi="Times New Roman" w:cs="Times New Roman"/>
          <w:sz w:val="24"/>
          <w:szCs w:val="24"/>
        </w:rPr>
        <w:t xml:space="preserve"> Justifications were recorded for each initial confidence score, but for sake of space, are not included in this dissertation; rather they will be incorporated into a publicly available database </w:t>
      </w:r>
      <w:proofErr w:type="gramStart"/>
      <w:r w:rsidRPr="003D3552">
        <w:rPr>
          <w:rFonts w:ascii="Times New Roman" w:hAnsi="Times New Roman" w:cs="Times New Roman"/>
          <w:sz w:val="24"/>
          <w:szCs w:val="24"/>
        </w:rPr>
        <w:t>in the near future</w:t>
      </w:r>
      <w:proofErr w:type="gramEnd"/>
      <w:r w:rsidRPr="003D3552">
        <w:rPr>
          <w:rFonts w:ascii="Times New Roman" w:hAnsi="Times New Roman" w:cs="Times New Roman"/>
          <w:sz w:val="24"/>
          <w:szCs w:val="24"/>
        </w:rPr>
        <w:t>.</w:t>
      </w:r>
    </w:p>
    <w:p w14:paraId="212DD288" w14:textId="7C443062" w:rsidR="00436A0D" w:rsidRPr="003D3552" w:rsidRDefault="00436A0D" w:rsidP="004F34DE">
      <w:pPr>
        <w:rPr>
          <w:rFonts w:ascii="Times New Roman" w:hAnsi="Times New Roman" w:cs="Times New Roman"/>
          <w:sz w:val="24"/>
          <w:szCs w:val="24"/>
        </w:rPr>
      </w:pPr>
      <w:r w:rsidRPr="003D3552">
        <w:rPr>
          <w:rFonts w:ascii="Times New Roman" w:hAnsi="Times New Roman" w:cs="Times New Roman"/>
          <w:noProof/>
          <w:sz w:val="24"/>
          <w:szCs w:val="24"/>
        </w:rPr>
        <w:lastRenderedPageBreak/>
        <w:drawing>
          <wp:inline distT="0" distB="0" distL="0" distR="0" wp14:anchorId="5F011144" wp14:editId="1053F7EB">
            <wp:extent cx="5484096" cy="5934075"/>
            <wp:effectExtent l="0" t="0" r="2540" b="0"/>
            <wp:docPr id="101771341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713418" name="Picture 1" descr="A screenshot of a computer screen&#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539741" cy="5994286"/>
                    </a:xfrm>
                    <a:prstGeom prst="rect">
                      <a:avLst/>
                    </a:prstGeom>
                  </pic:spPr>
                </pic:pic>
              </a:graphicData>
            </a:graphic>
          </wp:inline>
        </w:drawing>
      </w:r>
    </w:p>
    <w:p w14:paraId="2947EC74" w14:textId="0FD23C27" w:rsidR="00455346" w:rsidRPr="003D3552" w:rsidRDefault="00436A0D">
      <w:pPr>
        <w:rPr>
          <w:rFonts w:ascii="Times New Roman" w:hAnsi="Times New Roman" w:cs="Times New Roman"/>
          <w:sz w:val="24"/>
          <w:szCs w:val="24"/>
        </w:rPr>
      </w:pPr>
      <w:r w:rsidRPr="003D3552">
        <w:rPr>
          <w:rFonts w:ascii="Times New Roman" w:hAnsi="Times New Roman" w:cs="Times New Roman"/>
          <w:b/>
          <w:bCs/>
          <w:sz w:val="24"/>
          <w:szCs w:val="24"/>
        </w:rPr>
        <w:t>Fig</w:t>
      </w:r>
      <w:r w:rsidR="003D3552">
        <w:rPr>
          <w:rFonts w:ascii="Times New Roman" w:hAnsi="Times New Roman" w:cs="Times New Roman"/>
          <w:b/>
          <w:bCs/>
          <w:sz w:val="24"/>
          <w:szCs w:val="24"/>
        </w:rPr>
        <w:t>ure</w:t>
      </w:r>
      <w:r w:rsidRPr="003D3552">
        <w:rPr>
          <w:rFonts w:ascii="Times New Roman" w:hAnsi="Times New Roman" w:cs="Times New Roman"/>
          <w:b/>
          <w:bCs/>
          <w:sz w:val="24"/>
          <w:szCs w:val="24"/>
        </w:rPr>
        <w:t xml:space="preserve"> </w:t>
      </w:r>
      <w:r w:rsidR="003D3552">
        <w:rPr>
          <w:rFonts w:ascii="Times New Roman" w:hAnsi="Times New Roman" w:cs="Times New Roman"/>
          <w:b/>
          <w:bCs/>
          <w:sz w:val="24"/>
          <w:szCs w:val="24"/>
        </w:rPr>
        <w:t>A2.1</w:t>
      </w:r>
      <w:r w:rsidRPr="003D3552">
        <w:rPr>
          <w:rFonts w:ascii="Times New Roman" w:hAnsi="Times New Roman" w:cs="Times New Roman"/>
          <w:sz w:val="24"/>
          <w:szCs w:val="24"/>
        </w:rPr>
        <w:t>. Flow diagram illustrating the workflow for assigning confidence scores in assignments of taxonomic affinity</w:t>
      </w:r>
      <w:r w:rsidR="00455346" w:rsidRPr="003D3552">
        <w:rPr>
          <w:rFonts w:ascii="Times New Roman" w:hAnsi="Times New Roman" w:cs="Times New Roman"/>
          <w:sz w:val="24"/>
          <w:szCs w:val="24"/>
        </w:rPr>
        <w:br w:type="page"/>
      </w:r>
    </w:p>
    <w:p w14:paraId="4B106129" w14:textId="73391DC6" w:rsidR="00436A0D" w:rsidRPr="003D3552" w:rsidRDefault="00455346" w:rsidP="00455346">
      <w:pPr>
        <w:pStyle w:val="Heading1"/>
        <w:rPr>
          <w:rFonts w:cs="Times New Roman"/>
          <w:szCs w:val="24"/>
        </w:rPr>
      </w:pPr>
      <w:r w:rsidRPr="003D3552">
        <w:rPr>
          <w:rFonts w:cs="Times New Roman"/>
          <w:szCs w:val="24"/>
        </w:rPr>
        <w:lastRenderedPageBreak/>
        <w:t xml:space="preserve">Appendix </w:t>
      </w:r>
      <w:r w:rsidR="003D3552">
        <w:rPr>
          <w:rFonts w:cs="Times New Roman"/>
          <w:szCs w:val="24"/>
        </w:rPr>
        <w:t>5</w:t>
      </w:r>
      <w:r w:rsidR="00976CD8" w:rsidRPr="003D3552">
        <w:rPr>
          <w:rFonts w:cs="Times New Roman"/>
          <w:szCs w:val="24"/>
        </w:rPr>
        <w:t>. Impact of confidence on Bioclimatic Analysis</w:t>
      </w:r>
    </w:p>
    <w:p w14:paraId="09E2230C" w14:textId="176CEC83" w:rsidR="00976CD8" w:rsidRPr="003D3552" w:rsidRDefault="00976CD8" w:rsidP="00976CD8">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7F18CAEA" wp14:editId="40ED0751">
            <wp:extent cx="4559011" cy="5572125"/>
            <wp:effectExtent l="0" t="0" r="0" b="0"/>
            <wp:docPr id="2041643325" name="Picture 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643325" name="Picture 2" descr="A screenshot of a graph&#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59780" cy="5573065"/>
                    </a:xfrm>
                    <a:prstGeom prst="rect">
                      <a:avLst/>
                    </a:prstGeom>
                  </pic:spPr>
                </pic:pic>
              </a:graphicData>
            </a:graphic>
          </wp:inline>
        </w:drawing>
      </w:r>
    </w:p>
    <w:p w14:paraId="135E9171" w14:textId="7F2EC405" w:rsidR="00976CD8" w:rsidRPr="003D3552" w:rsidRDefault="00976CD8" w:rsidP="00976CD8">
      <w:pPr>
        <w:rPr>
          <w:rFonts w:ascii="Times New Roman" w:hAnsi="Times New Roman" w:cs="Times New Roman"/>
          <w:sz w:val="24"/>
          <w:szCs w:val="24"/>
        </w:rPr>
      </w:pPr>
      <w:r w:rsidRPr="003D3552">
        <w:rPr>
          <w:rFonts w:ascii="Times New Roman" w:hAnsi="Times New Roman" w:cs="Times New Roman"/>
          <w:b/>
          <w:bCs/>
          <w:sz w:val="24"/>
          <w:szCs w:val="24"/>
        </w:rPr>
        <w:t xml:space="preserve">Figure </w:t>
      </w:r>
      <w:r w:rsidR="003D3552">
        <w:rPr>
          <w:rFonts w:ascii="Times New Roman" w:hAnsi="Times New Roman" w:cs="Times New Roman"/>
          <w:b/>
          <w:bCs/>
          <w:sz w:val="24"/>
          <w:szCs w:val="24"/>
        </w:rPr>
        <w:t>A5.1</w:t>
      </w:r>
      <w:r w:rsidRPr="003D3552">
        <w:rPr>
          <w:rFonts w:ascii="Times New Roman" w:hAnsi="Times New Roman" w:cs="Times New Roman"/>
          <w:sz w:val="24"/>
          <w:szCs w:val="24"/>
        </w:rPr>
        <w:t>. The</w:t>
      </w:r>
      <w:r w:rsidRPr="003D3552">
        <w:rPr>
          <w:rFonts w:ascii="Times New Roman" w:hAnsi="Times New Roman" w:cs="Times New Roman"/>
          <w:sz w:val="24"/>
          <w:szCs w:val="24"/>
        </w:rPr>
        <w:t xml:space="preserve"> impact of filtering </w:t>
      </w:r>
      <w:r w:rsidRPr="003D3552">
        <w:rPr>
          <w:rFonts w:ascii="Times New Roman" w:hAnsi="Times New Roman" w:cs="Times New Roman"/>
          <w:sz w:val="24"/>
          <w:szCs w:val="24"/>
        </w:rPr>
        <w:t>levels</w:t>
      </w:r>
      <w:r w:rsidRPr="003D3552">
        <w:rPr>
          <w:rFonts w:ascii="Times New Roman" w:hAnsi="Times New Roman" w:cs="Times New Roman"/>
          <w:sz w:val="24"/>
          <w:szCs w:val="24"/>
        </w:rPr>
        <w:t xml:space="preserve">, regarding confidence scores of taxonomic affinity, </w:t>
      </w:r>
      <w:r w:rsidRPr="003D3552">
        <w:rPr>
          <w:rFonts w:ascii="Times New Roman" w:hAnsi="Times New Roman" w:cs="Times New Roman"/>
          <w:sz w:val="24"/>
          <w:szCs w:val="24"/>
        </w:rPr>
        <w:t>on paleoclimate estimates derived from the Bioclimatic Analysis</w:t>
      </w:r>
      <w:r w:rsidRPr="003D3552">
        <w:rPr>
          <w:rFonts w:ascii="Times New Roman" w:hAnsi="Times New Roman" w:cs="Times New Roman"/>
          <w:sz w:val="24"/>
          <w:szCs w:val="24"/>
        </w:rPr>
        <w:t xml:space="preserve">. </w:t>
      </w:r>
      <w:r w:rsidRPr="003D3552">
        <w:rPr>
          <w:rFonts w:ascii="Times New Roman" w:hAnsi="Times New Roman" w:cs="Times New Roman"/>
          <w:sz w:val="24"/>
          <w:szCs w:val="24"/>
        </w:rPr>
        <w:t xml:space="preserve">In general, there is </w:t>
      </w:r>
      <w:proofErr w:type="gramStart"/>
      <w:r w:rsidRPr="003D3552">
        <w:rPr>
          <w:rFonts w:ascii="Times New Roman" w:hAnsi="Times New Roman" w:cs="Times New Roman"/>
          <w:sz w:val="24"/>
          <w:szCs w:val="24"/>
        </w:rPr>
        <w:t>strong</w:t>
      </w:r>
      <w:proofErr w:type="gramEnd"/>
      <w:r w:rsidRPr="003D3552">
        <w:rPr>
          <w:rFonts w:ascii="Times New Roman" w:hAnsi="Times New Roman" w:cs="Times New Roman"/>
          <w:sz w:val="24"/>
          <w:szCs w:val="24"/>
        </w:rPr>
        <w:t xml:space="preserve"> correlati</w:t>
      </w:r>
      <w:r w:rsidRPr="003D3552">
        <w:rPr>
          <w:rFonts w:ascii="Times New Roman" w:hAnsi="Times New Roman" w:cs="Times New Roman"/>
          <w:sz w:val="24"/>
          <w:szCs w:val="24"/>
        </w:rPr>
        <w:t>on between different filtering levels</w:t>
      </w:r>
      <w:r w:rsidRPr="003D3552">
        <w:rPr>
          <w:rFonts w:ascii="Times New Roman" w:hAnsi="Times New Roman" w:cs="Times New Roman"/>
          <w:sz w:val="24"/>
          <w:szCs w:val="24"/>
        </w:rPr>
        <w:t xml:space="preserve">, suggesting moderately low sensitivity to taxonomic confidence in this </w:t>
      </w:r>
      <w:proofErr w:type="gramStart"/>
      <w:r w:rsidRPr="003D3552">
        <w:rPr>
          <w:rFonts w:ascii="Times New Roman" w:hAnsi="Times New Roman" w:cs="Times New Roman"/>
          <w:sz w:val="24"/>
          <w:szCs w:val="24"/>
        </w:rPr>
        <w:t xml:space="preserve">particular </w:t>
      </w:r>
      <w:r w:rsidRPr="003D3552">
        <w:rPr>
          <w:rFonts w:ascii="Times New Roman" w:hAnsi="Times New Roman" w:cs="Times New Roman"/>
          <w:sz w:val="24"/>
          <w:szCs w:val="24"/>
        </w:rPr>
        <w:t>case</w:t>
      </w:r>
      <w:proofErr w:type="gramEnd"/>
      <w:r w:rsidRPr="003D3552">
        <w:rPr>
          <w:rFonts w:ascii="Times New Roman" w:hAnsi="Times New Roman" w:cs="Times New Roman"/>
          <w:sz w:val="24"/>
          <w:szCs w:val="24"/>
        </w:rPr>
        <w:t>.</w:t>
      </w:r>
      <w:r w:rsidR="00D5275D" w:rsidRPr="003D3552">
        <w:rPr>
          <w:rFonts w:ascii="Times New Roman" w:hAnsi="Times New Roman" w:cs="Times New Roman"/>
          <w:sz w:val="24"/>
          <w:szCs w:val="24"/>
        </w:rPr>
        <w:t xml:space="preserve"> MAT = mean annual temperature, CQT = cold quarter temperature, MAP = mean annual precipitation, C1 = high confidence, C2 = medium confidence, C3 = low confidence. </w:t>
      </w:r>
    </w:p>
    <w:p w14:paraId="7A97EB84" w14:textId="313332FF" w:rsidR="00D5275D" w:rsidRPr="003D3552" w:rsidRDefault="00D5275D">
      <w:pPr>
        <w:rPr>
          <w:rFonts w:ascii="Times New Roman" w:hAnsi="Times New Roman" w:cs="Times New Roman"/>
          <w:sz w:val="24"/>
          <w:szCs w:val="24"/>
        </w:rPr>
      </w:pPr>
      <w:r w:rsidRPr="003D3552">
        <w:rPr>
          <w:rFonts w:ascii="Times New Roman" w:hAnsi="Times New Roman" w:cs="Times New Roman"/>
          <w:sz w:val="24"/>
          <w:szCs w:val="24"/>
        </w:rPr>
        <w:br w:type="page"/>
      </w:r>
    </w:p>
    <w:p w14:paraId="143826D9" w14:textId="165A4830" w:rsidR="00D5275D" w:rsidRPr="003D3552" w:rsidRDefault="00D5275D" w:rsidP="00D5275D">
      <w:pPr>
        <w:pStyle w:val="Heading1"/>
        <w:rPr>
          <w:rFonts w:cs="Times New Roman"/>
          <w:szCs w:val="24"/>
        </w:rPr>
      </w:pPr>
      <w:r w:rsidRPr="003D3552">
        <w:rPr>
          <w:rFonts w:cs="Times New Roman"/>
          <w:szCs w:val="24"/>
        </w:rPr>
        <w:lastRenderedPageBreak/>
        <w:t xml:space="preserve">Appendix </w:t>
      </w:r>
      <w:r w:rsidR="003D3552">
        <w:rPr>
          <w:rFonts w:cs="Times New Roman"/>
          <w:szCs w:val="24"/>
        </w:rPr>
        <w:t>6</w:t>
      </w:r>
      <w:r w:rsidRPr="003D3552">
        <w:rPr>
          <w:rFonts w:cs="Times New Roman"/>
          <w:szCs w:val="24"/>
        </w:rPr>
        <w:t>. Quantification of modern Pacific Northwest climate</w:t>
      </w:r>
    </w:p>
    <w:p w14:paraId="2A04F5E9" w14:textId="7FF30A48" w:rsidR="00D5275D" w:rsidRPr="003D3552" w:rsidRDefault="00D5275D" w:rsidP="00976CD8">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29DE6BFC" wp14:editId="06AAB33D">
            <wp:extent cx="5943600" cy="4594225"/>
            <wp:effectExtent l="0" t="0" r="0" b="0"/>
            <wp:docPr id="1401712062" name="Picture 3" descr="A map of land with a whit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712062" name="Picture 3" descr="A map of land with a white rectangle&#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4594225"/>
                    </a:xfrm>
                    <a:prstGeom prst="rect">
                      <a:avLst/>
                    </a:prstGeom>
                  </pic:spPr>
                </pic:pic>
              </a:graphicData>
            </a:graphic>
          </wp:inline>
        </w:drawing>
      </w:r>
    </w:p>
    <w:p w14:paraId="3FC72245" w14:textId="77DF380A" w:rsidR="00D5275D" w:rsidRPr="003D3552" w:rsidRDefault="00D5275D" w:rsidP="00976CD8">
      <w:pPr>
        <w:rPr>
          <w:rFonts w:ascii="Times New Roman" w:hAnsi="Times New Roman" w:cs="Times New Roman"/>
          <w:sz w:val="24"/>
          <w:szCs w:val="24"/>
        </w:rPr>
      </w:pPr>
      <w:r w:rsidRPr="003D3552">
        <w:rPr>
          <w:rFonts w:ascii="Times New Roman" w:hAnsi="Times New Roman" w:cs="Times New Roman"/>
          <w:b/>
          <w:bCs/>
          <w:sz w:val="24"/>
          <w:szCs w:val="24"/>
        </w:rPr>
        <w:t>Figure</w:t>
      </w:r>
      <w:r w:rsidR="003D3552" w:rsidRPr="003D3552">
        <w:rPr>
          <w:rFonts w:ascii="Times New Roman" w:hAnsi="Times New Roman" w:cs="Times New Roman"/>
          <w:b/>
          <w:bCs/>
          <w:sz w:val="24"/>
          <w:szCs w:val="24"/>
        </w:rPr>
        <w:t xml:space="preserve"> A6.1</w:t>
      </w:r>
      <w:r w:rsidRPr="003D3552">
        <w:rPr>
          <w:rFonts w:ascii="Times New Roman" w:hAnsi="Times New Roman" w:cs="Times New Roman"/>
          <w:b/>
          <w:bCs/>
          <w:sz w:val="24"/>
          <w:szCs w:val="24"/>
        </w:rPr>
        <w:t>.</w:t>
      </w:r>
      <w:r w:rsidRPr="003D3552">
        <w:rPr>
          <w:rFonts w:ascii="Times New Roman" w:hAnsi="Times New Roman" w:cs="Times New Roman"/>
          <w:sz w:val="24"/>
          <w:szCs w:val="24"/>
        </w:rPr>
        <w:t xml:space="preserve"> Randomly selected coordinates in the Pacific Northwest where modern climate was extracted using </w:t>
      </w:r>
      <w:proofErr w:type="spellStart"/>
      <w:r w:rsidRPr="003D3552">
        <w:rPr>
          <w:rFonts w:ascii="Times New Roman" w:hAnsi="Times New Roman" w:cs="Times New Roman"/>
          <w:sz w:val="24"/>
          <w:szCs w:val="24"/>
        </w:rPr>
        <w:t>WorldCLIM</w:t>
      </w:r>
      <w:proofErr w:type="spellEnd"/>
      <w:r w:rsidRPr="003D3552">
        <w:rPr>
          <w:rFonts w:ascii="Times New Roman" w:hAnsi="Times New Roman" w:cs="Times New Roman"/>
          <w:sz w:val="24"/>
          <w:szCs w:val="24"/>
        </w:rPr>
        <w:t xml:space="preserve"> bioclimatic variables. </w:t>
      </w:r>
      <w:r w:rsidRPr="003D3552">
        <w:rPr>
          <w:rFonts w:ascii="Times New Roman" w:hAnsi="Times New Roman" w:cs="Times New Roman"/>
          <w:sz w:val="24"/>
          <w:szCs w:val="24"/>
        </w:rPr>
        <w:t xml:space="preserve">We first generated 1000 random points roughly west of the Cascades and 10,000 points roughly east of the Cascades, </w:t>
      </w:r>
      <w:r w:rsidRPr="003D3552">
        <w:rPr>
          <w:rFonts w:ascii="Times New Roman" w:hAnsi="Times New Roman" w:cs="Times New Roman"/>
          <w:sz w:val="24"/>
          <w:szCs w:val="24"/>
        </w:rPr>
        <w:t>along a longitudinal division of -121.75°</w:t>
      </w:r>
      <w:r w:rsidRPr="003D3552">
        <w:rPr>
          <w:rFonts w:ascii="Times New Roman" w:hAnsi="Times New Roman" w:cs="Times New Roman"/>
          <w:sz w:val="24"/>
          <w:szCs w:val="24"/>
        </w:rPr>
        <w:t xml:space="preserve">. Elevation was then ascribed for each coordinate from </w:t>
      </w:r>
      <w:proofErr w:type="spellStart"/>
      <w:r w:rsidRPr="003D3552">
        <w:rPr>
          <w:rFonts w:ascii="Times New Roman" w:hAnsi="Times New Roman" w:cs="Times New Roman"/>
          <w:sz w:val="24"/>
          <w:szCs w:val="24"/>
        </w:rPr>
        <w:t>WorldCLIM</w:t>
      </w:r>
      <w:proofErr w:type="spellEnd"/>
      <w:r w:rsidRPr="003D3552">
        <w:rPr>
          <w:rFonts w:ascii="Times New Roman" w:hAnsi="Times New Roman" w:cs="Times New Roman"/>
          <w:sz w:val="24"/>
          <w:szCs w:val="24"/>
        </w:rPr>
        <w:t xml:space="preserve"> and t</w:t>
      </w:r>
      <w:r w:rsidRPr="003D3552">
        <w:rPr>
          <w:rFonts w:ascii="Times New Roman" w:hAnsi="Times New Roman" w:cs="Times New Roman"/>
          <w:sz w:val="24"/>
          <w:szCs w:val="24"/>
        </w:rPr>
        <w:t xml:space="preserve">he coordinates were filtered to only include lowland elevations (&lt; 900 </w:t>
      </w:r>
      <w:proofErr w:type="spellStart"/>
      <w:r w:rsidRPr="003D3552">
        <w:rPr>
          <w:rFonts w:ascii="Times New Roman" w:hAnsi="Times New Roman" w:cs="Times New Roman"/>
          <w:sz w:val="24"/>
          <w:szCs w:val="24"/>
        </w:rPr>
        <w:t>m.a.s.l</w:t>
      </w:r>
      <w:proofErr w:type="spellEnd"/>
      <w:r w:rsidRPr="003D3552">
        <w:rPr>
          <w:rFonts w:ascii="Times New Roman" w:hAnsi="Times New Roman" w:cs="Times New Roman"/>
          <w:sz w:val="24"/>
          <w:szCs w:val="24"/>
        </w:rPr>
        <w:t xml:space="preserve">). </w:t>
      </w:r>
      <w:r w:rsidRPr="003D3552">
        <w:rPr>
          <w:rFonts w:ascii="Times New Roman" w:hAnsi="Times New Roman" w:cs="Times New Roman"/>
          <w:sz w:val="24"/>
          <w:szCs w:val="24"/>
        </w:rPr>
        <w:t>This resulted in the coordinates figured in the map for those west</w:t>
      </w:r>
      <w:r w:rsidRPr="003D3552">
        <w:rPr>
          <w:rFonts w:ascii="Times New Roman" w:hAnsi="Times New Roman" w:cs="Times New Roman"/>
          <w:sz w:val="24"/>
          <w:szCs w:val="24"/>
        </w:rPr>
        <w:t xml:space="preserve"> (brown; n = 788) and east (tan; n = 2809) of the Cascade Mountain Range</w:t>
      </w:r>
      <w:r w:rsidRPr="003D3552">
        <w:rPr>
          <w:rFonts w:ascii="Times New Roman" w:hAnsi="Times New Roman" w:cs="Times New Roman"/>
          <w:sz w:val="24"/>
          <w:szCs w:val="24"/>
        </w:rPr>
        <w:t xml:space="preserve">. </w:t>
      </w:r>
    </w:p>
    <w:p w14:paraId="4989CE72" w14:textId="46C1C03C" w:rsidR="00D5275D" w:rsidRPr="003D3552" w:rsidRDefault="00D5275D">
      <w:pPr>
        <w:rPr>
          <w:rFonts w:ascii="Times New Roman" w:hAnsi="Times New Roman" w:cs="Times New Roman"/>
          <w:sz w:val="24"/>
          <w:szCs w:val="24"/>
        </w:rPr>
      </w:pPr>
      <w:r w:rsidRPr="003D3552">
        <w:rPr>
          <w:rFonts w:ascii="Times New Roman" w:hAnsi="Times New Roman" w:cs="Times New Roman"/>
          <w:sz w:val="24"/>
          <w:szCs w:val="24"/>
        </w:rPr>
        <w:br w:type="page"/>
      </w:r>
    </w:p>
    <w:p w14:paraId="11F888F4" w14:textId="77777777" w:rsidR="00D5275D" w:rsidRPr="003D3552" w:rsidRDefault="00D5275D" w:rsidP="00976CD8">
      <w:pPr>
        <w:rPr>
          <w:rFonts w:ascii="Times New Roman" w:hAnsi="Times New Roman" w:cs="Times New Roman"/>
          <w:sz w:val="24"/>
          <w:szCs w:val="24"/>
        </w:rPr>
      </w:pPr>
    </w:p>
    <w:p w14:paraId="107A0D7D" w14:textId="44E19A55" w:rsidR="00455346" w:rsidRPr="003D3552" w:rsidRDefault="001C6CE5" w:rsidP="001C6CE5">
      <w:pPr>
        <w:pStyle w:val="Heading1"/>
        <w:rPr>
          <w:rFonts w:cs="Times New Roman"/>
          <w:i/>
          <w:iCs/>
          <w:szCs w:val="24"/>
        </w:rPr>
      </w:pPr>
      <w:r w:rsidRPr="003D3552">
        <w:rPr>
          <w:rFonts w:cs="Times New Roman"/>
          <w:szCs w:val="24"/>
        </w:rPr>
        <w:t xml:space="preserve">Appendix </w:t>
      </w:r>
      <w:r w:rsidR="003D3552">
        <w:rPr>
          <w:rFonts w:cs="Times New Roman"/>
          <w:szCs w:val="24"/>
        </w:rPr>
        <w:t>9</w:t>
      </w:r>
      <w:r w:rsidRPr="003D3552">
        <w:rPr>
          <w:rFonts w:cs="Times New Roman"/>
          <w:szCs w:val="24"/>
        </w:rPr>
        <w:t xml:space="preserve">. NMDS excluding </w:t>
      </w:r>
      <w:r w:rsidRPr="003D3552">
        <w:rPr>
          <w:rFonts w:cs="Times New Roman"/>
          <w:i/>
          <w:iCs/>
          <w:szCs w:val="24"/>
        </w:rPr>
        <w:t xml:space="preserve">Quercus </w:t>
      </w:r>
      <w:proofErr w:type="spellStart"/>
      <w:r w:rsidRPr="003D3552">
        <w:rPr>
          <w:rFonts w:cs="Times New Roman"/>
          <w:i/>
          <w:iCs/>
          <w:szCs w:val="24"/>
        </w:rPr>
        <w:t>simulata</w:t>
      </w:r>
      <w:proofErr w:type="spellEnd"/>
    </w:p>
    <w:p w14:paraId="5CC38D8C" w14:textId="77777777" w:rsidR="001C6CE5" w:rsidRPr="003D3552" w:rsidRDefault="001C6CE5" w:rsidP="001C6CE5">
      <w:pPr>
        <w:rPr>
          <w:rFonts w:ascii="Times New Roman" w:hAnsi="Times New Roman" w:cs="Times New Roman"/>
          <w:sz w:val="24"/>
          <w:szCs w:val="24"/>
        </w:rPr>
      </w:pPr>
    </w:p>
    <w:p w14:paraId="6B0ED9A2" w14:textId="689CFDE3" w:rsidR="001C6CE5" w:rsidRPr="003D3552" w:rsidRDefault="001C6CE5" w:rsidP="001C6CE5">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69C4DEC1" wp14:editId="271D130E">
            <wp:extent cx="5942986" cy="2203450"/>
            <wp:effectExtent l="0" t="0" r="635" b="6350"/>
            <wp:docPr id="4644549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454964" name="Picture 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2986" cy="2203450"/>
                    </a:xfrm>
                    <a:prstGeom prst="rect">
                      <a:avLst/>
                    </a:prstGeom>
                  </pic:spPr>
                </pic:pic>
              </a:graphicData>
            </a:graphic>
          </wp:inline>
        </w:drawing>
      </w:r>
    </w:p>
    <w:p w14:paraId="6394FD4F" w14:textId="4BFBA774" w:rsidR="001C6CE5" w:rsidRPr="003D3552" w:rsidRDefault="001C6CE5" w:rsidP="001C6CE5">
      <w:pPr>
        <w:rPr>
          <w:rFonts w:ascii="Times New Roman" w:hAnsi="Times New Roman" w:cs="Times New Roman"/>
          <w:sz w:val="24"/>
          <w:szCs w:val="24"/>
        </w:rPr>
      </w:pPr>
      <w:r w:rsidRPr="003D3552">
        <w:rPr>
          <w:rFonts w:ascii="Times New Roman" w:hAnsi="Times New Roman" w:cs="Times New Roman"/>
          <w:b/>
          <w:bCs/>
          <w:sz w:val="24"/>
          <w:szCs w:val="24"/>
        </w:rPr>
        <w:t xml:space="preserve">Figure </w:t>
      </w:r>
      <w:r w:rsidR="003D3552" w:rsidRPr="003D3552">
        <w:rPr>
          <w:rFonts w:ascii="Times New Roman" w:hAnsi="Times New Roman" w:cs="Times New Roman"/>
          <w:b/>
          <w:bCs/>
          <w:sz w:val="24"/>
          <w:szCs w:val="24"/>
        </w:rPr>
        <w:t>A</w:t>
      </w:r>
      <w:r w:rsidR="003D3552">
        <w:rPr>
          <w:rFonts w:ascii="Times New Roman" w:hAnsi="Times New Roman" w:cs="Times New Roman"/>
          <w:b/>
          <w:bCs/>
          <w:sz w:val="24"/>
          <w:szCs w:val="24"/>
        </w:rPr>
        <w:t>9</w:t>
      </w:r>
      <w:r w:rsidR="003D3552" w:rsidRPr="003D3552">
        <w:rPr>
          <w:rFonts w:ascii="Times New Roman" w:hAnsi="Times New Roman" w:cs="Times New Roman"/>
          <w:b/>
          <w:bCs/>
          <w:sz w:val="24"/>
          <w:szCs w:val="24"/>
        </w:rPr>
        <w:t>.1</w:t>
      </w:r>
      <w:r w:rsidRPr="003D3552">
        <w:rPr>
          <w:rFonts w:ascii="Times New Roman" w:hAnsi="Times New Roman" w:cs="Times New Roman"/>
          <w:sz w:val="24"/>
          <w:szCs w:val="24"/>
        </w:rPr>
        <w:t xml:space="preserve">. Non-metric multidimensional scaling excluding </w:t>
      </w:r>
      <w:r w:rsidRPr="003D3552">
        <w:rPr>
          <w:rFonts w:ascii="Times New Roman" w:hAnsi="Times New Roman" w:cs="Times New Roman"/>
          <w:i/>
          <w:iCs/>
          <w:sz w:val="24"/>
          <w:szCs w:val="24"/>
        </w:rPr>
        <w:t xml:space="preserve">Quercus </w:t>
      </w:r>
      <w:proofErr w:type="spellStart"/>
      <w:r w:rsidRPr="003D3552">
        <w:rPr>
          <w:rFonts w:ascii="Times New Roman" w:hAnsi="Times New Roman" w:cs="Times New Roman"/>
          <w:i/>
          <w:iCs/>
          <w:sz w:val="24"/>
          <w:szCs w:val="24"/>
        </w:rPr>
        <w:t>simulata</w:t>
      </w:r>
      <w:proofErr w:type="spellEnd"/>
      <w:r w:rsidRPr="003D3552">
        <w:rPr>
          <w:rFonts w:ascii="Times New Roman" w:hAnsi="Times New Roman" w:cs="Times New Roman"/>
          <w:i/>
          <w:iCs/>
          <w:sz w:val="24"/>
          <w:szCs w:val="24"/>
        </w:rPr>
        <w:t xml:space="preserve"> </w:t>
      </w:r>
      <w:r w:rsidRPr="003D3552">
        <w:rPr>
          <w:rFonts w:ascii="Times New Roman" w:hAnsi="Times New Roman" w:cs="Times New Roman"/>
          <w:sz w:val="24"/>
          <w:szCs w:val="24"/>
        </w:rPr>
        <w:t>for (A) foliar morphotype relative abundance and (B) only non-monocot angiosperm (NMA) relative abundance. These figures demonstrate a close similarity of composition between Trout Creek (</w:t>
      </w:r>
      <w:proofErr w:type="spellStart"/>
      <w:r w:rsidRPr="003D3552">
        <w:rPr>
          <w:rFonts w:ascii="Times New Roman" w:hAnsi="Times New Roman" w:cs="Times New Roman"/>
          <w:sz w:val="24"/>
          <w:szCs w:val="24"/>
        </w:rPr>
        <w:t>TroC</w:t>
      </w:r>
      <w:proofErr w:type="spellEnd"/>
      <w:r w:rsidRPr="003D3552">
        <w:rPr>
          <w:rFonts w:ascii="Times New Roman" w:hAnsi="Times New Roman" w:cs="Times New Roman"/>
          <w:sz w:val="24"/>
          <w:szCs w:val="24"/>
        </w:rPr>
        <w:t>) and Trapper Creek (</w:t>
      </w:r>
      <w:proofErr w:type="spellStart"/>
      <w:r w:rsidRPr="003D3552">
        <w:rPr>
          <w:rFonts w:ascii="Times New Roman" w:hAnsi="Times New Roman" w:cs="Times New Roman"/>
          <w:sz w:val="24"/>
          <w:szCs w:val="24"/>
        </w:rPr>
        <w:t>TraC</w:t>
      </w:r>
      <w:proofErr w:type="spellEnd"/>
      <w:r w:rsidRPr="003D3552">
        <w:rPr>
          <w:rFonts w:ascii="Times New Roman" w:hAnsi="Times New Roman" w:cs="Times New Roman"/>
          <w:sz w:val="24"/>
          <w:szCs w:val="24"/>
        </w:rPr>
        <w:t xml:space="preserve">) even when </w:t>
      </w:r>
      <w:r w:rsidRPr="003D3552">
        <w:rPr>
          <w:rFonts w:ascii="Times New Roman" w:hAnsi="Times New Roman" w:cs="Times New Roman"/>
          <w:i/>
          <w:iCs/>
          <w:sz w:val="24"/>
          <w:szCs w:val="24"/>
        </w:rPr>
        <w:t xml:space="preserve">Quercus </w:t>
      </w:r>
      <w:proofErr w:type="spellStart"/>
      <w:r w:rsidRPr="003D3552">
        <w:rPr>
          <w:rFonts w:ascii="Times New Roman" w:hAnsi="Times New Roman" w:cs="Times New Roman"/>
          <w:i/>
          <w:iCs/>
          <w:sz w:val="24"/>
          <w:szCs w:val="24"/>
        </w:rPr>
        <w:t>simulata</w:t>
      </w:r>
      <w:proofErr w:type="spellEnd"/>
      <w:r w:rsidRPr="003D3552">
        <w:rPr>
          <w:rFonts w:ascii="Times New Roman" w:hAnsi="Times New Roman" w:cs="Times New Roman"/>
          <w:sz w:val="24"/>
          <w:szCs w:val="24"/>
        </w:rPr>
        <w:t xml:space="preserve"> is removed from analyses, whereas similarity of </w:t>
      </w:r>
      <w:proofErr w:type="spellStart"/>
      <w:r w:rsidRPr="003D3552">
        <w:rPr>
          <w:rFonts w:ascii="Times New Roman" w:hAnsi="Times New Roman" w:cs="Times New Roman"/>
          <w:sz w:val="24"/>
          <w:szCs w:val="24"/>
        </w:rPr>
        <w:t>Watersnake</w:t>
      </w:r>
      <w:proofErr w:type="spellEnd"/>
      <w:r w:rsidRPr="003D3552">
        <w:rPr>
          <w:rFonts w:ascii="Times New Roman" w:hAnsi="Times New Roman" w:cs="Times New Roman"/>
          <w:sz w:val="24"/>
          <w:szCs w:val="24"/>
        </w:rPr>
        <w:t xml:space="preserve"> (WS) to these two sites is much less when </w:t>
      </w:r>
      <w:r w:rsidRPr="003D3552">
        <w:rPr>
          <w:rFonts w:ascii="Times New Roman" w:hAnsi="Times New Roman" w:cs="Times New Roman"/>
          <w:i/>
          <w:iCs/>
          <w:sz w:val="24"/>
          <w:szCs w:val="24"/>
        </w:rPr>
        <w:t xml:space="preserve">Quercus </w:t>
      </w:r>
      <w:proofErr w:type="spellStart"/>
      <w:r w:rsidRPr="003D3552">
        <w:rPr>
          <w:rFonts w:ascii="Times New Roman" w:hAnsi="Times New Roman" w:cs="Times New Roman"/>
          <w:i/>
          <w:iCs/>
          <w:sz w:val="24"/>
          <w:szCs w:val="24"/>
        </w:rPr>
        <w:t>simulata</w:t>
      </w:r>
      <w:proofErr w:type="spellEnd"/>
      <w:r w:rsidRPr="003D3552">
        <w:rPr>
          <w:rFonts w:ascii="Times New Roman" w:hAnsi="Times New Roman" w:cs="Times New Roman"/>
          <w:i/>
          <w:iCs/>
          <w:sz w:val="24"/>
          <w:szCs w:val="24"/>
        </w:rPr>
        <w:t xml:space="preserve"> </w:t>
      </w:r>
      <w:r w:rsidRPr="003D3552">
        <w:rPr>
          <w:rFonts w:ascii="Times New Roman" w:hAnsi="Times New Roman" w:cs="Times New Roman"/>
          <w:sz w:val="24"/>
          <w:szCs w:val="24"/>
        </w:rPr>
        <w:t xml:space="preserve">is removed. </w:t>
      </w:r>
    </w:p>
    <w:p w14:paraId="6F7488B2" w14:textId="5DD76EF5" w:rsidR="001C6CE5" w:rsidRPr="003D3552" w:rsidRDefault="001C6CE5">
      <w:pPr>
        <w:rPr>
          <w:rFonts w:ascii="Times New Roman" w:hAnsi="Times New Roman" w:cs="Times New Roman"/>
          <w:sz w:val="24"/>
          <w:szCs w:val="24"/>
        </w:rPr>
      </w:pPr>
      <w:r w:rsidRPr="003D3552">
        <w:rPr>
          <w:rFonts w:ascii="Times New Roman" w:hAnsi="Times New Roman" w:cs="Times New Roman"/>
          <w:sz w:val="24"/>
          <w:szCs w:val="24"/>
        </w:rPr>
        <w:br w:type="page"/>
      </w:r>
    </w:p>
    <w:p w14:paraId="61E8C9B3" w14:textId="09DF341F" w:rsidR="001C6CE5" w:rsidRPr="003D3552" w:rsidRDefault="001C6CE5" w:rsidP="001C6CE5">
      <w:pPr>
        <w:pStyle w:val="Heading1"/>
        <w:rPr>
          <w:rFonts w:cs="Times New Roman"/>
          <w:szCs w:val="24"/>
        </w:rPr>
      </w:pPr>
      <w:r w:rsidRPr="003D3552">
        <w:rPr>
          <w:rFonts w:cs="Times New Roman"/>
          <w:szCs w:val="24"/>
        </w:rPr>
        <w:lastRenderedPageBreak/>
        <w:t xml:space="preserve">Appendix </w:t>
      </w:r>
      <w:r w:rsidRPr="003D3552">
        <w:rPr>
          <w:rFonts w:cs="Times New Roman"/>
          <w:szCs w:val="24"/>
        </w:rPr>
        <w:t>10</w:t>
      </w:r>
      <w:r w:rsidRPr="003D3552">
        <w:rPr>
          <w:rFonts w:cs="Times New Roman"/>
          <w:szCs w:val="24"/>
        </w:rPr>
        <w:t xml:space="preserve">. </w:t>
      </w:r>
      <w:r w:rsidRPr="003D3552">
        <w:rPr>
          <w:rFonts w:cs="Times New Roman"/>
          <w:szCs w:val="24"/>
        </w:rPr>
        <w:t>Rarefaction</w:t>
      </w:r>
    </w:p>
    <w:p w14:paraId="59E7A7CC" w14:textId="2A6E1BED" w:rsidR="001C6CE5" w:rsidRPr="003D3552" w:rsidRDefault="0089305A" w:rsidP="001C6CE5">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0A9BDDF8" wp14:editId="53CC1047">
            <wp:extent cx="5943600" cy="2524125"/>
            <wp:effectExtent l="0" t="0" r="0" b="0"/>
            <wp:docPr id="102802715"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02715" name="Picture 5" descr="A screenshot of a computer&#10;&#10;Description automatically generated"/>
                    <pic:cNvPicPr/>
                  </pic:nvPicPr>
                  <pic:blipFill rotWithShape="1">
                    <a:blip r:embed="rId22" cstate="print">
                      <a:extLst>
                        <a:ext uri="{28A0092B-C50C-407E-A947-70E740481C1C}">
                          <a14:useLocalDpi xmlns:a14="http://schemas.microsoft.com/office/drawing/2010/main" val="0"/>
                        </a:ext>
                      </a:extLst>
                    </a:blip>
                    <a:srcRect b="67184"/>
                    <a:stretch/>
                  </pic:blipFill>
                  <pic:spPr bwMode="auto">
                    <a:xfrm>
                      <a:off x="0" y="0"/>
                      <a:ext cx="5943600" cy="2524125"/>
                    </a:xfrm>
                    <a:prstGeom prst="rect">
                      <a:avLst/>
                    </a:prstGeom>
                    <a:ln>
                      <a:noFill/>
                    </a:ln>
                    <a:extLst>
                      <a:ext uri="{53640926-AAD7-44D8-BBD7-CCE9431645EC}">
                        <a14:shadowObscured xmlns:a14="http://schemas.microsoft.com/office/drawing/2010/main"/>
                      </a:ext>
                    </a:extLst>
                  </pic:spPr>
                </pic:pic>
              </a:graphicData>
            </a:graphic>
          </wp:inline>
        </w:drawing>
      </w:r>
    </w:p>
    <w:p w14:paraId="69548076" w14:textId="71282FA6" w:rsidR="0089305A" w:rsidRPr="003D3552" w:rsidRDefault="0089305A" w:rsidP="001C6CE5">
      <w:pPr>
        <w:rPr>
          <w:rFonts w:ascii="Times New Roman" w:hAnsi="Times New Roman" w:cs="Times New Roman"/>
          <w:sz w:val="24"/>
          <w:szCs w:val="24"/>
        </w:rPr>
      </w:pPr>
      <w:r w:rsidRPr="00A03EB1">
        <w:rPr>
          <w:rFonts w:ascii="Times New Roman" w:hAnsi="Times New Roman" w:cs="Times New Roman"/>
          <w:b/>
          <w:bCs/>
          <w:sz w:val="24"/>
          <w:szCs w:val="24"/>
        </w:rPr>
        <w:t xml:space="preserve">Figure </w:t>
      </w:r>
      <w:r w:rsidR="00A03EB1" w:rsidRPr="00A03EB1">
        <w:rPr>
          <w:rFonts w:ascii="Times New Roman" w:hAnsi="Times New Roman" w:cs="Times New Roman"/>
          <w:b/>
          <w:bCs/>
          <w:sz w:val="24"/>
          <w:szCs w:val="24"/>
        </w:rPr>
        <w:t>A10.1</w:t>
      </w:r>
      <w:r w:rsidRPr="003D3552">
        <w:rPr>
          <w:rFonts w:ascii="Times New Roman" w:hAnsi="Times New Roman" w:cs="Times New Roman"/>
          <w:sz w:val="24"/>
          <w:szCs w:val="24"/>
        </w:rPr>
        <w:t xml:space="preserve">. Rarefaction curves for floras representing (A) before the MCO, i.e., the Alvord Creek flora, (B) during the MCO, and (C) after the MCO. Collections made at Alvord Creek, Mascall, and Succor Creek, are not plateaued and have high uncertainty surrounding their extrapolated richness, indicating low completeness of the sample. </w:t>
      </w:r>
    </w:p>
    <w:p w14:paraId="0437B7B3" w14:textId="77777777" w:rsidR="0089305A" w:rsidRPr="003D3552" w:rsidRDefault="0089305A">
      <w:pPr>
        <w:rPr>
          <w:rFonts w:ascii="Times New Roman" w:hAnsi="Times New Roman" w:cs="Times New Roman"/>
          <w:sz w:val="24"/>
          <w:szCs w:val="24"/>
        </w:rPr>
        <w:sectPr w:rsidR="0089305A" w:rsidRPr="003D3552">
          <w:pgSz w:w="12240" w:h="15840"/>
          <w:pgMar w:top="1440" w:right="1440" w:bottom="1440" w:left="1440" w:header="720" w:footer="720" w:gutter="0"/>
          <w:cols w:space="720"/>
          <w:docGrid w:linePitch="360"/>
        </w:sectPr>
      </w:pPr>
    </w:p>
    <w:p w14:paraId="21158D3D" w14:textId="7C9B0AA9" w:rsidR="0089305A" w:rsidRPr="003D3552" w:rsidRDefault="0089305A" w:rsidP="0089305A">
      <w:pPr>
        <w:pStyle w:val="Heading1"/>
        <w:rPr>
          <w:rFonts w:cs="Times New Roman"/>
          <w:szCs w:val="24"/>
        </w:rPr>
      </w:pPr>
      <w:r w:rsidRPr="003D3552">
        <w:rPr>
          <w:rFonts w:cs="Times New Roman"/>
          <w:szCs w:val="24"/>
        </w:rPr>
        <w:lastRenderedPageBreak/>
        <w:t xml:space="preserve">Appendix 11. Climate and </w:t>
      </w:r>
      <w:r w:rsidRPr="003D3552">
        <w:rPr>
          <w:rFonts w:cs="Times New Roman"/>
          <w:i/>
          <w:iCs/>
          <w:szCs w:val="24"/>
        </w:rPr>
        <w:t>M</w:t>
      </w:r>
      <w:r w:rsidRPr="003D3552">
        <w:rPr>
          <w:rFonts w:cs="Times New Roman"/>
          <w:i/>
          <w:iCs/>
          <w:szCs w:val="24"/>
          <w:vertAlign w:val="subscript"/>
        </w:rPr>
        <w:t>A</w:t>
      </w:r>
      <w:r w:rsidRPr="003D3552">
        <w:rPr>
          <w:rFonts w:cs="Times New Roman"/>
          <w:szCs w:val="24"/>
        </w:rPr>
        <w:t xml:space="preserve"> sample size tables</w:t>
      </w:r>
    </w:p>
    <w:p w14:paraId="7E60718C" w14:textId="7F8B95F7" w:rsidR="0089305A" w:rsidRPr="0089305A" w:rsidRDefault="0089305A" w:rsidP="0089305A">
      <w:pPr>
        <w:spacing w:line="256" w:lineRule="auto"/>
        <w:rPr>
          <w:rFonts w:ascii="Times New Roman" w:eastAsia="Aptos" w:hAnsi="Times New Roman" w:cs="Times New Roman"/>
          <w:sz w:val="24"/>
          <w:szCs w:val="24"/>
        </w:rPr>
      </w:pPr>
      <w:r w:rsidRPr="0089305A">
        <w:rPr>
          <w:rFonts w:ascii="Times New Roman" w:eastAsia="Aptos" w:hAnsi="Times New Roman" w:cs="Times New Roman"/>
          <w:b/>
          <w:bCs/>
          <w:sz w:val="24"/>
          <w:szCs w:val="24"/>
        </w:rPr>
        <w:t xml:space="preserve">Table </w:t>
      </w:r>
      <w:r w:rsidR="00A03EB1">
        <w:rPr>
          <w:rFonts w:ascii="Times New Roman" w:eastAsia="Aptos" w:hAnsi="Times New Roman" w:cs="Times New Roman"/>
          <w:b/>
          <w:bCs/>
          <w:sz w:val="24"/>
          <w:szCs w:val="24"/>
        </w:rPr>
        <w:t>A</w:t>
      </w:r>
      <w:r w:rsidRPr="0089305A">
        <w:rPr>
          <w:rFonts w:ascii="Times New Roman" w:eastAsia="Aptos" w:hAnsi="Times New Roman" w:cs="Times New Roman"/>
          <w:b/>
          <w:bCs/>
          <w:sz w:val="24"/>
          <w:szCs w:val="24"/>
        </w:rPr>
        <w:t>1</w:t>
      </w:r>
      <w:r w:rsidR="00A03EB1">
        <w:rPr>
          <w:rFonts w:ascii="Times New Roman" w:eastAsia="Aptos" w:hAnsi="Times New Roman" w:cs="Times New Roman"/>
          <w:b/>
          <w:bCs/>
          <w:sz w:val="24"/>
          <w:szCs w:val="24"/>
        </w:rPr>
        <w:t>1.1</w:t>
      </w:r>
      <w:r w:rsidRPr="0089305A">
        <w:rPr>
          <w:rFonts w:ascii="Times New Roman" w:eastAsia="Aptos" w:hAnsi="Times New Roman" w:cs="Times New Roman"/>
          <w:sz w:val="24"/>
          <w:szCs w:val="24"/>
        </w:rPr>
        <w:t xml:space="preserve">. The number of woody non-monocot angiosperm morphotypes included in leaf physiognomy based paleoclimate proxies. Non-entire includes both toothed and mixed-margin morphotypes. Leaf area represents those included in calculation of both site mean leaf area and Feret diameter ratio. Tooth measurements represent those included in calculations of tooth count : internal perimeter. </w:t>
      </w:r>
    </w:p>
    <w:tbl>
      <w:tblPr>
        <w:tblW w:w="7456" w:type="dxa"/>
        <w:tblLook w:val="04A0" w:firstRow="1" w:lastRow="0" w:firstColumn="1" w:lastColumn="0" w:noHBand="0" w:noVBand="1"/>
      </w:tblPr>
      <w:tblGrid>
        <w:gridCol w:w="1779"/>
        <w:gridCol w:w="960"/>
        <w:gridCol w:w="1303"/>
        <w:gridCol w:w="1160"/>
        <w:gridCol w:w="2254"/>
      </w:tblGrid>
      <w:tr w:rsidR="0089305A" w:rsidRPr="0089305A" w14:paraId="118FDD5D" w14:textId="77777777" w:rsidTr="0089305A">
        <w:trPr>
          <w:trHeight w:val="290"/>
        </w:trPr>
        <w:tc>
          <w:tcPr>
            <w:tcW w:w="1779" w:type="dxa"/>
            <w:tcBorders>
              <w:top w:val="nil"/>
              <w:left w:val="nil"/>
              <w:bottom w:val="single" w:sz="4" w:space="0" w:color="auto"/>
              <w:right w:val="nil"/>
            </w:tcBorders>
            <w:noWrap/>
            <w:vAlign w:val="bottom"/>
            <w:hideMark/>
          </w:tcPr>
          <w:p w14:paraId="54F1049D" w14:textId="77777777" w:rsidR="0089305A" w:rsidRPr="0089305A" w:rsidRDefault="0089305A" w:rsidP="0089305A">
            <w:pPr>
              <w:spacing w:after="0" w:line="240" w:lineRule="auto"/>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Site</w:t>
            </w:r>
          </w:p>
        </w:tc>
        <w:tc>
          <w:tcPr>
            <w:tcW w:w="960" w:type="dxa"/>
            <w:tcBorders>
              <w:top w:val="nil"/>
              <w:left w:val="nil"/>
              <w:bottom w:val="single" w:sz="4" w:space="0" w:color="auto"/>
              <w:right w:val="nil"/>
            </w:tcBorders>
            <w:noWrap/>
            <w:vAlign w:val="bottom"/>
            <w:hideMark/>
          </w:tcPr>
          <w:p w14:paraId="3D4AE582"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Total</w:t>
            </w:r>
          </w:p>
        </w:tc>
        <w:tc>
          <w:tcPr>
            <w:tcW w:w="1303" w:type="dxa"/>
            <w:tcBorders>
              <w:top w:val="nil"/>
              <w:left w:val="nil"/>
              <w:bottom w:val="single" w:sz="4" w:space="0" w:color="auto"/>
              <w:right w:val="nil"/>
            </w:tcBorders>
            <w:noWrap/>
            <w:vAlign w:val="bottom"/>
            <w:hideMark/>
          </w:tcPr>
          <w:p w14:paraId="7D538A55"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Non-entire</w:t>
            </w:r>
          </w:p>
        </w:tc>
        <w:tc>
          <w:tcPr>
            <w:tcW w:w="1160" w:type="dxa"/>
            <w:tcBorders>
              <w:top w:val="nil"/>
              <w:left w:val="nil"/>
              <w:bottom w:val="single" w:sz="4" w:space="0" w:color="auto"/>
              <w:right w:val="nil"/>
            </w:tcBorders>
            <w:noWrap/>
            <w:vAlign w:val="bottom"/>
            <w:hideMark/>
          </w:tcPr>
          <w:p w14:paraId="08EEE47B"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Leaf area</w:t>
            </w:r>
          </w:p>
        </w:tc>
        <w:tc>
          <w:tcPr>
            <w:tcW w:w="2254" w:type="dxa"/>
            <w:tcBorders>
              <w:top w:val="nil"/>
              <w:left w:val="nil"/>
              <w:bottom w:val="single" w:sz="4" w:space="0" w:color="auto"/>
              <w:right w:val="nil"/>
            </w:tcBorders>
            <w:noWrap/>
            <w:vAlign w:val="bottom"/>
            <w:hideMark/>
          </w:tcPr>
          <w:p w14:paraId="4FBFF110"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Tooth measurements</w:t>
            </w:r>
          </w:p>
        </w:tc>
      </w:tr>
      <w:tr w:rsidR="0089305A" w:rsidRPr="0089305A" w14:paraId="56FC16FF" w14:textId="77777777" w:rsidTr="0089305A">
        <w:trPr>
          <w:trHeight w:val="290"/>
        </w:trPr>
        <w:tc>
          <w:tcPr>
            <w:tcW w:w="1779" w:type="dxa"/>
            <w:tcBorders>
              <w:top w:val="single" w:sz="4" w:space="0" w:color="auto"/>
              <w:left w:val="nil"/>
              <w:bottom w:val="nil"/>
              <w:right w:val="nil"/>
            </w:tcBorders>
            <w:noWrap/>
            <w:vAlign w:val="bottom"/>
            <w:hideMark/>
          </w:tcPr>
          <w:p w14:paraId="572BF780"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Alvord Creek</w:t>
            </w:r>
          </w:p>
        </w:tc>
        <w:tc>
          <w:tcPr>
            <w:tcW w:w="960" w:type="dxa"/>
            <w:tcBorders>
              <w:top w:val="single" w:sz="4" w:space="0" w:color="auto"/>
              <w:left w:val="nil"/>
              <w:bottom w:val="nil"/>
              <w:right w:val="nil"/>
            </w:tcBorders>
            <w:noWrap/>
            <w:vAlign w:val="bottom"/>
            <w:hideMark/>
          </w:tcPr>
          <w:p w14:paraId="4CC2C49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18</w:t>
            </w:r>
          </w:p>
        </w:tc>
        <w:tc>
          <w:tcPr>
            <w:tcW w:w="1303" w:type="dxa"/>
            <w:tcBorders>
              <w:top w:val="single" w:sz="4" w:space="0" w:color="auto"/>
              <w:left w:val="nil"/>
              <w:bottom w:val="nil"/>
              <w:right w:val="nil"/>
            </w:tcBorders>
            <w:noWrap/>
            <w:vAlign w:val="bottom"/>
            <w:hideMark/>
          </w:tcPr>
          <w:p w14:paraId="66FD901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15</w:t>
            </w:r>
          </w:p>
        </w:tc>
        <w:tc>
          <w:tcPr>
            <w:tcW w:w="1160" w:type="dxa"/>
            <w:tcBorders>
              <w:top w:val="single" w:sz="4" w:space="0" w:color="auto"/>
              <w:left w:val="nil"/>
              <w:bottom w:val="nil"/>
              <w:right w:val="nil"/>
            </w:tcBorders>
            <w:noWrap/>
            <w:vAlign w:val="bottom"/>
            <w:hideMark/>
          </w:tcPr>
          <w:p w14:paraId="288D2F5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15</w:t>
            </w:r>
          </w:p>
        </w:tc>
        <w:tc>
          <w:tcPr>
            <w:tcW w:w="2254" w:type="dxa"/>
            <w:tcBorders>
              <w:top w:val="single" w:sz="4" w:space="0" w:color="auto"/>
              <w:left w:val="nil"/>
              <w:bottom w:val="nil"/>
              <w:right w:val="nil"/>
            </w:tcBorders>
            <w:noWrap/>
            <w:vAlign w:val="bottom"/>
            <w:hideMark/>
          </w:tcPr>
          <w:p w14:paraId="4B5D57B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13</w:t>
            </w:r>
          </w:p>
        </w:tc>
      </w:tr>
      <w:tr w:rsidR="0089305A" w:rsidRPr="0089305A" w14:paraId="7F01E79F" w14:textId="77777777" w:rsidTr="0089305A">
        <w:trPr>
          <w:trHeight w:val="290"/>
        </w:trPr>
        <w:tc>
          <w:tcPr>
            <w:tcW w:w="1779" w:type="dxa"/>
            <w:noWrap/>
            <w:vAlign w:val="bottom"/>
            <w:hideMark/>
          </w:tcPr>
          <w:p w14:paraId="200B21F6"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Clarkia</w:t>
            </w:r>
          </w:p>
        </w:tc>
        <w:tc>
          <w:tcPr>
            <w:tcW w:w="960" w:type="dxa"/>
            <w:noWrap/>
            <w:vAlign w:val="bottom"/>
            <w:hideMark/>
          </w:tcPr>
          <w:p w14:paraId="66228E5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56</w:t>
            </w:r>
          </w:p>
        </w:tc>
        <w:tc>
          <w:tcPr>
            <w:tcW w:w="1303" w:type="dxa"/>
            <w:noWrap/>
            <w:vAlign w:val="bottom"/>
            <w:hideMark/>
          </w:tcPr>
          <w:p w14:paraId="56BC883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38</w:t>
            </w:r>
          </w:p>
        </w:tc>
        <w:tc>
          <w:tcPr>
            <w:tcW w:w="1160" w:type="dxa"/>
            <w:noWrap/>
            <w:vAlign w:val="bottom"/>
            <w:hideMark/>
          </w:tcPr>
          <w:p w14:paraId="19C348B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51</w:t>
            </w:r>
          </w:p>
        </w:tc>
        <w:tc>
          <w:tcPr>
            <w:tcW w:w="2254" w:type="dxa"/>
            <w:noWrap/>
            <w:vAlign w:val="bottom"/>
            <w:hideMark/>
          </w:tcPr>
          <w:p w14:paraId="73C8F23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36</w:t>
            </w:r>
          </w:p>
        </w:tc>
      </w:tr>
      <w:tr w:rsidR="0089305A" w:rsidRPr="0089305A" w14:paraId="57884CA7" w14:textId="77777777" w:rsidTr="0089305A">
        <w:trPr>
          <w:trHeight w:val="290"/>
        </w:trPr>
        <w:tc>
          <w:tcPr>
            <w:tcW w:w="1779" w:type="dxa"/>
            <w:noWrap/>
            <w:vAlign w:val="bottom"/>
            <w:hideMark/>
          </w:tcPr>
          <w:p w14:paraId="071FBA79"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proofErr w:type="spellStart"/>
            <w:r w:rsidRPr="0089305A">
              <w:rPr>
                <w:rFonts w:ascii="Times New Roman" w:eastAsia="Times New Roman" w:hAnsi="Times New Roman" w:cs="Times New Roman"/>
                <w:color w:val="000000"/>
                <w:kern w:val="0"/>
                <w:sz w:val="24"/>
                <w:szCs w:val="24"/>
                <w14:ligatures w14:val="none"/>
              </w:rPr>
              <w:t>Juliaetta</w:t>
            </w:r>
            <w:proofErr w:type="spellEnd"/>
          </w:p>
        </w:tc>
        <w:tc>
          <w:tcPr>
            <w:tcW w:w="960" w:type="dxa"/>
            <w:noWrap/>
            <w:vAlign w:val="bottom"/>
            <w:hideMark/>
          </w:tcPr>
          <w:p w14:paraId="6741633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23</w:t>
            </w:r>
          </w:p>
        </w:tc>
        <w:tc>
          <w:tcPr>
            <w:tcW w:w="1303" w:type="dxa"/>
            <w:noWrap/>
            <w:vAlign w:val="bottom"/>
            <w:hideMark/>
          </w:tcPr>
          <w:p w14:paraId="5288E63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12</w:t>
            </w:r>
          </w:p>
        </w:tc>
        <w:tc>
          <w:tcPr>
            <w:tcW w:w="1160" w:type="dxa"/>
            <w:noWrap/>
            <w:vAlign w:val="bottom"/>
            <w:hideMark/>
          </w:tcPr>
          <w:p w14:paraId="68F58C2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17</w:t>
            </w:r>
          </w:p>
        </w:tc>
        <w:tc>
          <w:tcPr>
            <w:tcW w:w="2254" w:type="dxa"/>
            <w:noWrap/>
            <w:vAlign w:val="bottom"/>
            <w:hideMark/>
          </w:tcPr>
          <w:p w14:paraId="2F0E6D6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12</w:t>
            </w:r>
          </w:p>
        </w:tc>
      </w:tr>
      <w:tr w:rsidR="0089305A" w:rsidRPr="0089305A" w14:paraId="7B519C04" w14:textId="77777777" w:rsidTr="0089305A">
        <w:trPr>
          <w:trHeight w:val="290"/>
        </w:trPr>
        <w:tc>
          <w:tcPr>
            <w:tcW w:w="1779" w:type="dxa"/>
            <w:noWrap/>
            <w:vAlign w:val="bottom"/>
            <w:hideMark/>
          </w:tcPr>
          <w:p w14:paraId="22F19802"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Mascall</w:t>
            </w:r>
          </w:p>
        </w:tc>
        <w:tc>
          <w:tcPr>
            <w:tcW w:w="960" w:type="dxa"/>
            <w:noWrap/>
            <w:vAlign w:val="bottom"/>
            <w:hideMark/>
          </w:tcPr>
          <w:p w14:paraId="2961497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38</w:t>
            </w:r>
          </w:p>
        </w:tc>
        <w:tc>
          <w:tcPr>
            <w:tcW w:w="1303" w:type="dxa"/>
            <w:noWrap/>
            <w:vAlign w:val="bottom"/>
            <w:hideMark/>
          </w:tcPr>
          <w:p w14:paraId="144B16D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26</w:t>
            </w:r>
          </w:p>
        </w:tc>
        <w:tc>
          <w:tcPr>
            <w:tcW w:w="1160" w:type="dxa"/>
            <w:noWrap/>
            <w:vAlign w:val="bottom"/>
            <w:hideMark/>
          </w:tcPr>
          <w:p w14:paraId="1FB7348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36</w:t>
            </w:r>
          </w:p>
        </w:tc>
        <w:tc>
          <w:tcPr>
            <w:tcW w:w="2254" w:type="dxa"/>
            <w:noWrap/>
            <w:vAlign w:val="bottom"/>
            <w:hideMark/>
          </w:tcPr>
          <w:p w14:paraId="5268034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26</w:t>
            </w:r>
          </w:p>
        </w:tc>
      </w:tr>
      <w:tr w:rsidR="0089305A" w:rsidRPr="0089305A" w14:paraId="3D6B7F5C" w14:textId="77777777" w:rsidTr="0089305A">
        <w:trPr>
          <w:trHeight w:val="290"/>
        </w:trPr>
        <w:tc>
          <w:tcPr>
            <w:tcW w:w="1779" w:type="dxa"/>
            <w:noWrap/>
            <w:vAlign w:val="bottom"/>
            <w:hideMark/>
          </w:tcPr>
          <w:p w14:paraId="04DB49A1"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Moose Mountain</w:t>
            </w:r>
          </w:p>
        </w:tc>
        <w:tc>
          <w:tcPr>
            <w:tcW w:w="960" w:type="dxa"/>
            <w:noWrap/>
            <w:vAlign w:val="bottom"/>
            <w:hideMark/>
          </w:tcPr>
          <w:p w14:paraId="6BA468D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26</w:t>
            </w:r>
          </w:p>
        </w:tc>
        <w:tc>
          <w:tcPr>
            <w:tcW w:w="1303" w:type="dxa"/>
            <w:noWrap/>
            <w:vAlign w:val="bottom"/>
            <w:hideMark/>
          </w:tcPr>
          <w:p w14:paraId="1D5731F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22</w:t>
            </w:r>
          </w:p>
        </w:tc>
        <w:tc>
          <w:tcPr>
            <w:tcW w:w="1160" w:type="dxa"/>
            <w:noWrap/>
            <w:vAlign w:val="bottom"/>
            <w:hideMark/>
          </w:tcPr>
          <w:p w14:paraId="352572C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17</w:t>
            </w:r>
          </w:p>
        </w:tc>
        <w:tc>
          <w:tcPr>
            <w:tcW w:w="2254" w:type="dxa"/>
            <w:noWrap/>
            <w:vAlign w:val="bottom"/>
            <w:hideMark/>
          </w:tcPr>
          <w:p w14:paraId="78B11B2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22</w:t>
            </w:r>
          </w:p>
        </w:tc>
      </w:tr>
      <w:tr w:rsidR="0089305A" w:rsidRPr="0089305A" w14:paraId="56CC00F3" w14:textId="77777777" w:rsidTr="0089305A">
        <w:trPr>
          <w:trHeight w:val="290"/>
        </w:trPr>
        <w:tc>
          <w:tcPr>
            <w:tcW w:w="1779" w:type="dxa"/>
            <w:noWrap/>
            <w:vAlign w:val="bottom"/>
            <w:hideMark/>
          </w:tcPr>
          <w:p w14:paraId="6001BE51"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Pickett Creek</w:t>
            </w:r>
          </w:p>
        </w:tc>
        <w:tc>
          <w:tcPr>
            <w:tcW w:w="960" w:type="dxa"/>
            <w:noWrap/>
            <w:vAlign w:val="bottom"/>
            <w:hideMark/>
          </w:tcPr>
          <w:p w14:paraId="3DEF17B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28</w:t>
            </w:r>
          </w:p>
        </w:tc>
        <w:tc>
          <w:tcPr>
            <w:tcW w:w="1303" w:type="dxa"/>
            <w:noWrap/>
            <w:vAlign w:val="bottom"/>
            <w:hideMark/>
          </w:tcPr>
          <w:p w14:paraId="186DD61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23</w:t>
            </w:r>
          </w:p>
        </w:tc>
        <w:tc>
          <w:tcPr>
            <w:tcW w:w="1160" w:type="dxa"/>
            <w:noWrap/>
            <w:vAlign w:val="bottom"/>
            <w:hideMark/>
          </w:tcPr>
          <w:p w14:paraId="48BA3D6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26</w:t>
            </w:r>
          </w:p>
        </w:tc>
        <w:tc>
          <w:tcPr>
            <w:tcW w:w="2254" w:type="dxa"/>
            <w:noWrap/>
            <w:vAlign w:val="bottom"/>
            <w:hideMark/>
          </w:tcPr>
          <w:p w14:paraId="2BD2F34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22</w:t>
            </w:r>
          </w:p>
        </w:tc>
      </w:tr>
      <w:tr w:rsidR="0089305A" w:rsidRPr="0089305A" w14:paraId="047FB8D0" w14:textId="77777777" w:rsidTr="0089305A">
        <w:trPr>
          <w:trHeight w:val="290"/>
        </w:trPr>
        <w:tc>
          <w:tcPr>
            <w:tcW w:w="1779" w:type="dxa"/>
            <w:noWrap/>
            <w:vAlign w:val="bottom"/>
            <w:hideMark/>
          </w:tcPr>
          <w:p w14:paraId="6B4D446A"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Spokane</w:t>
            </w:r>
          </w:p>
        </w:tc>
        <w:tc>
          <w:tcPr>
            <w:tcW w:w="960" w:type="dxa"/>
            <w:noWrap/>
            <w:vAlign w:val="bottom"/>
            <w:hideMark/>
          </w:tcPr>
          <w:p w14:paraId="0E46840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54</w:t>
            </w:r>
          </w:p>
        </w:tc>
        <w:tc>
          <w:tcPr>
            <w:tcW w:w="1303" w:type="dxa"/>
            <w:noWrap/>
            <w:vAlign w:val="bottom"/>
            <w:hideMark/>
          </w:tcPr>
          <w:p w14:paraId="4244D62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36</w:t>
            </w:r>
          </w:p>
        </w:tc>
        <w:tc>
          <w:tcPr>
            <w:tcW w:w="1160" w:type="dxa"/>
            <w:noWrap/>
            <w:vAlign w:val="bottom"/>
            <w:hideMark/>
          </w:tcPr>
          <w:p w14:paraId="65D800B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51</w:t>
            </w:r>
          </w:p>
        </w:tc>
        <w:tc>
          <w:tcPr>
            <w:tcW w:w="2254" w:type="dxa"/>
            <w:noWrap/>
            <w:vAlign w:val="bottom"/>
            <w:hideMark/>
          </w:tcPr>
          <w:p w14:paraId="2AA12E7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35</w:t>
            </w:r>
          </w:p>
        </w:tc>
      </w:tr>
      <w:tr w:rsidR="0089305A" w:rsidRPr="0089305A" w14:paraId="757BE3E7" w14:textId="77777777" w:rsidTr="0089305A">
        <w:trPr>
          <w:trHeight w:val="290"/>
        </w:trPr>
        <w:tc>
          <w:tcPr>
            <w:tcW w:w="1779" w:type="dxa"/>
            <w:noWrap/>
            <w:vAlign w:val="bottom"/>
            <w:hideMark/>
          </w:tcPr>
          <w:p w14:paraId="32E1BE88"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Succor Creek</w:t>
            </w:r>
          </w:p>
        </w:tc>
        <w:tc>
          <w:tcPr>
            <w:tcW w:w="960" w:type="dxa"/>
            <w:noWrap/>
            <w:vAlign w:val="bottom"/>
            <w:hideMark/>
          </w:tcPr>
          <w:p w14:paraId="19573F6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24</w:t>
            </w:r>
          </w:p>
        </w:tc>
        <w:tc>
          <w:tcPr>
            <w:tcW w:w="1303" w:type="dxa"/>
            <w:noWrap/>
            <w:vAlign w:val="bottom"/>
            <w:hideMark/>
          </w:tcPr>
          <w:p w14:paraId="432702C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17</w:t>
            </w:r>
          </w:p>
        </w:tc>
        <w:tc>
          <w:tcPr>
            <w:tcW w:w="1160" w:type="dxa"/>
            <w:noWrap/>
            <w:vAlign w:val="bottom"/>
            <w:hideMark/>
          </w:tcPr>
          <w:p w14:paraId="4AA2F31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15</w:t>
            </w:r>
          </w:p>
        </w:tc>
        <w:tc>
          <w:tcPr>
            <w:tcW w:w="2254" w:type="dxa"/>
            <w:noWrap/>
            <w:vAlign w:val="bottom"/>
            <w:hideMark/>
          </w:tcPr>
          <w:p w14:paraId="6853E4C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16</w:t>
            </w:r>
          </w:p>
        </w:tc>
      </w:tr>
      <w:tr w:rsidR="0089305A" w:rsidRPr="0089305A" w14:paraId="0D6100E5" w14:textId="77777777" w:rsidTr="0089305A">
        <w:trPr>
          <w:trHeight w:val="290"/>
        </w:trPr>
        <w:tc>
          <w:tcPr>
            <w:tcW w:w="1779" w:type="dxa"/>
            <w:noWrap/>
            <w:vAlign w:val="bottom"/>
            <w:hideMark/>
          </w:tcPr>
          <w:p w14:paraId="2CE317AB"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Trapper Creek</w:t>
            </w:r>
          </w:p>
        </w:tc>
        <w:tc>
          <w:tcPr>
            <w:tcW w:w="960" w:type="dxa"/>
            <w:noWrap/>
            <w:vAlign w:val="bottom"/>
            <w:hideMark/>
          </w:tcPr>
          <w:p w14:paraId="1F0FD39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25</w:t>
            </w:r>
          </w:p>
        </w:tc>
        <w:tc>
          <w:tcPr>
            <w:tcW w:w="1303" w:type="dxa"/>
            <w:noWrap/>
            <w:vAlign w:val="bottom"/>
            <w:hideMark/>
          </w:tcPr>
          <w:p w14:paraId="3D35F55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20</w:t>
            </w:r>
          </w:p>
        </w:tc>
        <w:tc>
          <w:tcPr>
            <w:tcW w:w="1160" w:type="dxa"/>
            <w:noWrap/>
            <w:vAlign w:val="bottom"/>
            <w:hideMark/>
          </w:tcPr>
          <w:p w14:paraId="5A12EDF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16</w:t>
            </w:r>
          </w:p>
        </w:tc>
        <w:tc>
          <w:tcPr>
            <w:tcW w:w="2254" w:type="dxa"/>
            <w:noWrap/>
            <w:vAlign w:val="bottom"/>
            <w:hideMark/>
          </w:tcPr>
          <w:p w14:paraId="2340F0C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17</w:t>
            </w:r>
          </w:p>
        </w:tc>
      </w:tr>
      <w:tr w:rsidR="0089305A" w:rsidRPr="0089305A" w14:paraId="2BBAE3A0" w14:textId="77777777" w:rsidTr="0089305A">
        <w:trPr>
          <w:trHeight w:val="290"/>
        </w:trPr>
        <w:tc>
          <w:tcPr>
            <w:tcW w:w="1779" w:type="dxa"/>
            <w:noWrap/>
            <w:vAlign w:val="bottom"/>
            <w:hideMark/>
          </w:tcPr>
          <w:p w14:paraId="5D6C106E"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Trout Creek</w:t>
            </w:r>
          </w:p>
        </w:tc>
        <w:tc>
          <w:tcPr>
            <w:tcW w:w="960" w:type="dxa"/>
            <w:noWrap/>
            <w:vAlign w:val="bottom"/>
            <w:hideMark/>
          </w:tcPr>
          <w:p w14:paraId="15BF317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36</w:t>
            </w:r>
          </w:p>
        </w:tc>
        <w:tc>
          <w:tcPr>
            <w:tcW w:w="1303" w:type="dxa"/>
            <w:noWrap/>
            <w:vAlign w:val="bottom"/>
            <w:hideMark/>
          </w:tcPr>
          <w:p w14:paraId="62DA66F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25</w:t>
            </w:r>
          </w:p>
        </w:tc>
        <w:tc>
          <w:tcPr>
            <w:tcW w:w="1160" w:type="dxa"/>
            <w:noWrap/>
            <w:vAlign w:val="bottom"/>
            <w:hideMark/>
          </w:tcPr>
          <w:p w14:paraId="6FAD1AC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33</w:t>
            </w:r>
          </w:p>
        </w:tc>
        <w:tc>
          <w:tcPr>
            <w:tcW w:w="2254" w:type="dxa"/>
            <w:noWrap/>
            <w:vAlign w:val="bottom"/>
            <w:hideMark/>
          </w:tcPr>
          <w:p w14:paraId="5EE9003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18</w:t>
            </w:r>
          </w:p>
        </w:tc>
      </w:tr>
      <w:tr w:rsidR="0089305A" w:rsidRPr="0089305A" w14:paraId="18ED9FE1" w14:textId="77777777" w:rsidTr="0089305A">
        <w:trPr>
          <w:trHeight w:val="290"/>
        </w:trPr>
        <w:tc>
          <w:tcPr>
            <w:tcW w:w="1779" w:type="dxa"/>
            <w:noWrap/>
            <w:vAlign w:val="bottom"/>
            <w:hideMark/>
          </w:tcPr>
          <w:p w14:paraId="3BBB4532"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Vasa Park</w:t>
            </w:r>
          </w:p>
        </w:tc>
        <w:tc>
          <w:tcPr>
            <w:tcW w:w="960" w:type="dxa"/>
            <w:noWrap/>
            <w:vAlign w:val="bottom"/>
            <w:hideMark/>
          </w:tcPr>
          <w:p w14:paraId="1A5A615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17</w:t>
            </w:r>
          </w:p>
        </w:tc>
        <w:tc>
          <w:tcPr>
            <w:tcW w:w="1303" w:type="dxa"/>
            <w:noWrap/>
            <w:vAlign w:val="bottom"/>
            <w:hideMark/>
          </w:tcPr>
          <w:p w14:paraId="1855EA3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14</w:t>
            </w:r>
          </w:p>
        </w:tc>
        <w:tc>
          <w:tcPr>
            <w:tcW w:w="1160" w:type="dxa"/>
            <w:noWrap/>
            <w:vAlign w:val="bottom"/>
            <w:hideMark/>
          </w:tcPr>
          <w:p w14:paraId="33078AD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16</w:t>
            </w:r>
          </w:p>
        </w:tc>
        <w:tc>
          <w:tcPr>
            <w:tcW w:w="2254" w:type="dxa"/>
            <w:noWrap/>
            <w:vAlign w:val="bottom"/>
            <w:hideMark/>
          </w:tcPr>
          <w:p w14:paraId="43651BF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13</w:t>
            </w:r>
          </w:p>
        </w:tc>
      </w:tr>
    </w:tbl>
    <w:p w14:paraId="45F7A9F3" w14:textId="367EBC0B" w:rsidR="0089305A" w:rsidRPr="003D3552" w:rsidRDefault="0089305A" w:rsidP="0089305A">
      <w:pPr>
        <w:spacing w:before="240" w:line="256" w:lineRule="auto"/>
        <w:rPr>
          <w:rFonts w:ascii="Times New Roman" w:eastAsia="Aptos" w:hAnsi="Times New Roman" w:cs="Times New Roman"/>
          <w:b/>
          <w:bCs/>
          <w:sz w:val="24"/>
          <w:szCs w:val="24"/>
        </w:rPr>
      </w:pPr>
      <w:r w:rsidRPr="003D3552">
        <w:rPr>
          <w:rFonts w:ascii="Times New Roman" w:eastAsia="Aptos" w:hAnsi="Times New Roman" w:cs="Times New Roman"/>
          <w:b/>
          <w:bCs/>
          <w:sz w:val="24"/>
          <w:szCs w:val="24"/>
        </w:rPr>
        <w:br w:type="page"/>
      </w:r>
    </w:p>
    <w:p w14:paraId="6F1B3E79" w14:textId="55C32D0F" w:rsidR="0089305A" w:rsidRPr="0089305A" w:rsidRDefault="0089305A" w:rsidP="0089305A">
      <w:pPr>
        <w:spacing w:before="240" w:line="256" w:lineRule="auto"/>
        <w:rPr>
          <w:rFonts w:ascii="Times New Roman" w:eastAsia="Aptos" w:hAnsi="Times New Roman" w:cs="Times New Roman"/>
          <w:sz w:val="24"/>
          <w:szCs w:val="24"/>
        </w:rPr>
      </w:pPr>
      <w:r w:rsidRPr="0089305A">
        <w:rPr>
          <w:rFonts w:ascii="Times New Roman" w:eastAsia="Aptos" w:hAnsi="Times New Roman" w:cs="Times New Roman"/>
          <w:b/>
          <w:bCs/>
          <w:sz w:val="24"/>
          <w:szCs w:val="24"/>
        </w:rPr>
        <w:lastRenderedPageBreak/>
        <w:t xml:space="preserve">Table </w:t>
      </w:r>
      <w:r w:rsidR="00A03EB1">
        <w:rPr>
          <w:rFonts w:ascii="Times New Roman" w:eastAsia="Aptos" w:hAnsi="Times New Roman" w:cs="Times New Roman"/>
          <w:b/>
          <w:bCs/>
          <w:sz w:val="24"/>
          <w:szCs w:val="24"/>
        </w:rPr>
        <w:t>A11.</w:t>
      </w:r>
      <w:r w:rsidRPr="0089305A">
        <w:rPr>
          <w:rFonts w:ascii="Times New Roman" w:eastAsia="Aptos" w:hAnsi="Times New Roman" w:cs="Times New Roman"/>
          <w:b/>
          <w:bCs/>
          <w:sz w:val="24"/>
          <w:szCs w:val="24"/>
        </w:rPr>
        <w:t>2</w:t>
      </w:r>
      <w:r w:rsidRPr="0089305A">
        <w:rPr>
          <w:rFonts w:ascii="Times New Roman" w:eastAsia="Aptos" w:hAnsi="Times New Roman" w:cs="Times New Roman"/>
          <w:sz w:val="24"/>
          <w:szCs w:val="24"/>
        </w:rPr>
        <w:t xml:space="preserve">. The number of taxa included in Bioclimatic Analyses, and at what taxonomic rank they were included. Sample sizes are reported separately at different filtering levels of confidence in taxonomic affinity.  </w:t>
      </w:r>
    </w:p>
    <w:tbl>
      <w:tblPr>
        <w:tblW w:w="11377" w:type="dxa"/>
        <w:tblLayout w:type="fixed"/>
        <w:tblLook w:val="04A0" w:firstRow="1" w:lastRow="0" w:firstColumn="1" w:lastColumn="0" w:noHBand="0" w:noVBand="1"/>
      </w:tblPr>
      <w:tblGrid>
        <w:gridCol w:w="1780"/>
        <w:gridCol w:w="969"/>
        <w:gridCol w:w="1336"/>
        <w:gridCol w:w="910"/>
        <w:gridCol w:w="968"/>
        <w:gridCol w:w="1336"/>
        <w:gridCol w:w="898"/>
        <w:gridCol w:w="7"/>
        <w:gridCol w:w="932"/>
        <w:gridCol w:w="1336"/>
        <w:gridCol w:w="899"/>
        <w:gridCol w:w="6"/>
      </w:tblGrid>
      <w:tr w:rsidR="0089305A" w:rsidRPr="0089305A" w14:paraId="7545A11E" w14:textId="77777777" w:rsidTr="00A03EB1">
        <w:trPr>
          <w:gridAfter w:val="1"/>
          <w:wAfter w:w="6" w:type="dxa"/>
          <w:trHeight w:val="290"/>
        </w:trPr>
        <w:tc>
          <w:tcPr>
            <w:tcW w:w="1780" w:type="dxa"/>
            <w:tcBorders>
              <w:top w:val="nil"/>
              <w:left w:val="nil"/>
              <w:bottom w:val="single" w:sz="4" w:space="0" w:color="auto"/>
              <w:right w:val="nil"/>
            </w:tcBorders>
            <w:noWrap/>
            <w:vAlign w:val="bottom"/>
            <w:hideMark/>
          </w:tcPr>
          <w:p w14:paraId="03388998" w14:textId="77777777" w:rsidR="0089305A" w:rsidRPr="0089305A" w:rsidRDefault="0089305A" w:rsidP="0089305A">
            <w:pPr>
              <w:spacing w:after="0" w:line="240" w:lineRule="auto"/>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Site</w:t>
            </w:r>
          </w:p>
        </w:tc>
        <w:tc>
          <w:tcPr>
            <w:tcW w:w="3215" w:type="dxa"/>
            <w:gridSpan w:val="3"/>
            <w:tcBorders>
              <w:top w:val="nil"/>
              <w:left w:val="nil"/>
              <w:bottom w:val="single" w:sz="4" w:space="0" w:color="auto"/>
              <w:right w:val="single" w:sz="4" w:space="0" w:color="auto"/>
            </w:tcBorders>
            <w:noWrap/>
            <w:vAlign w:val="bottom"/>
            <w:hideMark/>
          </w:tcPr>
          <w:p w14:paraId="2B033368"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C1</w:t>
            </w:r>
          </w:p>
        </w:tc>
        <w:tc>
          <w:tcPr>
            <w:tcW w:w="3202" w:type="dxa"/>
            <w:gridSpan w:val="3"/>
            <w:tcBorders>
              <w:top w:val="nil"/>
              <w:left w:val="single" w:sz="4" w:space="0" w:color="auto"/>
              <w:bottom w:val="single" w:sz="4" w:space="0" w:color="auto"/>
              <w:right w:val="single" w:sz="4" w:space="0" w:color="auto"/>
            </w:tcBorders>
            <w:noWrap/>
            <w:vAlign w:val="bottom"/>
            <w:hideMark/>
          </w:tcPr>
          <w:p w14:paraId="34D7F68C"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C1 + C2</w:t>
            </w:r>
          </w:p>
        </w:tc>
        <w:tc>
          <w:tcPr>
            <w:tcW w:w="3174" w:type="dxa"/>
            <w:gridSpan w:val="4"/>
            <w:tcBorders>
              <w:top w:val="nil"/>
              <w:left w:val="single" w:sz="4" w:space="0" w:color="auto"/>
              <w:bottom w:val="single" w:sz="4" w:space="0" w:color="auto"/>
              <w:right w:val="nil"/>
            </w:tcBorders>
            <w:noWrap/>
            <w:vAlign w:val="bottom"/>
            <w:hideMark/>
          </w:tcPr>
          <w:p w14:paraId="5C1A3A91" w14:textId="77777777" w:rsidR="0089305A" w:rsidRPr="0089305A" w:rsidRDefault="0089305A" w:rsidP="0089305A">
            <w:pPr>
              <w:spacing w:after="0" w:line="240" w:lineRule="auto"/>
              <w:jc w:val="center"/>
              <w:rPr>
                <w:rFonts w:ascii="Times New Roman" w:eastAsia="Times New Roman" w:hAnsi="Times New Roman" w:cs="Times New Roman"/>
                <w:b/>
                <w:bCs/>
                <w:color w:val="000000"/>
                <w:kern w:val="0"/>
                <w:sz w:val="24"/>
                <w:szCs w:val="24"/>
                <w14:ligatures w14:val="none"/>
              </w:rPr>
            </w:pPr>
            <w:r w:rsidRPr="0089305A">
              <w:rPr>
                <w:rFonts w:ascii="Times New Roman" w:eastAsia="Times New Roman" w:hAnsi="Times New Roman" w:cs="Times New Roman"/>
                <w:b/>
                <w:bCs/>
                <w:color w:val="000000"/>
                <w:kern w:val="0"/>
                <w:sz w:val="24"/>
                <w:szCs w:val="24"/>
                <w14:ligatures w14:val="none"/>
              </w:rPr>
              <w:t>C1 – C3</w:t>
            </w:r>
          </w:p>
        </w:tc>
      </w:tr>
      <w:tr w:rsidR="0089305A" w:rsidRPr="0089305A" w14:paraId="5351E1C6" w14:textId="77777777" w:rsidTr="00A03EB1">
        <w:trPr>
          <w:trHeight w:val="290"/>
        </w:trPr>
        <w:tc>
          <w:tcPr>
            <w:tcW w:w="1780" w:type="dxa"/>
            <w:tcBorders>
              <w:top w:val="single" w:sz="4" w:space="0" w:color="auto"/>
              <w:left w:val="nil"/>
              <w:bottom w:val="nil"/>
              <w:right w:val="nil"/>
            </w:tcBorders>
            <w:noWrap/>
            <w:vAlign w:val="bottom"/>
          </w:tcPr>
          <w:p w14:paraId="0B42F0F1"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p>
        </w:tc>
        <w:tc>
          <w:tcPr>
            <w:tcW w:w="969" w:type="dxa"/>
            <w:tcBorders>
              <w:top w:val="nil"/>
              <w:left w:val="nil"/>
              <w:bottom w:val="single" w:sz="4" w:space="0" w:color="auto"/>
              <w:right w:val="nil"/>
            </w:tcBorders>
            <w:noWrap/>
            <w:vAlign w:val="bottom"/>
            <w:hideMark/>
          </w:tcPr>
          <w:p w14:paraId="2221F68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Genera</w:t>
            </w:r>
          </w:p>
        </w:tc>
        <w:tc>
          <w:tcPr>
            <w:tcW w:w="1336" w:type="dxa"/>
            <w:tcBorders>
              <w:top w:val="nil"/>
              <w:left w:val="nil"/>
              <w:bottom w:val="single" w:sz="4" w:space="0" w:color="auto"/>
              <w:right w:val="nil"/>
            </w:tcBorders>
            <w:hideMark/>
          </w:tcPr>
          <w:p w14:paraId="0BFBCD5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Subfamily</w:t>
            </w:r>
          </w:p>
        </w:tc>
        <w:tc>
          <w:tcPr>
            <w:tcW w:w="910" w:type="dxa"/>
            <w:tcBorders>
              <w:top w:val="nil"/>
              <w:left w:val="nil"/>
              <w:bottom w:val="single" w:sz="4" w:space="0" w:color="auto"/>
              <w:right w:val="single" w:sz="4" w:space="0" w:color="auto"/>
            </w:tcBorders>
            <w:hideMark/>
          </w:tcPr>
          <w:p w14:paraId="56009DA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Family</w:t>
            </w:r>
          </w:p>
        </w:tc>
        <w:tc>
          <w:tcPr>
            <w:tcW w:w="968" w:type="dxa"/>
            <w:tcBorders>
              <w:top w:val="nil"/>
              <w:left w:val="single" w:sz="4" w:space="0" w:color="auto"/>
              <w:bottom w:val="single" w:sz="4" w:space="0" w:color="auto"/>
              <w:right w:val="nil"/>
            </w:tcBorders>
            <w:noWrap/>
            <w:vAlign w:val="bottom"/>
            <w:hideMark/>
          </w:tcPr>
          <w:p w14:paraId="70ADDC5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Genera</w:t>
            </w:r>
          </w:p>
        </w:tc>
        <w:tc>
          <w:tcPr>
            <w:tcW w:w="1336" w:type="dxa"/>
            <w:tcBorders>
              <w:top w:val="single" w:sz="4" w:space="0" w:color="auto"/>
              <w:left w:val="nil"/>
              <w:bottom w:val="single" w:sz="4" w:space="0" w:color="auto"/>
              <w:right w:val="nil"/>
            </w:tcBorders>
            <w:hideMark/>
          </w:tcPr>
          <w:p w14:paraId="58EB2EC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Subfamily</w:t>
            </w:r>
          </w:p>
        </w:tc>
        <w:tc>
          <w:tcPr>
            <w:tcW w:w="905" w:type="dxa"/>
            <w:gridSpan w:val="2"/>
            <w:tcBorders>
              <w:top w:val="single" w:sz="4" w:space="0" w:color="auto"/>
              <w:left w:val="nil"/>
              <w:bottom w:val="single" w:sz="4" w:space="0" w:color="auto"/>
              <w:right w:val="single" w:sz="4" w:space="0" w:color="auto"/>
            </w:tcBorders>
            <w:hideMark/>
          </w:tcPr>
          <w:p w14:paraId="516D75A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Family</w:t>
            </w:r>
          </w:p>
        </w:tc>
        <w:tc>
          <w:tcPr>
            <w:tcW w:w="932" w:type="dxa"/>
            <w:tcBorders>
              <w:top w:val="single" w:sz="4" w:space="0" w:color="auto"/>
              <w:left w:val="single" w:sz="4" w:space="0" w:color="auto"/>
              <w:bottom w:val="single" w:sz="4" w:space="0" w:color="auto"/>
              <w:right w:val="nil"/>
            </w:tcBorders>
            <w:noWrap/>
            <w:vAlign w:val="bottom"/>
            <w:hideMark/>
          </w:tcPr>
          <w:p w14:paraId="6F479C2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Genera</w:t>
            </w:r>
          </w:p>
        </w:tc>
        <w:tc>
          <w:tcPr>
            <w:tcW w:w="1336" w:type="dxa"/>
            <w:tcBorders>
              <w:top w:val="single" w:sz="4" w:space="0" w:color="auto"/>
              <w:left w:val="nil"/>
              <w:bottom w:val="single" w:sz="4" w:space="0" w:color="auto"/>
              <w:right w:val="nil"/>
            </w:tcBorders>
            <w:hideMark/>
          </w:tcPr>
          <w:p w14:paraId="293F44A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Subfamily</w:t>
            </w:r>
          </w:p>
        </w:tc>
        <w:tc>
          <w:tcPr>
            <w:tcW w:w="905" w:type="dxa"/>
            <w:gridSpan w:val="2"/>
            <w:tcBorders>
              <w:top w:val="single" w:sz="4" w:space="0" w:color="auto"/>
              <w:left w:val="nil"/>
              <w:bottom w:val="single" w:sz="4" w:space="0" w:color="auto"/>
              <w:right w:val="nil"/>
            </w:tcBorders>
            <w:hideMark/>
          </w:tcPr>
          <w:p w14:paraId="7B38F66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Family</w:t>
            </w:r>
          </w:p>
        </w:tc>
      </w:tr>
      <w:tr w:rsidR="0089305A" w:rsidRPr="0089305A" w14:paraId="2F7C5D96" w14:textId="77777777" w:rsidTr="00A03EB1">
        <w:trPr>
          <w:trHeight w:val="290"/>
        </w:trPr>
        <w:tc>
          <w:tcPr>
            <w:tcW w:w="1780" w:type="dxa"/>
            <w:tcBorders>
              <w:top w:val="single" w:sz="4" w:space="0" w:color="auto"/>
              <w:left w:val="nil"/>
              <w:bottom w:val="nil"/>
              <w:right w:val="nil"/>
            </w:tcBorders>
            <w:noWrap/>
            <w:vAlign w:val="bottom"/>
            <w:hideMark/>
          </w:tcPr>
          <w:p w14:paraId="074F5BA6"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Alvord Creek</w:t>
            </w:r>
          </w:p>
        </w:tc>
        <w:tc>
          <w:tcPr>
            <w:tcW w:w="969" w:type="dxa"/>
            <w:noWrap/>
            <w:vAlign w:val="bottom"/>
            <w:hideMark/>
          </w:tcPr>
          <w:p w14:paraId="0A7BA64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9</w:t>
            </w:r>
          </w:p>
        </w:tc>
        <w:tc>
          <w:tcPr>
            <w:tcW w:w="1336" w:type="dxa"/>
            <w:vAlign w:val="bottom"/>
          </w:tcPr>
          <w:p w14:paraId="44A7BE4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vAlign w:val="bottom"/>
            <w:hideMark/>
          </w:tcPr>
          <w:p w14:paraId="723A74C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68" w:type="dxa"/>
            <w:tcBorders>
              <w:top w:val="nil"/>
              <w:left w:val="single" w:sz="4" w:space="0" w:color="auto"/>
              <w:bottom w:val="nil"/>
              <w:right w:val="nil"/>
            </w:tcBorders>
            <w:noWrap/>
            <w:vAlign w:val="bottom"/>
            <w:hideMark/>
          </w:tcPr>
          <w:p w14:paraId="479E630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17</w:t>
            </w:r>
          </w:p>
        </w:tc>
        <w:tc>
          <w:tcPr>
            <w:tcW w:w="1336" w:type="dxa"/>
            <w:vAlign w:val="bottom"/>
          </w:tcPr>
          <w:p w14:paraId="224A366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vAlign w:val="bottom"/>
            <w:hideMark/>
          </w:tcPr>
          <w:p w14:paraId="1415B0A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32" w:type="dxa"/>
            <w:tcBorders>
              <w:top w:val="nil"/>
              <w:left w:val="single" w:sz="4" w:space="0" w:color="auto"/>
              <w:bottom w:val="nil"/>
              <w:right w:val="nil"/>
            </w:tcBorders>
            <w:noWrap/>
            <w:vAlign w:val="bottom"/>
            <w:hideMark/>
          </w:tcPr>
          <w:p w14:paraId="1F261EE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19</w:t>
            </w:r>
          </w:p>
        </w:tc>
        <w:tc>
          <w:tcPr>
            <w:tcW w:w="1336" w:type="dxa"/>
            <w:vAlign w:val="bottom"/>
          </w:tcPr>
          <w:p w14:paraId="147D4F6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265BEC1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r>
      <w:tr w:rsidR="0089305A" w:rsidRPr="0089305A" w14:paraId="73AEF106" w14:textId="77777777" w:rsidTr="00A03EB1">
        <w:trPr>
          <w:trHeight w:val="290"/>
        </w:trPr>
        <w:tc>
          <w:tcPr>
            <w:tcW w:w="1780" w:type="dxa"/>
            <w:noWrap/>
            <w:vAlign w:val="bottom"/>
            <w:hideMark/>
          </w:tcPr>
          <w:p w14:paraId="511EFE4F"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Clarkia</w:t>
            </w:r>
          </w:p>
        </w:tc>
        <w:tc>
          <w:tcPr>
            <w:tcW w:w="969" w:type="dxa"/>
            <w:noWrap/>
            <w:vAlign w:val="bottom"/>
            <w:hideMark/>
          </w:tcPr>
          <w:p w14:paraId="2D0F0D1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41</w:t>
            </w:r>
          </w:p>
        </w:tc>
        <w:tc>
          <w:tcPr>
            <w:tcW w:w="1336" w:type="dxa"/>
            <w:vAlign w:val="bottom"/>
            <w:hideMark/>
          </w:tcPr>
          <w:p w14:paraId="357616E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10" w:type="dxa"/>
            <w:tcBorders>
              <w:top w:val="nil"/>
              <w:left w:val="nil"/>
              <w:bottom w:val="nil"/>
              <w:right w:val="single" w:sz="4" w:space="0" w:color="auto"/>
            </w:tcBorders>
            <w:vAlign w:val="bottom"/>
            <w:hideMark/>
          </w:tcPr>
          <w:p w14:paraId="0E58825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c>
          <w:tcPr>
            <w:tcW w:w="968" w:type="dxa"/>
            <w:tcBorders>
              <w:top w:val="nil"/>
              <w:left w:val="single" w:sz="4" w:space="0" w:color="auto"/>
              <w:bottom w:val="nil"/>
              <w:right w:val="nil"/>
            </w:tcBorders>
            <w:noWrap/>
            <w:vAlign w:val="bottom"/>
            <w:hideMark/>
          </w:tcPr>
          <w:p w14:paraId="748C295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47</w:t>
            </w:r>
          </w:p>
        </w:tc>
        <w:tc>
          <w:tcPr>
            <w:tcW w:w="1336" w:type="dxa"/>
            <w:vAlign w:val="bottom"/>
            <w:hideMark/>
          </w:tcPr>
          <w:p w14:paraId="401A556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c>
          <w:tcPr>
            <w:tcW w:w="905" w:type="dxa"/>
            <w:gridSpan w:val="2"/>
            <w:tcBorders>
              <w:top w:val="nil"/>
              <w:left w:val="nil"/>
              <w:bottom w:val="nil"/>
              <w:right w:val="single" w:sz="4" w:space="0" w:color="auto"/>
            </w:tcBorders>
            <w:vAlign w:val="bottom"/>
            <w:hideMark/>
          </w:tcPr>
          <w:p w14:paraId="4D4C359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c>
          <w:tcPr>
            <w:tcW w:w="932" w:type="dxa"/>
            <w:tcBorders>
              <w:top w:val="nil"/>
              <w:left w:val="single" w:sz="4" w:space="0" w:color="auto"/>
              <w:bottom w:val="nil"/>
              <w:right w:val="nil"/>
            </w:tcBorders>
            <w:noWrap/>
            <w:vAlign w:val="bottom"/>
            <w:hideMark/>
          </w:tcPr>
          <w:p w14:paraId="7FB12A3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53</w:t>
            </w:r>
          </w:p>
        </w:tc>
        <w:tc>
          <w:tcPr>
            <w:tcW w:w="1336" w:type="dxa"/>
            <w:vAlign w:val="bottom"/>
            <w:hideMark/>
          </w:tcPr>
          <w:p w14:paraId="4AAD4E9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c>
          <w:tcPr>
            <w:tcW w:w="905" w:type="dxa"/>
            <w:gridSpan w:val="2"/>
            <w:vAlign w:val="bottom"/>
            <w:hideMark/>
          </w:tcPr>
          <w:p w14:paraId="75AC726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r>
      <w:tr w:rsidR="0089305A" w:rsidRPr="0089305A" w14:paraId="354A1ACB" w14:textId="77777777" w:rsidTr="00A03EB1">
        <w:trPr>
          <w:trHeight w:val="290"/>
        </w:trPr>
        <w:tc>
          <w:tcPr>
            <w:tcW w:w="1780" w:type="dxa"/>
            <w:noWrap/>
            <w:vAlign w:val="bottom"/>
            <w:hideMark/>
          </w:tcPr>
          <w:p w14:paraId="1961782E"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proofErr w:type="spellStart"/>
            <w:r w:rsidRPr="0089305A">
              <w:rPr>
                <w:rFonts w:ascii="Times New Roman" w:eastAsia="Times New Roman" w:hAnsi="Times New Roman" w:cs="Times New Roman"/>
                <w:color w:val="000000"/>
                <w:kern w:val="0"/>
                <w:sz w:val="24"/>
                <w:szCs w:val="24"/>
                <w14:ligatures w14:val="none"/>
              </w:rPr>
              <w:t>Juliaetta</w:t>
            </w:r>
            <w:proofErr w:type="spellEnd"/>
          </w:p>
        </w:tc>
        <w:tc>
          <w:tcPr>
            <w:tcW w:w="969" w:type="dxa"/>
            <w:noWrap/>
            <w:vAlign w:val="bottom"/>
            <w:hideMark/>
          </w:tcPr>
          <w:p w14:paraId="4B4C401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13</w:t>
            </w:r>
          </w:p>
        </w:tc>
        <w:tc>
          <w:tcPr>
            <w:tcW w:w="1336" w:type="dxa"/>
            <w:vAlign w:val="bottom"/>
          </w:tcPr>
          <w:p w14:paraId="4742D7B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vAlign w:val="bottom"/>
            <w:hideMark/>
          </w:tcPr>
          <w:p w14:paraId="6A59836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68" w:type="dxa"/>
            <w:tcBorders>
              <w:top w:val="nil"/>
              <w:left w:val="single" w:sz="4" w:space="0" w:color="auto"/>
              <w:bottom w:val="nil"/>
              <w:right w:val="nil"/>
            </w:tcBorders>
            <w:noWrap/>
            <w:vAlign w:val="bottom"/>
            <w:hideMark/>
          </w:tcPr>
          <w:p w14:paraId="0712178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18</w:t>
            </w:r>
          </w:p>
        </w:tc>
        <w:tc>
          <w:tcPr>
            <w:tcW w:w="1336" w:type="dxa"/>
            <w:vAlign w:val="bottom"/>
          </w:tcPr>
          <w:p w14:paraId="5C1D501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vAlign w:val="bottom"/>
            <w:hideMark/>
          </w:tcPr>
          <w:p w14:paraId="6B97399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c>
          <w:tcPr>
            <w:tcW w:w="932" w:type="dxa"/>
            <w:tcBorders>
              <w:top w:val="nil"/>
              <w:left w:val="single" w:sz="4" w:space="0" w:color="auto"/>
              <w:bottom w:val="nil"/>
              <w:right w:val="nil"/>
            </w:tcBorders>
            <w:noWrap/>
            <w:vAlign w:val="bottom"/>
            <w:hideMark/>
          </w:tcPr>
          <w:p w14:paraId="2389DDA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20</w:t>
            </w:r>
          </w:p>
        </w:tc>
        <w:tc>
          <w:tcPr>
            <w:tcW w:w="1336" w:type="dxa"/>
            <w:vAlign w:val="bottom"/>
          </w:tcPr>
          <w:p w14:paraId="7B0A251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4F3EBF9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r>
      <w:tr w:rsidR="0089305A" w:rsidRPr="0089305A" w14:paraId="6687208E" w14:textId="77777777" w:rsidTr="00A03EB1">
        <w:trPr>
          <w:trHeight w:val="290"/>
        </w:trPr>
        <w:tc>
          <w:tcPr>
            <w:tcW w:w="1780" w:type="dxa"/>
            <w:noWrap/>
            <w:vAlign w:val="bottom"/>
            <w:hideMark/>
          </w:tcPr>
          <w:p w14:paraId="76F2A407"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Mascall</w:t>
            </w:r>
          </w:p>
        </w:tc>
        <w:tc>
          <w:tcPr>
            <w:tcW w:w="969" w:type="dxa"/>
            <w:noWrap/>
            <w:vAlign w:val="bottom"/>
            <w:hideMark/>
          </w:tcPr>
          <w:p w14:paraId="558B88E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23</w:t>
            </w:r>
          </w:p>
        </w:tc>
        <w:tc>
          <w:tcPr>
            <w:tcW w:w="1336" w:type="dxa"/>
            <w:vAlign w:val="bottom"/>
            <w:hideMark/>
          </w:tcPr>
          <w:p w14:paraId="65107A4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10" w:type="dxa"/>
            <w:tcBorders>
              <w:top w:val="nil"/>
              <w:left w:val="nil"/>
              <w:bottom w:val="nil"/>
              <w:right w:val="single" w:sz="4" w:space="0" w:color="auto"/>
            </w:tcBorders>
            <w:vAlign w:val="bottom"/>
            <w:hideMark/>
          </w:tcPr>
          <w:p w14:paraId="442F1C7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c>
          <w:tcPr>
            <w:tcW w:w="968" w:type="dxa"/>
            <w:tcBorders>
              <w:top w:val="nil"/>
              <w:left w:val="single" w:sz="4" w:space="0" w:color="auto"/>
              <w:bottom w:val="nil"/>
              <w:right w:val="nil"/>
            </w:tcBorders>
            <w:noWrap/>
            <w:vAlign w:val="bottom"/>
            <w:hideMark/>
          </w:tcPr>
          <w:p w14:paraId="5E6460B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34</w:t>
            </w:r>
          </w:p>
        </w:tc>
        <w:tc>
          <w:tcPr>
            <w:tcW w:w="1336" w:type="dxa"/>
            <w:vAlign w:val="bottom"/>
            <w:hideMark/>
          </w:tcPr>
          <w:p w14:paraId="4BE02C7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05" w:type="dxa"/>
            <w:gridSpan w:val="2"/>
            <w:tcBorders>
              <w:top w:val="nil"/>
              <w:left w:val="nil"/>
              <w:bottom w:val="nil"/>
              <w:right w:val="single" w:sz="4" w:space="0" w:color="auto"/>
            </w:tcBorders>
            <w:vAlign w:val="bottom"/>
            <w:hideMark/>
          </w:tcPr>
          <w:p w14:paraId="7217C4F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4</w:t>
            </w:r>
          </w:p>
        </w:tc>
        <w:tc>
          <w:tcPr>
            <w:tcW w:w="932" w:type="dxa"/>
            <w:tcBorders>
              <w:top w:val="nil"/>
              <w:left w:val="single" w:sz="4" w:space="0" w:color="auto"/>
              <w:bottom w:val="nil"/>
              <w:right w:val="nil"/>
            </w:tcBorders>
            <w:noWrap/>
            <w:vAlign w:val="bottom"/>
            <w:hideMark/>
          </w:tcPr>
          <w:p w14:paraId="14EB7CB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34</w:t>
            </w:r>
          </w:p>
        </w:tc>
        <w:tc>
          <w:tcPr>
            <w:tcW w:w="1336" w:type="dxa"/>
            <w:vAlign w:val="bottom"/>
            <w:hideMark/>
          </w:tcPr>
          <w:p w14:paraId="291B40A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05" w:type="dxa"/>
            <w:gridSpan w:val="2"/>
            <w:vAlign w:val="bottom"/>
            <w:hideMark/>
          </w:tcPr>
          <w:p w14:paraId="158D3DC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5</w:t>
            </w:r>
          </w:p>
        </w:tc>
      </w:tr>
      <w:tr w:rsidR="0089305A" w:rsidRPr="0089305A" w14:paraId="6F06D804" w14:textId="77777777" w:rsidTr="00A03EB1">
        <w:trPr>
          <w:trHeight w:val="290"/>
        </w:trPr>
        <w:tc>
          <w:tcPr>
            <w:tcW w:w="1780" w:type="dxa"/>
            <w:noWrap/>
            <w:vAlign w:val="bottom"/>
            <w:hideMark/>
          </w:tcPr>
          <w:p w14:paraId="68F8C2B2"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Moose Mountain</w:t>
            </w:r>
          </w:p>
        </w:tc>
        <w:tc>
          <w:tcPr>
            <w:tcW w:w="969" w:type="dxa"/>
            <w:noWrap/>
            <w:vAlign w:val="bottom"/>
            <w:hideMark/>
          </w:tcPr>
          <w:p w14:paraId="2A52221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10</w:t>
            </w:r>
          </w:p>
        </w:tc>
        <w:tc>
          <w:tcPr>
            <w:tcW w:w="1336" w:type="dxa"/>
            <w:vAlign w:val="bottom"/>
          </w:tcPr>
          <w:p w14:paraId="2BF1EC9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vAlign w:val="bottom"/>
            <w:hideMark/>
          </w:tcPr>
          <w:p w14:paraId="7B0E7E2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68" w:type="dxa"/>
            <w:tcBorders>
              <w:top w:val="nil"/>
              <w:left w:val="single" w:sz="4" w:space="0" w:color="auto"/>
              <w:bottom w:val="nil"/>
              <w:right w:val="nil"/>
            </w:tcBorders>
            <w:noWrap/>
            <w:vAlign w:val="bottom"/>
            <w:hideMark/>
          </w:tcPr>
          <w:p w14:paraId="760B60F5"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15</w:t>
            </w:r>
          </w:p>
        </w:tc>
        <w:tc>
          <w:tcPr>
            <w:tcW w:w="1336" w:type="dxa"/>
            <w:vAlign w:val="bottom"/>
          </w:tcPr>
          <w:p w14:paraId="2D93845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vAlign w:val="bottom"/>
            <w:hideMark/>
          </w:tcPr>
          <w:p w14:paraId="0F483E9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c>
          <w:tcPr>
            <w:tcW w:w="932" w:type="dxa"/>
            <w:tcBorders>
              <w:top w:val="nil"/>
              <w:left w:val="single" w:sz="4" w:space="0" w:color="auto"/>
              <w:bottom w:val="nil"/>
              <w:right w:val="nil"/>
            </w:tcBorders>
            <w:noWrap/>
            <w:vAlign w:val="bottom"/>
            <w:hideMark/>
          </w:tcPr>
          <w:p w14:paraId="619609E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16</w:t>
            </w:r>
          </w:p>
        </w:tc>
        <w:tc>
          <w:tcPr>
            <w:tcW w:w="1336" w:type="dxa"/>
            <w:vAlign w:val="bottom"/>
          </w:tcPr>
          <w:p w14:paraId="54070E6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2DC1632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r>
      <w:tr w:rsidR="0089305A" w:rsidRPr="0089305A" w14:paraId="066317A4" w14:textId="77777777" w:rsidTr="00A03EB1">
        <w:trPr>
          <w:trHeight w:val="290"/>
        </w:trPr>
        <w:tc>
          <w:tcPr>
            <w:tcW w:w="1780" w:type="dxa"/>
            <w:noWrap/>
            <w:vAlign w:val="bottom"/>
            <w:hideMark/>
          </w:tcPr>
          <w:p w14:paraId="7499F867"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Pickett Creek</w:t>
            </w:r>
          </w:p>
        </w:tc>
        <w:tc>
          <w:tcPr>
            <w:tcW w:w="969" w:type="dxa"/>
            <w:noWrap/>
            <w:vAlign w:val="bottom"/>
            <w:hideMark/>
          </w:tcPr>
          <w:p w14:paraId="51DB776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12</w:t>
            </w:r>
          </w:p>
        </w:tc>
        <w:tc>
          <w:tcPr>
            <w:tcW w:w="1336" w:type="dxa"/>
            <w:vAlign w:val="bottom"/>
          </w:tcPr>
          <w:p w14:paraId="6B81CC7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vAlign w:val="bottom"/>
            <w:hideMark/>
          </w:tcPr>
          <w:p w14:paraId="6D8CF33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68" w:type="dxa"/>
            <w:tcBorders>
              <w:top w:val="nil"/>
              <w:left w:val="single" w:sz="4" w:space="0" w:color="auto"/>
              <w:bottom w:val="nil"/>
              <w:right w:val="nil"/>
            </w:tcBorders>
            <w:noWrap/>
            <w:vAlign w:val="bottom"/>
            <w:hideMark/>
          </w:tcPr>
          <w:p w14:paraId="535AD7F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15</w:t>
            </w:r>
          </w:p>
        </w:tc>
        <w:tc>
          <w:tcPr>
            <w:tcW w:w="1336" w:type="dxa"/>
            <w:vAlign w:val="bottom"/>
          </w:tcPr>
          <w:p w14:paraId="5F1B58D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vAlign w:val="bottom"/>
            <w:hideMark/>
          </w:tcPr>
          <w:p w14:paraId="372B5E6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32" w:type="dxa"/>
            <w:tcBorders>
              <w:top w:val="nil"/>
              <w:left w:val="single" w:sz="4" w:space="0" w:color="auto"/>
              <w:bottom w:val="nil"/>
              <w:right w:val="nil"/>
            </w:tcBorders>
            <w:noWrap/>
            <w:vAlign w:val="bottom"/>
            <w:hideMark/>
          </w:tcPr>
          <w:p w14:paraId="15D2A29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16</w:t>
            </w:r>
          </w:p>
        </w:tc>
        <w:tc>
          <w:tcPr>
            <w:tcW w:w="1336" w:type="dxa"/>
            <w:vAlign w:val="bottom"/>
          </w:tcPr>
          <w:p w14:paraId="4CB5362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5EEB5D3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r>
      <w:tr w:rsidR="0089305A" w:rsidRPr="0089305A" w14:paraId="72407A9E" w14:textId="77777777" w:rsidTr="00A03EB1">
        <w:trPr>
          <w:trHeight w:val="290"/>
        </w:trPr>
        <w:tc>
          <w:tcPr>
            <w:tcW w:w="1780" w:type="dxa"/>
            <w:noWrap/>
            <w:vAlign w:val="bottom"/>
            <w:hideMark/>
          </w:tcPr>
          <w:p w14:paraId="228EA534"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Spokane</w:t>
            </w:r>
          </w:p>
        </w:tc>
        <w:tc>
          <w:tcPr>
            <w:tcW w:w="969" w:type="dxa"/>
            <w:noWrap/>
            <w:vAlign w:val="bottom"/>
            <w:hideMark/>
          </w:tcPr>
          <w:p w14:paraId="55647F5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27</w:t>
            </w:r>
          </w:p>
        </w:tc>
        <w:tc>
          <w:tcPr>
            <w:tcW w:w="1336" w:type="dxa"/>
            <w:vAlign w:val="bottom"/>
          </w:tcPr>
          <w:p w14:paraId="0B757F4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tcPr>
          <w:p w14:paraId="35A07E6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68" w:type="dxa"/>
            <w:tcBorders>
              <w:top w:val="nil"/>
              <w:left w:val="single" w:sz="4" w:space="0" w:color="auto"/>
              <w:bottom w:val="nil"/>
              <w:right w:val="nil"/>
            </w:tcBorders>
            <w:noWrap/>
            <w:vAlign w:val="bottom"/>
            <w:hideMark/>
          </w:tcPr>
          <w:p w14:paraId="691D93A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36</w:t>
            </w:r>
          </w:p>
        </w:tc>
        <w:tc>
          <w:tcPr>
            <w:tcW w:w="1336" w:type="dxa"/>
            <w:vAlign w:val="bottom"/>
          </w:tcPr>
          <w:p w14:paraId="2EB53E0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vAlign w:val="bottom"/>
            <w:hideMark/>
          </w:tcPr>
          <w:p w14:paraId="7A19C21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32" w:type="dxa"/>
            <w:tcBorders>
              <w:top w:val="nil"/>
              <w:left w:val="single" w:sz="4" w:space="0" w:color="auto"/>
              <w:bottom w:val="nil"/>
              <w:right w:val="nil"/>
            </w:tcBorders>
            <w:noWrap/>
            <w:vAlign w:val="bottom"/>
            <w:hideMark/>
          </w:tcPr>
          <w:p w14:paraId="4938295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42</w:t>
            </w:r>
          </w:p>
        </w:tc>
        <w:tc>
          <w:tcPr>
            <w:tcW w:w="1336" w:type="dxa"/>
            <w:vAlign w:val="bottom"/>
          </w:tcPr>
          <w:p w14:paraId="0A9632E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3F2B1139"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r>
      <w:tr w:rsidR="0089305A" w:rsidRPr="0089305A" w14:paraId="45A5A4DF" w14:textId="77777777" w:rsidTr="00A03EB1">
        <w:trPr>
          <w:trHeight w:val="290"/>
        </w:trPr>
        <w:tc>
          <w:tcPr>
            <w:tcW w:w="1780" w:type="dxa"/>
            <w:noWrap/>
            <w:vAlign w:val="bottom"/>
            <w:hideMark/>
          </w:tcPr>
          <w:p w14:paraId="2EACE11B"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Succor Creek</w:t>
            </w:r>
          </w:p>
        </w:tc>
        <w:tc>
          <w:tcPr>
            <w:tcW w:w="969" w:type="dxa"/>
            <w:noWrap/>
            <w:vAlign w:val="bottom"/>
            <w:hideMark/>
          </w:tcPr>
          <w:p w14:paraId="39449D41"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18</w:t>
            </w:r>
          </w:p>
        </w:tc>
        <w:tc>
          <w:tcPr>
            <w:tcW w:w="1336" w:type="dxa"/>
            <w:vAlign w:val="bottom"/>
          </w:tcPr>
          <w:p w14:paraId="1851954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hideMark/>
          </w:tcPr>
          <w:p w14:paraId="0CD9071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w:t>
            </w:r>
          </w:p>
        </w:tc>
        <w:tc>
          <w:tcPr>
            <w:tcW w:w="968" w:type="dxa"/>
            <w:tcBorders>
              <w:top w:val="nil"/>
              <w:left w:val="single" w:sz="4" w:space="0" w:color="auto"/>
              <w:bottom w:val="nil"/>
              <w:right w:val="nil"/>
            </w:tcBorders>
            <w:noWrap/>
            <w:vAlign w:val="bottom"/>
            <w:hideMark/>
          </w:tcPr>
          <w:p w14:paraId="7CF18A3D"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26</w:t>
            </w:r>
          </w:p>
        </w:tc>
        <w:tc>
          <w:tcPr>
            <w:tcW w:w="1336" w:type="dxa"/>
            <w:vAlign w:val="bottom"/>
            <w:hideMark/>
          </w:tcPr>
          <w:p w14:paraId="59514FA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05" w:type="dxa"/>
            <w:gridSpan w:val="2"/>
            <w:tcBorders>
              <w:top w:val="nil"/>
              <w:left w:val="nil"/>
              <w:bottom w:val="nil"/>
              <w:right w:val="single" w:sz="4" w:space="0" w:color="auto"/>
            </w:tcBorders>
            <w:vAlign w:val="bottom"/>
            <w:hideMark/>
          </w:tcPr>
          <w:p w14:paraId="1F699F7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c>
          <w:tcPr>
            <w:tcW w:w="932" w:type="dxa"/>
            <w:tcBorders>
              <w:top w:val="nil"/>
              <w:left w:val="single" w:sz="4" w:space="0" w:color="auto"/>
              <w:bottom w:val="nil"/>
              <w:right w:val="nil"/>
            </w:tcBorders>
            <w:noWrap/>
            <w:vAlign w:val="bottom"/>
            <w:hideMark/>
          </w:tcPr>
          <w:p w14:paraId="32189F35"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28</w:t>
            </w:r>
          </w:p>
        </w:tc>
        <w:tc>
          <w:tcPr>
            <w:tcW w:w="1336" w:type="dxa"/>
            <w:vAlign w:val="bottom"/>
            <w:hideMark/>
          </w:tcPr>
          <w:p w14:paraId="75A0867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05" w:type="dxa"/>
            <w:gridSpan w:val="2"/>
            <w:vAlign w:val="bottom"/>
            <w:hideMark/>
          </w:tcPr>
          <w:p w14:paraId="2A52CD95"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r>
      <w:tr w:rsidR="0089305A" w:rsidRPr="0089305A" w14:paraId="6A7FDD0C" w14:textId="77777777" w:rsidTr="00A03EB1">
        <w:trPr>
          <w:trHeight w:val="290"/>
        </w:trPr>
        <w:tc>
          <w:tcPr>
            <w:tcW w:w="1780" w:type="dxa"/>
            <w:noWrap/>
            <w:vAlign w:val="bottom"/>
            <w:hideMark/>
          </w:tcPr>
          <w:p w14:paraId="7EB2CD62"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Trapper Creek</w:t>
            </w:r>
          </w:p>
        </w:tc>
        <w:tc>
          <w:tcPr>
            <w:tcW w:w="969" w:type="dxa"/>
            <w:noWrap/>
            <w:vAlign w:val="bottom"/>
            <w:hideMark/>
          </w:tcPr>
          <w:p w14:paraId="2C7E28A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14</w:t>
            </w:r>
          </w:p>
        </w:tc>
        <w:tc>
          <w:tcPr>
            <w:tcW w:w="1336" w:type="dxa"/>
            <w:vAlign w:val="bottom"/>
          </w:tcPr>
          <w:p w14:paraId="7EEA78D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tcPr>
          <w:p w14:paraId="042AB8B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68" w:type="dxa"/>
            <w:tcBorders>
              <w:top w:val="nil"/>
              <w:left w:val="single" w:sz="4" w:space="0" w:color="auto"/>
              <w:bottom w:val="nil"/>
              <w:right w:val="nil"/>
            </w:tcBorders>
            <w:noWrap/>
            <w:vAlign w:val="bottom"/>
            <w:hideMark/>
          </w:tcPr>
          <w:p w14:paraId="75FCC11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20</w:t>
            </w:r>
          </w:p>
        </w:tc>
        <w:tc>
          <w:tcPr>
            <w:tcW w:w="1336" w:type="dxa"/>
            <w:vAlign w:val="bottom"/>
          </w:tcPr>
          <w:p w14:paraId="7C89225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tcPr>
          <w:p w14:paraId="33F7556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32" w:type="dxa"/>
            <w:tcBorders>
              <w:top w:val="nil"/>
              <w:left w:val="single" w:sz="4" w:space="0" w:color="auto"/>
              <w:bottom w:val="nil"/>
              <w:right w:val="nil"/>
            </w:tcBorders>
            <w:noWrap/>
            <w:vAlign w:val="bottom"/>
            <w:hideMark/>
          </w:tcPr>
          <w:p w14:paraId="3294E6C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22</w:t>
            </w:r>
          </w:p>
        </w:tc>
        <w:tc>
          <w:tcPr>
            <w:tcW w:w="1336" w:type="dxa"/>
            <w:vAlign w:val="bottom"/>
          </w:tcPr>
          <w:p w14:paraId="1566324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0CA3299B"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r>
      <w:tr w:rsidR="0089305A" w:rsidRPr="0089305A" w14:paraId="3F0DBA12" w14:textId="77777777" w:rsidTr="00A03EB1">
        <w:trPr>
          <w:trHeight w:val="290"/>
        </w:trPr>
        <w:tc>
          <w:tcPr>
            <w:tcW w:w="1780" w:type="dxa"/>
            <w:noWrap/>
            <w:vAlign w:val="bottom"/>
            <w:hideMark/>
          </w:tcPr>
          <w:p w14:paraId="465008F9"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Trout Creek</w:t>
            </w:r>
          </w:p>
        </w:tc>
        <w:tc>
          <w:tcPr>
            <w:tcW w:w="969" w:type="dxa"/>
            <w:noWrap/>
            <w:vAlign w:val="bottom"/>
            <w:hideMark/>
          </w:tcPr>
          <w:p w14:paraId="07751CB7"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12</w:t>
            </w:r>
          </w:p>
        </w:tc>
        <w:tc>
          <w:tcPr>
            <w:tcW w:w="1336" w:type="dxa"/>
            <w:vAlign w:val="bottom"/>
            <w:hideMark/>
          </w:tcPr>
          <w:p w14:paraId="32DB4D4E"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10" w:type="dxa"/>
            <w:tcBorders>
              <w:top w:val="nil"/>
              <w:left w:val="nil"/>
              <w:bottom w:val="nil"/>
              <w:right w:val="single" w:sz="4" w:space="0" w:color="auto"/>
            </w:tcBorders>
            <w:hideMark/>
          </w:tcPr>
          <w:p w14:paraId="2231855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3</w:t>
            </w:r>
          </w:p>
        </w:tc>
        <w:tc>
          <w:tcPr>
            <w:tcW w:w="968" w:type="dxa"/>
            <w:tcBorders>
              <w:top w:val="nil"/>
              <w:left w:val="single" w:sz="4" w:space="0" w:color="auto"/>
              <w:bottom w:val="nil"/>
              <w:right w:val="nil"/>
            </w:tcBorders>
            <w:noWrap/>
            <w:vAlign w:val="bottom"/>
            <w:hideMark/>
          </w:tcPr>
          <w:p w14:paraId="60D58344"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27</w:t>
            </w:r>
          </w:p>
        </w:tc>
        <w:tc>
          <w:tcPr>
            <w:tcW w:w="1336" w:type="dxa"/>
            <w:vAlign w:val="bottom"/>
            <w:hideMark/>
          </w:tcPr>
          <w:p w14:paraId="7A19C30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05" w:type="dxa"/>
            <w:gridSpan w:val="2"/>
            <w:tcBorders>
              <w:top w:val="nil"/>
              <w:left w:val="nil"/>
              <w:bottom w:val="nil"/>
              <w:right w:val="single" w:sz="4" w:space="0" w:color="auto"/>
            </w:tcBorders>
            <w:vAlign w:val="bottom"/>
            <w:hideMark/>
          </w:tcPr>
          <w:p w14:paraId="495C095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4</w:t>
            </w:r>
          </w:p>
        </w:tc>
        <w:tc>
          <w:tcPr>
            <w:tcW w:w="932" w:type="dxa"/>
            <w:tcBorders>
              <w:top w:val="nil"/>
              <w:left w:val="single" w:sz="4" w:space="0" w:color="auto"/>
              <w:bottom w:val="nil"/>
              <w:right w:val="nil"/>
            </w:tcBorders>
            <w:noWrap/>
            <w:vAlign w:val="bottom"/>
            <w:hideMark/>
          </w:tcPr>
          <w:p w14:paraId="6ADFE736"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34</w:t>
            </w:r>
          </w:p>
        </w:tc>
        <w:tc>
          <w:tcPr>
            <w:tcW w:w="1336" w:type="dxa"/>
            <w:vAlign w:val="bottom"/>
            <w:hideMark/>
          </w:tcPr>
          <w:p w14:paraId="2AB5E5D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w:t>
            </w:r>
          </w:p>
        </w:tc>
        <w:tc>
          <w:tcPr>
            <w:tcW w:w="905" w:type="dxa"/>
            <w:gridSpan w:val="2"/>
            <w:vAlign w:val="bottom"/>
            <w:hideMark/>
          </w:tcPr>
          <w:p w14:paraId="1F3E9603"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5</w:t>
            </w:r>
          </w:p>
        </w:tc>
      </w:tr>
      <w:tr w:rsidR="0089305A" w:rsidRPr="0089305A" w14:paraId="5CFF7C45" w14:textId="77777777" w:rsidTr="00A03EB1">
        <w:trPr>
          <w:trHeight w:val="290"/>
        </w:trPr>
        <w:tc>
          <w:tcPr>
            <w:tcW w:w="1780" w:type="dxa"/>
            <w:noWrap/>
            <w:vAlign w:val="bottom"/>
            <w:hideMark/>
          </w:tcPr>
          <w:p w14:paraId="0CA81B3C" w14:textId="77777777" w:rsidR="0089305A" w:rsidRPr="0089305A" w:rsidRDefault="0089305A" w:rsidP="0089305A">
            <w:pPr>
              <w:spacing w:after="0" w:line="240" w:lineRule="auto"/>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Vasa Park</w:t>
            </w:r>
          </w:p>
        </w:tc>
        <w:tc>
          <w:tcPr>
            <w:tcW w:w="969" w:type="dxa"/>
            <w:noWrap/>
            <w:vAlign w:val="bottom"/>
            <w:hideMark/>
          </w:tcPr>
          <w:p w14:paraId="28298658"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7</w:t>
            </w:r>
          </w:p>
        </w:tc>
        <w:tc>
          <w:tcPr>
            <w:tcW w:w="1336" w:type="dxa"/>
            <w:vAlign w:val="bottom"/>
          </w:tcPr>
          <w:p w14:paraId="5C13A4A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10" w:type="dxa"/>
            <w:tcBorders>
              <w:top w:val="nil"/>
              <w:left w:val="nil"/>
              <w:bottom w:val="nil"/>
              <w:right w:val="single" w:sz="4" w:space="0" w:color="auto"/>
            </w:tcBorders>
            <w:hideMark/>
          </w:tcPr>
          <w:p w14:paraId="789F72F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Times New Roman" w:hAnsi="Times New Roman" w:cs="Times New Roman"/>
                <w:color w:val="000000"/>
                <w:kern w:val="0"/>
                <w:sz w:val="24"/>
                <w:szCs w:val="24"/>
                <w14:ligatures w14:val="none"/>
              </w:rPr>
              <w:t>1</w:t>
            </w:r>
          </w:p>
        </w:tc>
        <w:tc>
          <w:tcPr>
            <w:tcW w:w="968" w:type="dxa"/>
            <w:tcBorders>
              <w:top w:val="nil"/>
              <w:left w:val="single" w:sz="4" w:space="0" w:color="auto"/>
              <w:bottom w:val="nil"/>
              <w:right w:val="nil"/>
            </w:tcBorders>
            <w:noWrap/>
            <w:vAlign w:val="bottom"/>
            <w:hideMark/>
          </w:tcPr>
          <w:p w14:paraId="180ACD65"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12</w:t>
            </w:r>
          </w:p>
        </w:tc>
        <w:tc>
          <w:tcPr>
            <w:tcW w:w="1336" w:type="dxa"/>
            <w:vAlign w:val="bottom"/>
          </w:tcPr>
          <w:p w14:paraId="717656CF"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tcBorders>
              <w:top w:val="nil"/>
              <w:left w:val="nil"/>
              <w:bottom w:val="nil"/>
              <w:right w:val="single" w:sz="4" w:space="0" w:color="auto"/>
            </w:tcBorders>
            <w:vAlign w:val="bottom"/>
            <w:hideMark/>
          </w:tcPr>
          <w:p w14:paraId="63ED291A"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2</w:t>
            </w:r>
          </w:p>
        </w:tc>
        <w:tc>
          <w:tcPr>
            <w:tcW w:w="932" w:type="dxa"/>
            <w:tcBorders>
              <w:top w:val="nil"/>
              <w:left w:val="single" w:sz="4" w:space="0" w:color="auto"/>
              <w:bottom w:val="nil"/>
              <w:right w:val="nil"/>
            </w:tcBorders>
            <w:noWrap/>
            <w:vAlign w:val="bottom"/>
            <w:hideMark/>
          </w:tcPr>
          <w:p w14:paraId="1C4EA57C"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14</w:t>
            </w:r>
          </w:p>
        </w:tc>
        <w:tc>
          <w:tcPr>
            <w:tcW w:w="1336" w:type="dxa"/>
            <w:vAlign w:val="bottom"/>
          </w:tcPr>
          <w:p w14:paraId="102F5420"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p>
        </w:tc>
        <w:tc>
          <w:tcPr>
            <w:tcW w:w="905" w:type="dxa"/>
            <w:gridSpan w:val="2"/>
            <w:vAlign w:val="bottom"/>
            <w:hideMark/>
          </w:tcPr>
          <w:p w14:paraId="02BB0D72" w14:textId="77777777" w:rsidR="0089305A" w:rsidRPr="0089305A" w:rsidRDefault="0089305A" w:rsidP="0089305A">
            <w:pPr>
              <w:spacing w:after="0" w:line="240" w:lineRule="auto"/>
              <w:jc w:val="center"/>
              <w:rPr>
                <w:rFonts w:ascii="Times New Roman" w:eastAsia="Times New Roman" w:hAnsi="Times New Roman" w:cs="Times New Roman"/>
                <w:color w:val="000000"/>
                <w:kern w:val="0"/>
                <w:sz w:val="24"/>
                <w:szCs w:val="24"/>
                <w14:ligatures w14:val="none"/>
              </w:rPr>
            </w:pPr>
            <w:r w:rsidRPr="0089305A">
              <w:rPr>
                <w:rFonts w:ascii="Times New Roman" w:eastAsia="Aptos" w:hAnsi="Times New Roman" w:cs="Times New Roman"/>
                <w:color w:val="000000"/>
                <w:sz w:val="24"/>
                <w:szCs w:val="24"/>
              </w:rPr>
              <w:t>3</w:t>
            </w:r>
          </w:p>
        </w:tc>
      </w:tr>
    </w:tbl>
    <w:p w14:paraId="065A4C17" w14:textId="77777777" w:rsidR="007C6D2D" w:rsidRPr="003D3552" w:rsidRDefault="007C6D2D" w:rsidP="00A03EB1">
      <w:pPr>
        <w:spacing w:after="0"/>
        <w:rPr>
          <w:rFonts w:ascii="Times New Roman" w:hAnsi="Times New Roman" w:cs="Times New Roman"/>
          <w:b/>
          <w:bCs/>
          <w:sz w:val="24"/>
          <w:szCs w:val="24"/>
        </w:rPr>
      </w:pPr>
    </w:p>
    <w:p w14:paraId="0DBDE987" w14:textId="0EAA4CC8" w:rsidR="007C6D2D" w:rsidRPr="003D3552" w:rsidRDefault="007C6D2D" w:rsidP="0089305A">
      <w:pPr>
        <w:rPr>
          <w:rFonts w:ascii="Times New Roman" w:hAnsi="Times New Roman" w:cs="Times New Roman"/>
          <w:sz w:val="24"/>
          <w:szCs w:val="24"/>
        </w:rPr>
      </w:pPr>
      <w:r w:rsidRPr="003D3552">
        <w:rPr>
          <w:rFonts w:ascii="Times New Roman" w:hAnsi="Times New Roman" w:cs="Times New Roman"/>
          <w:b/>
          <w:bCs/>
          <w:sz w:val="24"/>
          <w:szCs w:val="24"/>
        </w:rPr>
        <w:t xml:space="preserve">Table </w:t>
      </w:r>
      <w:r w:rsidR="00A03EB1">
        <w:rPr>
          <w:rFonts w:ascii="Times New Roman" w:hAnsi="Times New Roman" w:cs="Times New Roman"/>
          <w:b/>
          <w:bCs/>
          <w:sz w:val="24"/>
          <w:szCs w:val="24"/>
        </w:rPr>
        <w:t>A11.</w:t>
      </w:r>
      <w:r w:rsidRPr="003D3552">
        <w:rPr>
          <w:rFonts w:ascii="Times New Roman" w:hAnsi="Times New Roman" w:cs="Times New Roman"/>
          <w:b/>
          <w:bCs/>
          <w:sz w:val="24"/>
          <w:szCs w:val="24"/>
        </w:rPr>
        <w:t>3.</w:t>
      </w:r>
      <w:r w:rsidRPr="003D3552">
        <w:rPr>
          <w:rFonts w:ascii="Times New Roman" w:hAnsi="Times New Roman" w:cs="Times New Roman"/>
          <w:sz w:val="24"/>
          <w:szCs w:val="24"/>
        </w:rPr>
        <w:t xml:space="preserve"> </w:t>
      </w:r>
      <w:r w:rsidRPr="0089305A">
        <w:rPr>
          <w:rFonts w:ascii="Times New Roman" w:eastAsia="Aptos" w:hAnsi="Times New Roman" w:cs="Times New Roman"/>
          <w:sz w:val="24"/>
          <w:szCs w:val="24"/>
        </w:rPr>
        <w:t xml:space="preserve">The number of woody non-monocot angiosperm morphotypes included </w:t>
      </w:r>
      <w:r w:rsidRPr="003D3552">
        <w:rPr>
          <w:rFonts w:ascii="Times New Roman" w:eastAsia="Aptos" w:hAnsi="Times New Roman" w:cs="Times New Roman"/>
          <w:sz w:val="24"/>
          <w:szCs w:val="24"/>
        </w:rPr>
        <w:t>in LMA reconstructions compared to the total number at each site</w:t>
      </w:r>
    </w:p>
    <w:tbl>
      <w:tblPr>
        <w:tblW w:w="4906" w:type="dxa"/>
        <w:tblLook w:val="04A0" w:firstRow="1" w:lastRow="0" w:firstColumn="1" w:lastColumn="0" w:noHBand="0" w:noVBand="1"/>
      </w:tblPr>
      <w:tblGrid>
        <w:gridCol w:w="1983"/>
        <w:gridCol w:w="960"/>
        <w:gridCol w:w="960"/>
        <w:gridCol w:w="1003"/>
      </w:tblGrid>
      <w:tr w:rsidR="007C6D2D" w:rsidRPr="007C6D2D" w14:paraId="587E9D73" w14:textId="77777777" w:rsidTr="00A03EB1">
        <w:trPr>
          <w:trHeight w:val="290"/>
        </w:trPr>
        <w:tc>
          <w:tcPr>
            <w:tcW w:w="1983" w:type="dxa"/>
            <w:tcBorders>
              <w:top w:val="nil"/>
              <w:left w:val="nil"/>
              <w:bottom w:val="nil"/>
              <w:right w:val="nil"/>
            </w:tcBorders>
            <w:shd w:val="clear" w:color="auto" w:fill="auto"/>
            <w:noWrap/>
            <w:vAlign w:val="bottom"/>
            <w:hideMark/>
          </w:tcPr>
          <w:p w14:paraId="0160698D" w14:textId="77777777" w:rsidR="007C6D2D" w:rsidRPr="007C6D2D" w:rsidRDefault="007C6D2D" w:rsidP="007C6D2D">
            <w:pPr>
              <w:spacing w:after="0" w:line="240" w:lineRule="auto"/>
              <w:rPr>
                <w:rFonts w:ascii="Times New Roman" w:eastAsia="Times New Roman" w:hAnsi="Times New Roman" w:cs="Times New Roman"/>
                <w:b/>
                <w:bCs/>
                <w:color w:val="000000"/>
                <w:kern w:val="0"/>
                <w:sz w:val="24"/>
                <w:szCs w:val="24"/>
                <w14:ligatures w14:val="none"/>
              </w:rPr>
            </w:pPr>
            <w:r w:rsidRPr="007C6D2D">
              <w:rPr>
                <w:rFonts w:ascii="Times New Roman" w:eastAsia="Times New Roman" w:hAnsi="Times New Roman" w:cs="Times New Roman"/>
                <w:b/>
                <w:bCs/>
                <w:color w:val="000000"/>
                <w:kern w:val="0"/>
                <w:sz w:val="24"/>
                <w:szCs w:val="24"/>
                <w14:ligatures w14:val="none"/>
              </w:rPr>
              <w:t>Site</w:t>
            </w:r>
          </w:p>
        </w:tc>
        <w:tc>
          <w:tcPr>
            <w:tcW w:w="960" w:type="dxa"/>
            <w:tcBorders>
              <w:top w:val="nil"/>
              <w:left w:val="nil"/>
              <w:bottom w:val="nil"/>
              <w:right w:val="nil"/>
            </w:tcBorders>
            <w:shd w:val="clear" w:color="auto" w:fill="auto"/>
            <w:noWrap/>
            <w:vAlign w:val="bottom"/>
            <w:hideMark/>
          </w:tcPr>
          <w:p w14:paraId="6ABDF2BA" w14:textId="77777777" w:rsidR="007C6D2D" w:rsidRPr="007C6D2D" w:rsidRDefault="007C6D2D" w:rsidP="007C6D2D">
            <w:pPr>
              <w:spacing w:after="0" w:line="240" w:lineRule="auto"/>
              <w:jc w:val="center"/>
              <w:rPr>
                <w:rFonts w:ascii="Times New Roman" w:eastAsia="Times New Roman" w:hAnsi="Times New Roman" w:cs="Times New Roman"/>
                <w:b/>
                <w:bCs/>
                <w:color w:val="000000"/>
                <w:kern w:val="0"/>
                <w:sz w:val="24"/>
                <w:szCs w:val="24"/>
                <w14:ligatures w14:val="none"/>
              </w:rPr>
            </w:pPr>
            <w:r w:rsidRPr="007C6D2D">
              <w:rPr>
                <w:rFonts w:ascii="Times New Roman" w:eastAsia="Times New Roman" w:hAnsi="Times New Roman" w:cs="Times New Roman"/>
                <w:b/>
                <w:bCs/>
                <w:color w:val="000000"/>
                <w:kern w:val="0"/>
                <w:sz w:val="24"/>
                <w:szCs w:val="24"/>
                <w14:ligatures w14:val="none"/>
              </w:rPr>
              <w:t>Total</w:t>
            </w:r>
          </w:p>
        </w:tc>
        <w:tc>
          <w:tcPr>
            <w:tcW w:w="960" w:type="dxa"/>
            <w:tcBorders>
              <w:top w:val="nil"/>
              <w:left w:val="nil"/>
              <w:bottom w:val="nil"/>
              <w:right w:val="nil"/>
            </w:tcBorders>
            <w:shd w:val="clear" w:color="auto" w:fill="auto"/>
            <w:noWrap/>
            <w:vAlign w:val="bottom"/>
            <w:hideMark/>
          </w:tcPr>
          <w:p w14:paraId="1415C5BB" w14:textId="11C96F92" w:rsidR="007C6D2D" w:rsidRPr="007C6D2D" w:rsidRDefault="007C6D2D" w:rsidP="007C6D2D">
            <w:pPr>
              <w:spacing w:after="0" w:line="240" w:lineRule="auto"/>
              <w:jc w:val="center"/>
              <w:rPr>
                <w:rFonts w:ascii="Times New Roman" w:eastAsia="Times New Roman" w:hAnsi="Times New Roman" w:cs="Times New Roman"/>
                <w:b/>
                <w:bCs/>
                <w:i/>
                <w:iCs/>
                <w:color w:val="000000"/>
                <w:kern w:val="0"/>
                <w:sz w:val="24"/>
                <w:szCs w:val="24"/>
                <w14:ligatures w14:val="none"/>
              </w:rPr>
            </w:pPr>
            <w:r w:rsidRPr="003D3552">
              <w:rPr>
                <w:rFonts w:ascii="Times New Roman" w:eastAsia="Times New Roman" w:hAnsi="Times New Roman" w:cs="Times New Roman"/>
                <w:b/>
                <w:bCs/>
                <w:i/>
                <w:iCs/>
                <w:color w:val="000000"/>
                <w:kern w:val="0"/>
                <w:sz w:val="24"/>
                <w:szCs w:val="24"/>
                <w14:ligatures w14:val="none"/>
              </w:rPr>
              <w:t>N</w:t>
            </w:r>
          </w:p>
        </w:tc>
        <w:tc>
          <w:tcPr>
            <w:tcW w:w="1003" w:type="dxa"/>
            <w:tcBorders>
              <w:top w:val="nil"/>
              <w:left w:val="nil"/>
              <w:bottom w:val="nil"/>
              <w:right w:val="nil"/>
            </w:tcBorders>
            <w:shd w:val="clear" w:color="auto" w:fill="auto"/>
            <w:noWrap/>
            <w:vAlign w:val="bottom"/>
            <w:hideMark/>
          </w:tcPr>
          <w:p w14:paraId="224F550D" w14:textId="61DC51B7" w:rsidR="007C6D2D" w:rsidRPr="007C6D2D" w:rsidRDefault="007C6D2D" w:rsidP="007C6D2D">
            <w:pPr>
              <w:spacing w:after="0" w:line="240" w:lineRule="auto"/>
              <w:jc w:val="center"/>
              <w:rPr>
                <w:rFonts w:ascii="Times New Roman" w:eastAsia="Times New Roman" w:hAnsi="Times New Roman" w:cs="Times New Roman"/>
                <w:b/>
                <w:bCs/>
                <w:color w:val="000000"/>
                <w:kern w:val="0"/>
                <w:sz w:val="24"/>
                <w:szCs w:val="24"/>
                <w14:ligatures w14:val="none"/>
              </w:rPr>
            </w:pPr>
            <w:r w:rsidRPr="003D3552">
              <w:rPr>
                <w:rFonts w:ascii="Times New Roman" w:eastAsia="Times New Roman" w:hAnsi="Times New Roman" w:cs="Times New Roman"/>
                <w:b/>
                <w:bCs/>
                <w:color w:val="000000"/>
                <w:kern w:val="0"/>
                <w:sz w:val="24"/>
                <w:szCs w:val="24"/>
                <w14:ligatures w14:val="none"/>
              </w:rPr>
              <w:t>P</w:t>
            </w:r>
            <w:r w:rsidRPr="007C6D2D">
              <w:rPr>
                <w:rFonts w:ascii="Times New Roman" w:eastAsia="Times New Roman" w:hAnsi="Times New Roman" w:cs="Times New Roman"/>
                <w:b/>
                <w:bCs/>
                <w:color w:val="000000"/>
                <w:kern w:val="0"/>
                <w:sz w:val="24"/>
                <w:szCs w:val="24"/>
                <w14:ligatures w14:val="none"/>
              </w:rPr>
              <w:t>ercent</w:t>
            </w:r>
          </w:p>
        </w:tc>
      </w:tr>
      <w:tr w:rsidR="007C6D2D" w:rsidRPr="007C6D2D" w14:paraId="0C163270" w14:textId="77777777" w:rsidTr="00A03EB1">
        <w:trPr>
          <w:trHeight w:val="290"/>
        </w:trPr>
        <w:tc>
          <w:tcPr>
            <w:tcW w:w="1983" w:type="dxa"/>
            <w:tcBorders>
              <w:top w:val="nil"/>
              <w:left w:val="nil"/>
              <w:bottom w:val="nil"/>
              <w:right w:val="nil"/>
            </w:tcBorders>
            <w:shd w:val="clear" w:color="auto" w:fill="auto"/>
            <w:noWrap/>
            <w:vAlign w:val="bottom"/>
            <w:hideMark/>
          </w:tcPr>
          <w:p w14:paraId="0C6B3ACB"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Alvord Creek</w:t>
            </w:r>
          </w:p>
        </w:tc>
        <w:tc>
          <w:tcPr>
            <w:tcW w:w="960" w:type="dxa"/>
            <w:tcBorders>
              <w:top w:val="nil"/>
              <w:left w:val="nil"/>
              <w:bottom w:val="nil"/>
              <w:right w:val="nil"/>
            </w:tcBorders>
            <w:shd w:val="clear" w:color="auto" w:fill="auto"/>
            <w:noWrap/>
            <w:vAlign w:val="bottom"/>
            <w:hideMark/>
          </w:tcPr>
          <w:p w14:paraId="08BB3473"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18</w:t>
            </w:r>
          </w:p>
        </w:tc>
        <w:tc>
          <w:tcPr>
            <w:tcW w:w="960" w:type="dxa"/>
            <w:tcBorders>
              <w:top w:val="nil"/>
              <w:left w:val="nil"/>
              <w:bottom w:val="nil"/>
              <w:right w:val="nil"/>
            </w:tcBorders>
            <w:shd w:val="clear" w:color="auto" w:fill="auto"/>
            <w:noWrap/>
            <w:vAlign w:val="bottom"/>
            <w:hideMark/>
          </w:tcPr>
          <w:p w14:paraId="10D7C3D2"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12</w:t>
            </w:r>
          </w:p>
        </w:tc>
        <w:tc>
          <w:tcPr>
            <w:tcW w:w="1003" w:type="dxa"/>
            <w:tcBorders>
              <w:top w:val="nil"/>
              <w:left w:val="nil"/>
              <w:bottom w:val="nil"/>
              <w:right w:val="nil"/>
            </w:tcBorders>
            <w:shd w:val="clear" w:color="auto" w:fill="auto"/>
            <w:noWrap/>
            <w:vAlign w:val="bottom"/>
            <w:hideMark/>
          </w:tcPr>
          <w:p w14:paraId="408010ED"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67</w:t>
            </w:r>
          </w:p>
        </w:tc>
      </w:tr>
      <w:tr w:rsidR="007C6D2D" w:rsidRPr="007C6D2D" w14:paraId="78B88194" w14:textId="77777777" w:rsidTr="00A03EB1">
        <w:trPr>
          <w:trHeight w:val="290"/>
        </w:trPr>
        <w:tc>
          <w:tcPr>
            <w:tcW w:w="1983" w:type="dxa"/>
            <w:tcBorders>
              <w:top w:val="nil"/>
              <w:left w:val="nil"/>
              <w:bottom w:val="nil"/>
              <w:right w:val="nil"/>
            </w:tcBorders>
            <w:shd w:val="clear" w:color="auto" w:fill="auto"/>
            <w:noWrap/>
            <w:vAlign w:val="bottom"/>
            <w:hideMark/>
          </w:tcPr>
          <w:p w14:paraId="4A999A19"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Clarkia</w:t>
            </w:r>
          </w:p>
        </w:tc>
        <w:tc>
          <w:tcPr>
            <w:tcW w:w="960" w:type="dxa"/>
            <w:tcBorders>
              <w:top w:val="nil"/>
              <w:left w:val="nil"/>
              <w:bottom w:val="nil"/>
              <w:right w:val="nil"/>
            </w:tcBorders>
            <w:shd w:val="clear" w:color="auto" w:fill="auto"/>
            <w:noWrap/>
            <w:vAlign w:val="bottom"/>
            <w:hideMark/>
          </w:tcPr>
          <w:p w14:paraId="01B99FC1"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56</w:t>
            </w:r>
          </w:p>
        </w:tc>
        <w:tc>
          <w:tcPr>
            <w:tcW w:w="960" w:type="dxa"/>
            <w:tcBorders>
              <w:top w:val="nil"/>
              <w:left w:val="nil"/>
              <w:bottom w:val="nil"/>
              <w:right w:val="nil"/>
            </w:tcBorders>
            <w:shd w:val="clear" w:color="auto" w:fill="auto"/>
            <w:noWrap/>
            <w:vAlign w:val="bottom"/>
            <w:hideMark/>
          </w:tcPr>
          <w:p w14:paraId="49326D74"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41</w:t>
            </w:r>
          </w:p>
        </w:tc>
        <w:tc>
          <w:tcPr>
            <w:tcW w:w="1003" w:type="dxa"/>
            <w:tcBorders>
              <w:top w:val="nil"/>
              <w:left w:val="nil"/>
              <w:bottom w:val="nil"/>
              <w:right w:val="nil"/>
            </w:tcBorders>
            <w:shd w:val="clear" w:color="auto" w:fill="auto"/>
            <w:noWrap/>
            <w:vAlign w:val="bottom"/>
            <w:hideMark/>
          </w:tcPr>
          <w:p w14:paraId="2E9DD9C7"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73</w:t>
            </w:r>
          </w:p>
        </w:tc>
      </w:tr>
      <w:tr w:rsidR="007C6D2D" w:rsidRPr="007C6D2D" w14:paraId="3887CABD" w14:textId="77777777" w:rsidTr="00A03EB1">
        <w:trPr>
          <w:trHeight w:val="290"/>
        </w:trPr>
        <w:tc>
          <w:tcPr>
            <w:tcW w:w="1983" w:type="dxa"/>
            <w:tcBorders>
              <w:top w:val="nil"/>
              <w:left w:val="nil"/>
              <w:bottom w:val="nil"/>
              <w:right w:val="nil"/>
            </w:tcBorders>
            <w:shd w:val="clear" w:color="auto" w:fill="auto"/>
            <w:noWrap/>
            <w:vAlign w:val="bottom"/>
            <w:hideMark/>
          </w:tcPr>
          <w:p w14:paraId="5950063F"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proofErr w:type="spellStart"/>
            <w:r w:rsidRPr="007C6D2D">
              <w:rPr>
                <w:rFonts w:ascii="Times New Roman" w:eastAsia="Times New Roman" w:hAnsi="Times New Roman" w:cs="Times New Roman"/>
                <w:color w:val="000000"/>
                <w:kern w:val="0"/>
                <w:sz w:val="24"/>
                <w:szCs w:val="24"/>
                <w14:ligatures w14:val="none"/>
              </w:rPr>
              <w:t>Juliaetta</w:t>
            </w:r>
            <w:proofErr w:type="spellEnd"/>
          </w:p>
        </w:tc>
        <w:tc>
          <w:tcPr>
            <w:tcW w:w="960" w:type="dxa"/>
            <w:tcBorders>
              <w:top w:val="nil"/>
              <w:left w:val="nil"/>
              <w:bottom w:val="nil"/>
              <w:right w:val="nil"/>
            </w:tcBorders>
            <w:shd w:val="clear" w:color="auto" w:fill="auto"/>
            <w:noWrap/>
            <w:vAlign w:val="bottom"/>
            <w:hideMark/>
          </w:tcPr>
          <w:p w14:paraId="6E0C85E9"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23</w:t>
            </w:r>
          </w:p>
        </w:tc>
        <w:tc>
          <w:tcPr>
            <w:tcW w:w="960" w:type="dxa"/>
            <w:tcBorders>
              <w:top w:val="nil"/>
              <w:left w:val="nil"/>
              <w:bottom w:val="nil"/>
              <w:right w:val="nil"/>
            </w:tcBorders>
            <w:shd w:val="clear" w:color="auto" w:fill="auto"/>
            <w:noWrap/>
            <w:vAlign w:val="bottom"/>
            <w:hideMark/>
          </w:tcPr>
          <w:p w14:paraId="717A327A"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12</w:t>
            </w:r>
          </w:p>
        </w:tc>
        <w:tc>
          <w:tcPr>
            <w:tcW w:w="1003" w:type="dxa"/>
            <w:tcBorders>
              <w:top w:val="nil"/>
              <w:left w:val="nil"/>
              <w:bottom w:val="nil"/>
              <w:right w:val="nil"/>
            </w:tcBorders>
            <w:shd w:val="clear" w:color="auto" w:fill="auto"/>
            <w:noWrap/>
            <w:vAlign w:val="bottom"/>
            <w:hideMark/>
          </w:tcPr>
          <w:p w14:paraId="77EF75D1"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52</w:t>
            </w:r>
          </w:p>
        </w:tc>
      </w:tr>
      <w:tr w:rsidR="007C6D2D" w:rsidRPr="007C6D2D" w14:paraId="2D7B1846" w14:textId="77777777" w:rsidTr="00A03EB1">
        <w:trPr>
          <w:trHeight w:val="290"/>
        </w:trPr>
        <w:tc>
          <w:tcPr>
            <w:tcW w:w="1983" w:type="dxa"/>
            <w:tcBorders>
              <w:top w:val="nil"/>
              <w:left w:val="nil"/>
              <w:bottom w:val="nil"/>
              <w:right w:val="nil"/>
            </w:tcBorders>
            <w:shd w:val="clear" w:color="auto" w:fill="auto"/>
            <w:noWrap/>
            <w:vAlign w:val="bottom"/>
            <w:hideMark/>
          </w:tcPr>
          <w:p w14:paraId="4C797938"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Mascall</w:t>
            </w:r>
          </w:p>
        </w:tc>
        <w:tc>
          <w:tcPr>
            <w:tcW w:w="960" w:type="dxa"/>
            <w:tcBorders>
              <w:top w:val="nil"/>
              <w:left w:val="nil"/>
              <w:bottom w:val="nil"/>
              <w:right w:val="nil"/>
            </w:tcBorders>
            <w:shd w:val="clear" w:color="auto" w:fill="auto"/>
            <w:noWrap/>
            <w:vAlign w:val="bottom"/>
            <w:hideMark/>
          </w:tcPr>
          <w:p w14:paraId="6B2C3AE6"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38</w:t>
            </w:r>
          </w:p>
        </w:tc>
        <w:tc>
          <w:tcPr>
            <w:tcW w:w="960" w:type="dxa"/>
            <w:tcBorders>
              <w:top w:val="nil"/>
              <w:left w:val="nil"/>
              <w:bottom w:val="nil"/>
              <w:right w:val="nil"/>
            </w:tcBorders>
            <w:shd w:val="clear" w:color="auto" w:fill="auto"/>
            <w:noWrap/>
            <w:vAlign w:val="bottom"/>
            <w:hideMark/>
          </w:tcPr>
          <w:p w14:paraId="1ADC766E"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28</w:t>
            </w:r>
          </w:p>
        </w:tc>
        <w:tc>
          <w:tcPr>
            <w:tcW w:w="1003" w:type="dxa"/>
            <w:tcBorders>
              <w:top w:val="nil"/>
              <w:left w:val="nil"/>
              <w:bottom w:val="nil"/>
              <w:right w:val="nil"/>
            </w:tcBorders>
            <w:shd w:val="clear" w:color="auto" w:fill="auto"/>
            <w:noWrap/>
            <w:vAlign w:val="bottom"/>
            <w:hideMark/>
          </w:tcPr>
          <w:p w14:paraId="16B80A98"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74</w:t>
            </w:r>
          </w:p>
        </w:tc>
      </w:tr>
      <w:tr w:rsidR="007C6D2D" w:rsidRPr="007C6D2D" w14:paraId="64D2D250" w14:textId="77777777" w:rsidTr="00A03EB1">
        <w:trPr>
          <w:trHeight w:val="290"/>
        </w:trPr>
        <w:tc>
          <w:tcPr>
            <w:tcW w:w="1983" w:type="dxa"/>
            <w:tcBorders>
              <w:top w:val="nil"/>
              <w:left w:val="nil"/>
              <w:bottom w:val="nil"/>
              <w:right w:val="nil"/>
            </w:tcBorders>
            <w:shd w:val="clear" w:color="auto" w:fill="auto"/>
            <w:noWrap/>
            <w:vAlign w:val="bottom"/>
            <w:hideMark/>
          </w:tcPr>
          <w:p w14:paraId="665F11F7"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Moose Mountain</w:t>
            </w:r>
          </w:p>
        </w:tc>
        <w:tc>
          <w:tcPr>
            <w:tcW w:w="960" w:type="dxa"/>
            <w:tcBorders>
              <w:top w:val="nil"/>
              <w:left w:val="nil"/>
              <w:bottom w:val="nil"/>
              <w:right w:val="nil"/>
            </w:tcBorders>
            <w:shd w:val="clear" w:color="auto" w:fill="auto"/>
            <w:noWrap/>
            <w:vAlign w:val="bottom"/>
            <w:hideMark/>
          </w:tcPr>
          <w:p w14:paraId="68411715"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26</w:t>
            </w:r>
          </w:p>
        </w:tc>
        <w:tc>
          <w:tcPr>
            <w:tcW w:w="960" w:type="dxa"/>
            <w:tcBorders>
              <w:top w:val="nil"/>
              <w:left w:val="nil"/>
              <w:bottom w:val="nil"/>
              <w:right w:val="nil"/>
            </w:tcBorders>
            <w:shd w:val="clear" w:color="auto" w:fill="auto"/>
            <w:noWrap/>
            <w:vAlign w:val="bottom"/>
            <w:hideMark/>
          </w:tcPr>
          <w:p w14:paraId="241F5F1E"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12</w:t>
            </w:r>
          </w:p>
        </w:tc>
        <w:tc>
          <w:tcPr>
            <w:tcW w:w="1003" w:type="dxa"/>
            <w:tcBorders>
              <w:top w:val="nil"/>
              <w:left w:val="nil"/>
              <w:bottom w:val="nil"/>
              <w:right w:val="nil"/>
            </w:tcBorders>
            <w:shd w:val="clear" w:color="auto" w:fill="auto"/>
            <w:noWrap/>
            <w:vAlign w:val="bottom"/>
            <w:hideMark/>
          </w:tcPr>
          <w:p w14:paraId="6290B73F"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46</w:t>
            </w:r>
          </w:p>
        </w:tc>
      </w:tr>
      <w:tr w:rsidR="007C6D2D" w:rsidRPr="007C6D2D" w14:paraId="1F39827C" w14:textId="77777777" w:rsidTr="00A03EB1">
        <w:trPr>
          <w:trHeight w:val="290"/>
        </w:trPr>
        <w:tc>
          <w:tcPr>
            <w:tcW w:w="1983" w:type="dxa"/>
            <w:tcBorders>
              <w:top w:val="nil"/>
              <w:left w:val="nil"/>
              <w:bottom w:val="nil"/>
              <w:right w:val="nil"/>
            </w:tcBorders>
            <w:shd w:val="clear" w:color="auto" w:fill="auto"/>
            <w:noWrap/>
            <w:vAlign w:val="bottom"/>
            <w:hideMark/>
          </w:tcPr>
          <w:p w14:paraId="06DB2C85"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Pickett Creek</w:t>
            </w:r>
          </w:p>
        </w:tc>
        <w:tc>
          <w:tcPr>
            <w:tcW w:w="960" w:type="dxa"/>
            <w:tcBorders>
              <w:top w:val="nil"/>
              <w:left w:val="nil"/>
              <w:bottom w:val="nil"/>
              <w:right w:val="nil"/>
            </w:tcBorders>
            <w:shd w:val="clear" w:color="auto" w:fill="auto"/>
            <w:noWrap/>
            <w:vAlign w:val="bottom"/>
            <w:hideMark/>
          </w:tcPr>
          <w:p w14:paraId="21479B8C"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28</w:t>
            </w:r>
          </w:p>
        </w:tc>
        <w:tc>
          <w:tcPr>
            <w:tcW w:w="960" w:type="dxa"/>
            <w:tcBorders>
              <w:top w:val="nil"/>
              <w:left w:val="nil"/>
              <w:bottom w:val="nil"/>
              <w:right w:val="nil"/>
            </w:tcBorders>
            <w:shd w:val="clear" w:color="auto" w:fill="auto"/>
            <w:noWrap/>
            <w:vAlign w:val="bottom"/>
            <w:hideMark/>
          </w:tcPr>
          <w:p w14:paraId="53270A4C"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20</w:t>
            </w:r>
          </w:p>
        </w:tc>
        <w:tc>
          <w:tcPr>
            <w:tcW w:w="1003" w:type="dxa"/>
            <w:tcBorders>
              <w:top w:val="nil"/>
              <w:left w:val="nil"/>
              <w:bottom w:val="nil"/>
              <w:right w:val="nil"/>
            </w:tcBorders>
            <w:shd w:val="clear" w:color="auto" w:fill="auto"/>
            <w:noWrap/>
            <w:vAlign w:val="bottom"/>
            <w:hideMark/>
          </w:tcPr>
          <w:p w14:paraId="1BC2E78B"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71</w:t>
            </w:r>
          </w:p>
        </w:tc>
      </w:tr>
      <w:tr w:rsidR="007C6D2D" w:rsidRPr="007C6D2D" w14:paraId="5EE85B4E" w14:textId="77777777" w:rsidTr="00A03EB1">
        <w:trPr>
          <w:trHeight w:val="290"/>
        </w:trPr>
        <w:tc>
          <w:tcPr>
            <w:tcW w:w="1983" w:type="dxa"/>
            <w:tcBorders>
              <w:top w:val="nil"/>
              <w:left w:val="nil"/>
              <w:bottom w:val="nil"/>
              <w:right w:val="nil"/>
            </w:tcBorders>
            <w:shd w:val="clear" w:color="auto" w:fill="auto"/>
            <w:noWrap/>
            <w:vAlign w:val="bottom"/>
            <w:hideMark/>
          </w:tcPr>
          <w:p w14:paraId="7C4F915B"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Spokane</w:t>
            </w:r>
          </w:p>
        </w:tc>
        <w:tc>
          <w:tcPr>
            <w:tcW w:w="960" w:type="dxa"/>
            <w:tcBorders>
              <w:top w:val="nil"/>
              <w:left w:val="nil"/>
              <w:bottom w:val="nil"/>
              <w:right w:val="nil"/>
            </w:tcBorders>
            <w:shd w:val="clear" w:color="auto" w:fill="auto"/>
            <w:noWrap/>
            <w:vAlign w:val="bottom"/>
            <w:hideMark/>
          </w:tcPr>
          <w:p w14:paraId="138846BF"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54</w:t>
            </w:r>
          </w:p>
        </w:tc>
        <w:tc>
          <w:tcPr>
            <w:tcW w:w="960" w:type="dxa"/>
            <w:tcBorders>
              <w:top w:val="nil"/>
              <w:left w:val="nil"/>
              <w:bottom w:val="nil"/>
              <w:right w:val="nil"/>
            </w:tcBorders>
            <w:shd w:val="clear" w:color="auto" w:fill="auto"/>
            <w:noWrap/>
            <w:vAlign w:val="bottom"/>
            <w:hideMark/>
          </w:tcPr>
          <w:p w14:paraId="6E0EDC6F"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34</w:t>
            </w:r>
          </w:p>
        </w:tc>
        <w:tc>
          <w:tcPr>
            <w:tcW w:w="1003" w:type="dxa"/>
            <w:tcBorders>
              <w:top w:val="nil"/>
              <w:left w:val="nil"/>
              <w:bottom w:val="nil"/>
              <w:right w:val="nil"/>
            </w:tcBorders>
            <w:shd w:val="clear" w:color="auto" w:fill="auto"/>
            <w:noWrap/>
            <w:vAlign w:val="bottom"/>
            <w:hideMark/>
          </w:tcPr>
          <w:p w14:paraId="4B2B805D"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63</w:t>
            </w:r>
          </w:p>
        </w:tc>
      </w:tr>
      <w:tr w:rsidR="007C6D2D" w:rsidRPr="007C6D2D" w14:paraId="397F4C0D" w14:textId="77777777" w:rsidTr="00A03EB1">
        <w:trPr>
          <w:trHeight w:val="290"/>
        </w:trPr>
        <w:tc>
          <w:tcPr>
            <w:tcW w:w="1983" w:type="dxa"/>
            <w:tcBorders>
              <w:top w:val="nil"/>
              <w:left w:val="nil"/>
              <w:bottom w:val="nil"/>
              <w:right w:val="nil"/>
            </w:tcBorders>
            <w:shd w:val="clear" w:color="auto" w:fill="auto"/>
            <w:noWrap/>
            <w:vAlign w:val="bottom"/>
            <w:hideMark/>
          </w:tcPr>
          <w:p w14:paraId="1303B247"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Succor Creek</w:t>
            </w:r>
          </w:p>
        </w:tc>
        <w:tc>
          <w:tcPr>
            <w:tcW w:w="960" w:type="dxa"/>
            <w:tcBorders>
              <w:top w:val="nil"/>
              <w:left w:val="nil"/>
              <w:bottom w:val="nil"/>
              <w:right w:val="nil"/>
            </w:tcBorders>
            <w:shd w:val="clear" w:color="auto" w:fill="auto"/>
            <w:noWrap/>
            <w:vAlign w:val="bottom"/>
            <w:hideMark/>
          </w:tcPr>
          <w:p w14:paraId="0FDB19B3"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24</w:t>
            </w:r>
          </w:p>
        </w:tc>
        <w:tc>
          <w:tcPr>
            <w:tcW w:w="960" w:type="dxa"/>
            <w:tcBorders>
              <w:top w:val="nil"/>
              <w:left w:val="nil"/>
              <w:bottom w:val="nil"/>
              <w:right w:val="nil"/>
            </w:tcBorders>
            <w:shd w:val="clear" w:color="auto" w:fill="auto"/>
            <w:noWrap/>
            <w:vAlign w:val="bottom"/>
            <w:hideMark/>
          </w:tcPr>
          <w:p w14:paraId="63759B94"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11</w:t>
            </w:r>
          </w:p>
        </w:tc>
        <w:tc>
          <w:tcPr>
            <w:tcW w:w="1003" w:type="dxa"/>
            <w:tcBorders>
              <w:top w:val="nil"/>
              <w:left w:val="nil"/>
              <w:bottom w:val="nil"/>
              <w:right w:val="nil"/>
            </w:tcBorders>
            <w:shd w:val="clear" w:color="auto" w:fill="auto"/>
            <w:noWrap/>
            <w:vAlign w:val="bottom"/>
            <w:hideMark/>
          </w:tcPr>
          <w:p w14:paraId="31DE5568"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46</w:t>
            </w:r>
          </w:p>
        </w:tc>
      </w:tr>
      <w:tr w:rsidR="007C6D2D" w:rsidRPr="007C6D2D" w14:paraId="02254AC9" w14:textId="77777777" w:rsidTr="00A03EB1">
        <w:trPr>
          <w:trHeight w:val="290"/>
        </w:trPr>
        <w:tc>
          <w:tcPr>
            <w:tcW w:w="1983" w:type="dxa"/>
            <w:tcBorders>
              <w:top w:val="nil"/>
              <w:left w:val="nil"/>
              <w:bottom w:val="nil"/>
              <w:right w:val="nil"/>
            </w:tcBorders>
            <w:shd w:val="clear" w:color="auto" w:fill="auto"/>
            <w:noWrap/>
            <w:vAlign w:val="bottom"/>
            <w:hideMark/>
          </w:tcPr>
          <w:p w14:paraId="63955D52"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Trapper Creek</w:t>
            </w:r>
          </w:p>
        </w:tc>
        <w:tc>
          <w:tcPr>
            <w:tcW w:w="960" w:type="dxa"/>
            <w:tcBorders>
              <w:top w:val="nil"/>
              <w:left w:val="nil"/>
              <w:bottom w:val="nil"/>
              <w:right w:val="nil"/>
            </w:tcBorders>
            <w:shd w:val="clear" w:color="auto" w:fill="auto"/>
            <w:noWrap/>
            <w:vAlign w:val="bottom"/>
            <w:hideMark/>
          </w:tcPr>
          <w:p w14:paraId="742A0161"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25</w:t>
            </w:r>
          </w:p>
        </w:tc>
        <w:tc>
          <w:tcPr>
            <w:tcW w:w="960" w:type="dxa"/>
            <w:tcBorders>
              <w:top w:val="nil"/>
              <w:left w:val="nil"/>
              <w:bottom w:val="nil"/>
              <w:right w:val="nil"/>
            </w:tcBorders>
            <w:shd w:val="clear" w:color="auto" w:fill="auto"/>
            <w:noWrap/>
            <w:vAlign w:val="bottom"/>
            <w:hideMark/>
          </w:tcPr>
          <w:p w14:paraId="0A83EA57"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11</w:t>
            </w:r>
          </w:p>
        </w:tc>
        <w:tc>
          <w:tcPr>
            <w:tcW w:w="1003" w:type="dxa"/>
            <w:tcBorders>
              <w:top w:val="nil"/>
              <w:left w:val="nil"/>
              <w:bottom w:val="nil"/>
              <w:right w:val="nil"/>
            </w:tcBorders>
            <w:shd w:val="clear" w:color="auto" w:fill="auto"/>
            <w:noWrap/>
            <w:vAlign w:val="bottom"/>
            <w:hideMark/>
          </w:tcPr>
          <w:p w14:paraId="01C1C814"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44</w:t>
            </w:r>
          </w:p>
        </w:tc>
      </w:tr>
      <w:tr w:rsidR="007C6D2D" w:rsidRPr="007C6D2D" w14:paraId="5C8B731A" w14:textId="77777777" w:rsidTr="00A03EB1">
        <w:trPr>
          <w:trHeight w:val="290"/>
        </w:trPr>
        <w:tc>
          <w:tcPr>
            <w:tcW w:w="1983" w:type="dxa"/>
            <w:tcBorders>
              <w:top w:val="nil"/>
              <w:left w:val="nil"/>
              <w:bottom w:val="nil"/>
              <w:right w:val="nil"/>
            </w:tcBorders>
            <w:shd w:val="clear" w:color="auto" w:fill="auto"/>
            <w:noWrap/>
            <w:vAlign w:val="bottom"/>
            <w:hideMark/>
          </w:tcPr>
          <w:p w14:paraId="6BB2B83E"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Trout Creek</w:t>
            </w:r>
          </w:p>
        </w:tc>
        <w:tc>
          <w:tcPr>
            <w:tcW w:w="960" w:type="dxa"/>
            <w:tcBorders>
              <w:top w:val="nil"/>
              <w:left w:val="nil"/>
              <w:bottom w:val="nil"/>
              <w:right w:val="nil"/>
            </w:tcBorders>
            <w:shd w:val="clear" w:color="auto" w:fill="auto"/>
            <w:noWrap/>
            <w:vAlign w:val="bottom"/>
            <w:hideMark/>
          </w:tcPr>
          <w:p w14:paraId="42530E57"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36</w:t>
            </w:r>
          </w:p>
        </w:tc>
        <w:tc>
          <w:tcPr>
            <w:tcW w:w="960" w:type="dxa"/>
            <w:tcBorders>
              <w:top w:val="nil"/>
              <w:left w:val="nil"/>
              <w:bottom w:val="nil"/>
              <w:right w:val="nil"/>
            </w:tcBorders>
            <w:shd w:val="clear" w:color="auto" w:fill="auto"/>
            <w:noWrap/>
            <w:vAlign w:val="bottom"/>
            <w:hideMark/>
          </w:tcPr>
          <w:p w14:paraId="075A007E"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25</w:t>
            </w:r>
          </w:p>
        </w:tc>
        <w:tc>
          <w:tcPr>
            <w:tcW w:w="1003" w:type="dxa"/>
            <w:tcBorders>
              <w:top w:val="nil"/>
              <w:left w:val="nil"/>
              <w:bottom w:val="nil"/>
              <w:right w:val="nil"/>
            </w:tcBorders>
            <w:shd w:val="clear" w:color="auto" w:fill="auto"/>
            <w:noWrap/>
            <w:vAlign w:val="bottom"/>
            <w:hideMark/>
          </w:tcPr>
          <w:p w14:paraId="22D18FEE"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69</w:t>
            </w:r>
          </w:p>
        </w:tc>
      </w:tr>
      <w:tr w:rsidR="007C6D2D" w:rsidRPr="007C6D2D" w14:paraId="3153BA6C" w14:textId="77777777" w:rsidTr="00A03EB1">
        <w:trPr>
          <w:trHeight w:val="290"/>
        </w:trPr>
        <w:tc>
          <w:tcPr>
            <w:tcW w:w="1983" w:type="dxa"/>
            <w:tcBorders>
              <w:top w:val="nil"/>
              <w:left w:val="nil"/>
              <w:bottom w:val="nil"/>
              <w:right w:val="nil"/>
            </w:tcBorders>
            <w:shd w:val="clear" w:color="auto" w:fill="auto"/>
            <w:noWrap/>
            <w:vAlign w:val="bottom"/>
            <w:hideMark/>
          </w:tcPr>
          <w:p w14:paraId="6CCB9DE2" w14:textId="77777777" w:rsidR="007C6D2D" w:rsidRPr="007C6D2D" w:rsidRDefault="007C6D2D" w:rsidP="007C6D2D">
            <w:pPr>
              <w:spacing w:after="0" w:line="240" w:lineRule="auto"/>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Vasa Park</w:t>
            </w:r>
          </w:p>
        </w:tc>
        <w:tc>
          <w:tcPr>
            <w:tcW w:w="960" w:type="dxa"/>
            <w:tcBorders>
              <w:top w:val="nil"/>
              <w:left w:val="nil"/>
              <w:bottom w:val="nil"/>
              <w:right w:val="nil"/>
            </w:tcBorders>
            <w:shd w:val="clear" w:color="auto" w:fill="auto"/>
            <w:noWrap/>
            <w:vAlign w:val="bottom"/>
            <w:hideMark/>
          </w:tcPr>
          <w:p w14:paraId="5A74E774"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17</w:t>
            </w:r>
          </w:p>
        </w:tc>
        <w:tc>
          <w:tcPr>
            <w:tcW w:w="960" w:type="dxa"/>
            <w:tcBorders>
              <w:top w:val="nil"/>
              <w:left w:val="nil"/>
              <w:bottom w:val="nil"/>
              <w:right w:val="nil"/>
            </w:tcBorders>
            <w:shd w:val="clear" w:color="auto" w:fill="auto"/>
            <w:noWrap/>
            <w:vAlign w:val="bottom"/>
            <w:hideMark/>
          </w:tcPr>
          <w:p w14:paraId="51E02CD3"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8</w:t>
            </w:r>
          </w:p>
        </w:tc>
        <w:tc>
          <w:tcPr>
            <w:tcW w:w="1003" w:type="dxa"/>
            <w:tcBorders>
              <w:top w:val="nil"/>
              <w:left w:val="nil"/>
              <w:bottom w:val="nil"/>
              <w:right w:val="nil"/>
            </w:tcBorders>
            <w:shd w:val="clear" w:color="auto" w:fill="auto"/>
            <w:noWrap/>
            <w:vAlign w:val="bottom"/>
            <w:hideMark/>
          </w:tcPr>
          <w:p w14:paraId="202472C5" w14:textId="77777777" w:rsidR="007C6D2D" w:rsidRPr="007C6D2D" w:rsidRDefault="007C6D2D" w:rsidP="007C6D2D">
            <w:pPr>
              <w:spacing w:after="0" w:line="240" w:lineRule="auto"/>
              <w:jc w:val="center"/>
              <w:rPr>
                <w:rFonts w:ascii="Times New Roman" w:eastAsia="Times New Roman" w:hAnsi="Times New Roman" w:cs="Times New Roman"/>
                <w:color w:val="000000"/>
                <w:kern w:val="0"/>
                <w:sz w:val="24"/>
                <w:szCs w:val="24"/>
                <w14:ligatures w14:val="none"/>
              </w:rPr>
            </w:pPr>
            <w:r w:rsidRPr="007C6D2D">
              <w:rPr>
                <w:rFonts w:ascii="Times New Roman" w:eastAsia="Times New Roman" w:hAnsi="Times New Roman" w:cs="Times New Roman"/>
                <w:color w:val="000000"/>
                <w:kern w:val="0"/>
                <w:sz w:val="24"/>
                <w:szCs w:val="24"/>
                <w14:ligatures w14:val="none"/>
              </w:rPr>
              <w:t>47</w:t>
            </w:r>
          </w:p>
        </w:tc>
      </w:tr>
    </w:tbl>
    <w:p w14:paraId="7995A096" w14:textId="77777777" w:rsidR="007C6D2D" w:rsidRPr="003D3552" w:rsidRDefault="007C6D2D" w:rsidP="007C6D2D">
      <w:pPr>
        <w:rPr>
          <w:rFonts w:ascii="Times New Roman" w:hAnsi="Times New Roman" w:cs="Times New Roman"/>
          <w:sz w:val="24"/>
          <w:szCs w:val="24"/>
        </w:rPr>
        <w:sectPr w:rsidR="007C6D2D" w:rsidRPr="003D3552" w:rsidSect="007C6D2D">
          <w:pgSz w:w="15840" w:h="12240" w:orient="landscape"/>
          <w:pgMar w:top="1440" w:right="1440" w:bottom="1440" w:left="1440" w:header="720" w:footer="720" w:gutter="0"/>
          <w:cols w:space="720"/>
          <w:docGrid w:linePitch="360"/>
        </w:sectPr>
      </w:pPr>
    </w:p>
    <w:p w14:paraId="2CC8875E" w14:textId="20A2519F" w:rsidR="001C6CE5" w:rsidRPr="003D3552" w:rsidRDefault="007C6D2D" w:rsidP="00F8289A">
      <w:pPr>
        <w:pStyle w:val="Heading1"/>
        <w:rPr>
          <w:rFonts w:cs="Times New Roman"/>
          <w:szCs w:val="24"/>
        </w:rPr>
      </w:pPr>
      <w:r w:rsidRPr="003D3552">
        <w:rPr>
          <w:rFonts w:cs="Times New Roman"/>
          <w:szCs w:val="24"/>
        </w:rPr>
        <w:lastRenderedPageBreak/>
        <w:t xml:space="preserve">Appendix 12. </w:t>
      </w:r>
      <w:proofErr w:type="spellStart"/>
      <w:r w:rsidRPr="003D3552">
        <w:rPr>
          <w:rFonts w:cs="Times New Roman"/>
          <w:szCs w:val="24"/>
        </w:rPr>
        <w:t>DiLP</w:t>
      </w:r>
      <w:proofErr w:type="spellEnd"/>
      <w:r w:rsidRPr="003D3552">
        <w:rPr>
          <w:rFonts w:cs="Times New Roman"/>
          <w:szCs w:val="24"/>
        </w:rPr>
        <w:t xml:space="preserve"> calibration check. </w:t>
      </w:r>
    </w:p>
    <w:p w14:paraId="4C04A765" w14:textId="76E34603" w:rsidR="007C6D2D" w:rsidRPr="003D3552" w:rsidRDefault="007C6D2D" w:rsidP="007C6D2D">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0801D036" wp14:editId="2CCB8569">
            <wp:extent cx="4572009" cy="4572009"/>
            <wp:effectExtent l="0" t="0" r="0" b="0"/>
            <wp:docPr id="107328612" name="Picture 7" descr="A graph showing the different types of la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28612" name="Picture 7" descr="A graph showing the different types of land&#10;&#10;Description automatically generated with medium confidenc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72009" cy="4572009"/>
                    </a:xfrm>
                    <a:prstGeom prst="rect">
                      <a:avLst/>
                    </a:prstGeom>
                  </pic:spPr>
                </pic:pic>
              </a:graphicData>
            </a:graphic>
          </wp:inline>
        </w:drawing>
      </w:r>
    </w:p>
    <w:p w14:paraId="603C8B3E" w14:textId="5210A50D" w:rsidR="007C6D2D" w:rsidRPr="003D3552" w:rsidRDefault="007C6D2D" w:rsidP="007C6D2D">
      <w:pPr>
        <w:rPr>
          <w:rFonts w:ascii="Times New Roman" w:hAnsi="Times New Roman" w:cs="Times New Roman"/>
          <w:sz w:val="24"/>
          <w:szCs w:val="24"/>
        </w:rPr>
      </w:pPr>
      <w:r w:rsidRPr="00A03EB1">
        <w:rPr>
          <w:rFonts w:ascii="Times New Roman" w:hAnsi="Times New Roman" w:cs="Times New Roman"/>
          <w:b/>
          <w:bCs/>
          <w:sz w:val="24"/>
          <w:szCs w:val="24"/>
        </w:rPr>
        <w:t xml:space="preserve">Figure </w:t>
      </w:r>
      <w:r w:rsidR="00A03EB1" w:rsidRPr="00A03EB1">
        <w:rPr>
          <w:rFonts w:ascii="Times New Roman" w:hAnsi="Times New Roman" w:cs="Times New Roman"/>
          <w:b/>
          <w:bCs/>
          <w:sz w:val="24"/>
          <w:szCs w:val="24"/>
        </w:rPr>
        <w:t>A12.1</w:t>
      </w:r>
      <w:r w:rsidRPr="00A03EB1">
        <w:rPr>
          <w:rFonts w:ascii="Times New Roman" w:hAnsi="Times New Roman" w:cs="Times New Roman"/>
          <w:b/>
          <w:bCs/>
          <w:sz w:val="24"/>
          <w:szCs w:val="24"/>
        </w:rPr>
        <w:t>.</w:t>
      </w:r>
      <w:r w:rsidRPr="003D3552">
        <w:rPr>
          <w:rFonts w:ascii="Times New Roman" w:hAnsi="Times New Roman" w:cs="Times New Roman"/>
          <w:sz w:val="24"/>
          <w:szCs w:val="24"/>
        </w:rPr>
        <w:t xml:space="preserve"> A Canonical Correspondence </w:t>
      </w:r>
      <w:r w:rsidR="00A03EB1" w:rsidRPr="003D3552">
        <w:rPr>
          <w:rFonts w:ascii="Times New Roman" w:hAnsi="Times New Roman" w:cs="Times New Roman"/>
          <w:sz w:val="24"/>
          <w:szCs w:val="24"/>
        </w:rPr>
        <w:t>Analysis</w:t>
      </w:r>
      <w:r w:rsidRPr="003D3552">
        <w:rPr>
          <w:rFonts w:ascii="Times New Roman" w:hAnsi="Times New Roman" w:cs="Times New Roman"/>
          <w:sz w:val="24"/>
          <w:szCs w:val="24"/>
        </w:rPr>
        <w:t xml:space="preserve"> confirms fossil floras of this study fall within the modern calibration space for the Digital Leaf Physiognomy (</w:t>
      </w:r>
      <w:proofErr w:type="spellStart"/>
      <w:r w:rsidRPr="003D3552">
        <w:rPr>
          <w:rFonts w:ascii="Times New Roman" w:hAnsi="Times New Roman" w:cs="Times New Roman"/>
          <w:sz w:val="24"/>
          <w:szCs w:val="24"/>
        </w:rPr>
        <w:t>DiLP</w:t>
      </w:r>
      <w:proofErr w:type="spellEnd"/>
      <w:r w:rsidRPr="003D3552">
        <w:rPr>
          <w:rFonts w:ascii="Times New Roman" w:hAnsi="Times New Roman" w:cs="Times New Roman"/>
          <w:sz w:val="24"/>
          <w:szCs w:val="24"/>
        </w:rPr>
        <w:t xml:space="preserve">) proxy. </w:t>
      </w:r>
    </w:p>
    <w:p w14:paraId="339CC057" w14:textId="1F8B8759" w:rsidR="00F8289A" w:rsidRPr="003D3552" w:rsidRDefault="00F8289A">
      <w:pPr>
        <w:rPr>
          <w:rFonts w:ascii="Times New Roman" w:hAnsi="Times New Roman" w:cs="Times New Roman"/>
          <w:sz w:val="24"/>
          <w:szCs w:val="24"/>
        </w:rPr>
      </w:pPr>
      <w:r w:rsidRPr="003D3552">
        <w:rPr>
          <w:rFonts w:ascii="Times New Roman" w:hAnsi="Times New Roman" w:cs="Times New Roman"/>
          <w:sz w:val="24"/>
          <w:szCs w:val="24"/>
        </w:rPr>
        <w:br w:type="page"/>
      </w:r>
    </w:p>
    <w:p w14:paraId="46D42E95" w14:textId="5D4A575B" w:rsidR="00F8289A" w:rsidRPr="003D3552" w:rsidRDefault="00F8289A" w:rsidP="00F8289A">
      <w:pPr>
        <w:pStyle w:val="Heading1"/>
        <w:rPr>
          <w:rFonts w:cs="Times New Roman"/>
          <w:szCs w:val="24"/>
        </w:rPr>
      </w:pPr>
      <w:r w:rsidRPr="003D3552">
        <w:rPr>
          <w:rFonts w:cs="Times New Roman"/>
          <w:szCs w:val="24"/>
        </w:rPr>
        <w:lastRenderedPageBreak/>
        <w:t>Appendix 13. Paleoclimate method comparisons</w:t>
      </w:r>
    </w:p>
    <w:p w14:paraId="7C8247DF" w14:textId="47973897" w:rsidR="00F8289A" w:rsidRPr="003D3552" w:rsidRDefault="00F8289A" w:rsidP="00F8289A">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0F62DA1E" wp14:editId="212DDEBB">
            <wp:extent cx="5943600" cy="1876425"/>
            <wp:effectExtent l="0" t="0" r="0" b="9525"/>
            <wp:docPr id="1493106109" name="Picture 8"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106109" name="Picture 8" descr="A screenshot of a computer screen&#10;&#10;Description automatically generated"/>
                    <pic:cNvPicPr/>
                  </pic:nvPicPr>
                  <pic:blipFill rotWithShape="1">
                    <a:blip r:embed="rId24" cstate="print">
                      <a:extLst>
                        <a:ext uri="{28A0092B-C50C-407E-A947-70E740481C1C}">
                          <a14:useLocalDpi xmlns:a14="http://schemas.microsoft.com/office/drawing/2010/main" val="0"/>
                        </a:ext>
                      </a:extLst>
                    </a:blip>
                    <a:srcRect b="46331"/>
                    <a:stretch/>
                  </pic:blipFill>
                  <pic:spPr bwMode="auto">
                    <a:xfrm>
                      <a:off x="0" y="0"/>
                      <a:ext cx="5943600" cy="1876425"/>
                    </a:xfrm>
                    <a:prstGeom prst="rect">
                      <a:avLst/>
                    </a:prstGeom>
                    <a:ln>
                      <a:noFill/>
                    </a:ln>
                    <a:extLst>
                      <a:ext uri="{53640926-AAD7-44D8-BBD7-CCE9431645EC}">
                        <a14:shadowObscured xmlns:a14="http://schemas.microsoft.com/office/drawing/2010/main"/>
                      </a:ext>
                    </a:extLst>
                  </pic:spPr>
                </pic:pic>
              </a:graphicData>
            </a:graphic>
          </wp:inline>
        </w:drawing>
      </w:r>
    </w:p>
    <w:p w14:paraId="133B636C" w14:textId="57C979A1" w:rsidR="00F8289A" w:rsidRPr="003D3552" w:rsidRDefault="00F8289A" w:rsidP="00F8289A">
      <w:pPr>
        <w:rPr>
          <w:rFonts w:ascii="Times New Roman" w:hAnsi="Times New Roman" w:cs="Times New Roman"/>
          <w:sz w:val="24"/>
          <w:szCs w:val="24"/>
        </w:rPr>
      </w:pPr>
      <w:r w:rsidRPr="00A03EB1">
        <w:rPr>
          <w:rFonts w:ascii="Times New Roman" w:hAnsi="Times New Roman" w:cs="Times New Roman"/>
          <w:b/>
          <w:bCs/>
          <w:sz w:val="24"/>
          <w:szCs w:val="24"/>
        </w:rPr>
        <w:t xml:space="preserve">Figure </w:t>
      </w:r>
      <w:r w:rsidR="00A03EB1" w:rsidRPr="00A03EB1">
        <w:rPr>
          <w:rFonts w:ascii="Times New Roman" w:hAnsi="Times New Roman" w:cs="Times New Roman"/>
          <w:b/>
          <w:bCs/>
          <w:sz w:val="24"/>
          <w:szCs w:val="24"/>
        </w:rPr>
        <w:t>A13.1</w:t>
      </w:r>
      <w:r w:rsidRPr="00A03EB1">
        <w:rPr>
          <w:rFonts w:ascii="Times New Roman" w:hAnsi="Times New Roman" w:cs="Times New Roman"/>
          <w:b/>
          <w:bCs/>
          <w:sz w:val="24"/>
          <w:szCs w:val="24"/>
        </w:rPr>
        <w:t>.</w:t>
      </w:r>
      <w:r w:rsidRPr="003D3552">
        <w:rPr>
          <w:rFonts w:ascii="Times New Roman" w:hAnsi="Times New Roman" w:cs="Times New Roman"/>
          <w:sz w:val="24"/>
          <w:szCs w:val="24"/>
        </w:rPr>
        <w:t xml:space="preserve"> Correlations between mean annual temperature reconstructions made from various proxy methods. Proxies include single linear regression (SLR) equations published in Peppe et al. </w:t>
      </w:r>
      <w:r w:rsidRPr="003D3552">
        <w:rPr>
          <w:rFonts w:ascii="Times New Roman" w:hAnsi="Times New Roman" w:cs="Times New Roman"/>
          <w:sz w:val="24"/>
          <w:szCs w:val="24"/>
        </w:rPr>
        <w:fldChar w:fldCharType="begin"/>
      </w:r>
      <w:r w:rsidRPr="003D3552">
        <w:rPr>
          <w:rFonts w:ascii="Times New Roman" w:hAnsi="Times New Roman" w:cs="Times New Roman"/>
          <w:sz w:val="24"/>
          <w:szCs w:val="24"/>
        </w:rPr>
        <w:instrText xml:space="preserve"> ADDIN ZOTERO_ITEM CSL_CITATION {"citationID":"h4qw1McV","properties":{"formattedCitation":"(2011)","plainCitation":"(2011)","noteIndex":0},"citationItems":[{"id":584,"uris":["http://zotero.org/users/local/GNd40AzT/items/XEC5MPM6"],"itemData":{"id":584,"type":"article-journal","abstract":"* •Paleobotanists have long used models based on leaf size and shape to reconstruct paleoclimate. However, most models incorporate a single variable or use traits that are not physiologically or functionally linked to climate, limiting their predictive power. Further, they often underestimate paleotemperature relative to other proxies. * •Here we quantify leaf–climate correlations from 92 globally distributed, climatically diverse sites, and explore potential confounding factors. Multiple linear regression models for mean annual temperature (MAT) and mean annual precipitation (MAP) are developed and applied to nine well-studied fossil floras. * •We find that leaves in cold climates typically have larger, more numerous teeth, and are more highly dissected. Leaf habit (deciduous vs evergreen), local water availability, and phylogenetic history all affect these relationships. Leaves in wet climates are larger and have fewer, smaller teeth. Our multivariate MAT and MAP models offer moderate improvements in precision over univariate approaches (± 4.0 vs 4.8°C for MAT) and strong improvements in accuracy. For example, our provisional MAT estimates for most North American fossil floras are considerably warmer and in better agreement with independent paleoclimate evidence. * •Our study demonstrates that the inclusion of additional leaf traits that are functionally linked to climate improves paleoclimate reconstructions. This work also illustrates the need for better understanding of the impact of phylogeny and leaf habit on leaf–climate relationships.","container-title":"New Phytologist","DOI":"10.1111/j.1469-8137.2010.03615.x","ISSN":"1469-8137","issue":"3","journalAbbreviation":"New Phytol.","page":"724-739","title":"Sensitivity of leaf size and shape to climate: global patterns and paleoclimatic applications","volume":"190","author":[{"family":"Peppe","given":"Daniel J."},{"family":"Royer","given":"Dana L."},{"family":"Cariglino","given":"Bárbara"},{"family":"Oliver","given":"Sofia Y."},{"family":"Newman","given":"Sharon"},{"family":"Leight","given":"Elias"},{"family":"Enikolopov","given":"Grisha"},{"family":"Fernandez-Burgos","given":"Margo"},{"family":"Herrera","given":"Fabiany"},{"family":"Adams","given":"Jonathan M."},{"family":"Correa","given":"Edwin"},{"family":"Currano","given":"Ellen D."},{"family":"Erickson","given":"J. Mark"},{"family":"Hinojosa","given":"Luis Felipe"},{"family":"Hoganson","given":"John W."},{"family":"Iglesias","given":"Ari"},{"family":"Jaramillo","given":"Carlos A."},{"family":"Johnson","given":"Kirk R."},{"family":"Jordan","given":"Gregory J."},{"family":"Kraft","given":"Nathan J. B."},{"family":"Lovelock","given":"Elizabeth C."},{"family":"Lusk","given":"Christopher H."},{"family":"Niinemets","given":"Ülo"},{"family":"Peñuelas","given":"Josep"},{"family":"Rapson","given":"Gillian"},{"family":"Wing","given":"Scott L."},{"family":"Wright","given":"Ian J."}],"issued":{"date-parts":[["2011"]]}},"label":"page","suppress-author":true}],"schema":"https://github.com/citation-style-language/schema/raw/master/csl-citation.json"} </w:instrText>
      </w:r>
      <w:r w:rsidRPr="003D3552">
        <w:rPr>
          <w:rFonts w:ascii="Times New Roman" w:hAnsi="Times New Roman" w:cs="Times New Roman"/>
          <w:sz w:val="24"/>
          <w:szCs w:val="24"/>
        </w:rPr>
        <w:fldChar w:fldCharType="separate"/>
      </w:r>
      <w:r w:rsidRPr="003D3552">
        <w:rPr>
          <w:rFonts w:ascii="Times New Roman" w:hAnsi="Times New Roman" w:cs="Times New Roman"/>
          <w:sz w:val="24"/>
          <w:szCs w:val="24"/>
        </w:rPr>
        <w:t>(2011)</w:t>
      </w:r>
      <w:r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and Wing and Greenwood </w:t>
      </w:r>
      <w:r w:rsidRPr="003D3552">
        <w:rPr>
          <w:rFonts w:ascii="Times New Roman" w:hAnsi="Times New Roman" w:cs="Times New Roman"/>
          <w:sz w:val="24"/>
          <w:szCs w:val="24"/>
        </w:rPr>
        <w:fldChar w:fldCharType="begin"/>
      </w:r>
      <w:r w:rsidRPr="003D3552">
        <w:rPr>
          <w:rFonts w:ascii="Times New Roman" w:hAnsi="Times New Roman" w:cs="Times New Roman"/>
          <w:sz w:val="24"/>
          <w:szCs w:val="24"/>
        </w:rPr>
        <w:instrText xml:space="preserve"> ADDIN ZOTERO_ITEM CSL_CITATION {"citationID":"hCgqCtOs","properties":{"formattedCitation":"(1993)","plainCitation":"(1993)","noteIndex":0},"citationItems":[{"id":589,"uris":["http://zotero.org/users/local/GNd40AzT/items/J5K6VQMA"],"itemData":{"id":589,"type":"article-journal","abstract":"There are many methods for inferring terrestrial palaeoclimates from palaeontological data, including the size and species diversity of ectothermic vertebrates, the locomotor and dental adaptations of mammals, characteristics of leaf shape, size, and epidermis, wood anatomy, and the climatic preferences of nearest living relatives of fossil taxa. Estimates of palaeotemperature have also been based on stable oxygen isotope ratios in shells and bones. Interpretation of any of these data relies in some way on uniformitarian assumptions, although at different levels depending on the method. Most of these methods can be applied to a palaeoclimatic reconstruction for the interior of North America during the early Eocene, which is thought to be the warmest interval of global climate in the Cenozoic. Most of the data indicate warm equable climates with little frost. Rainfall was variable, but strong aridity was local or absent. The inferred palaeoclimate is very different from the present climate of the region and from model simulations for the Eocene. This suggests that models fail to incorporate forcing factors that were present at that time, that they treat the heat regime of continents unrealistically, and/or that model inputs such as sea surface temperature gradients or palaeotopography are incorrect.","container-title":"Philosophical Transactions: Biological Sciences","ISSN":"0962-8436","issue":"1297","page":"243-252","title":"Fossils and fossil climate: The case for equable continental interiors in the Eocene","volume":"341","author":[{"family":"Wing","given":"Scott L."},{"family":"Greenwood","given":"David R."}],"issued":{"date-parts":[["1993"]]}},"label":"page","suppress-author":true}],"schema":"https://github.com/citation-style-language/schema/raw/master/csl-citation.json"} </w:instrText>
      </w:r>
      <w:r w:rsidRPr="003D3552">
        <w:rPr>
          <w:rFonts w:ascii="Times New Roman" w:hAnsi="Times New Roman" w:cs="Times New Roman"/>
          <w:sz w:val="24"/>
          <w:szCs w:val="24"/>
        </w:rPr>
        <w:fldChar w:fldCharType="separate"/>
      </w:r>
      <w:r w:rsidRPr="003D3552">
        <w:rPr>
          <w:rFonts w:ascii="Times New Roman" w:hAnsi="Times New Roman" w:cs="Times New Roman"/>
          <w:sz w:val="24"/>
          <w:szCs w:val="24"/>
        </w:rPr>
        <w:t>(1993)</w:t>
      </w:r>
      <w:r w:rsidRPr="003D3552">
        <w:rPr>
          <w:rFonts w:ascii="Times New Roman" w:hAnsi="Times New Roman" w:cs="Times New Roman"/>
          <w:sz w:val="24"/>
          <w:szCs w:val="24"/>
        </w:rPr>
        <w:fldChar w:fldCharType="end"/>
      </w:r>
      <w:r w:rsidRPr="003D3552">
        <w:rPr>
          <w:rFonts w:ascii="Times New Roman" w:hAnsi="Times New Roman" w:cs="Times New Roman"/>
          <w:sz w:val="24"/>
          <w:szCs w:val="24"/>
        </w:rPr>
        <w:t>, and multiple linear regression equations (MLR), known as the digital leaf physiognomy (</w:t>
      </w:r>
      <w:proofErr w:type="spellStart"/>
      <w:r w:rsidRPr="003D3552">
        <w:rPr>
          <w:rFonts w:ascii="Times New Roman" w:hAnsi="Times New Roman" w:cs="Times New Roman"/>
          <w:sz w:val="24"/>
          <w:szCs w:val="24"/>
        </w:rPr>
        <w:t>DiLP</w:t>
      </w:r>
      <w:proofErr w:type="spellEnd"/>
      <w:r w:rsidRPr="003D3552">
        <w:rPr>
          <w:rFonts w:ascii="Times New Roman" w:hAnsi="Times New Roman" w:cs="Times New Roman"/>
          <w:sz w:val="24"/>
          <w:szCs w:val="24"/>
        </w:rPr>
        <w:t xml:space="preserve">) method, published in Peppe et al. (2011). </w:t>
      </w:r>
    </w:p>
    <w:p w14:paraId="2A93D838" w14:textId="77777777" w:rsidR="00F8289A" w:rsidRPr="003D3552" w:rsidRDefault="00F8289A" w:rsidP="00F8289A">
      <w:pPr>
        <w:rPr>
          <w:rFonts w:ascii="Times New Roman" w:hAnsi="Times New Roman" w:cs="Times New Roman"/>
          <w:sz w:val="24"/>
          <w:szCs w:val="24"/>
        </w:rPr>
      </w:pPr>
    </w:p>
    <w:p w14:paraId="5421CB0A" w14:textId="09F508F9" w:rsidR="00F8289A" w:rsidRPr="003D3552" w:rsidRDefault="00F8289A" w:rsidP="00F8289A">
      <w:pPr>
        <w:rPr>
          <w:rFonts w:ascii="Times New Roman" w:hAnsi="Times New Roman" w:cs="Times New Roman"/>
          <w:sz w:val="24"/>
          <w:szCs w:val="24"/>
        </w:rPr>
      </w:pPr>
      <w:r w:rsidRPr="003D3552">
        <w:rPr>
          <w:rFonts w:ascii="Times New Roman" w:hAnsi="Times New Roman" w:cs="Times New Roman"/>
          <w:noProof/>
          <w:sz w:val="24"/>
          <w:szCs w:val="24"/>
        </w:rPr>
        <w:drawing>
          <wp:inline distT="0" distB="0" distL="0" distR="0" wp14:anchorId="1865F394" wp14:editId="0F2BDF9A">
            <wp:extent cx="5943600" cy="2028825"/>
            <wp:effectExtent l="0" t="0" r="0" b="9525"/>
            <wp:docPr id="1279205834" name="Picture 9"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205834" name="Picture 9" descr="A screenshot of a computer screen&#10;&#10;Description automatically generated"/>
                    <pic:cNvPicPr/>
                  </pic:nvPicPr>
                  <pic:blipFill rotWithShape="1">
                    <a:blip r:embed="rId25" cstate="print">
                      <a:extLst>
                        <a:ext uri="{28A0092B-C50C-407E-A947-70E740481C1C}">
                          <a14:useLocalDpi xmlns:a14="http://schemas.microsoft.com/office/drawing/2010/main" val="0"/>
                        </a:ext>
                      </a:extLst>
                    </a:blip>
                    <a:srcRect b="41972"/>
                    <a:stretch/>
                  </pic:blipFill>
                  <pic:spPr bwMode="auto">
                    <a:xfrm>
                      <a:off x="0" y="0"/>
                      <a:ext cx="5943600" cy="2028825"/>
                    </a:xfrm>
                    <a:prstGeom prst="rect">
                      <a:avLst/>
                    </a:prstGeom>
                    <a:ln>
                      <a:noFill/>
                    </a:ln>
                    <a:extLst>
                      <a:ext uri="{53640926-AAD7-44D8-BBD7-CCE9431645EC}">
                        <a14:shadowObscured xmlns:a14="http://schemas.microsoft.com/office/drawing/2010/main"/>
                      </a:ext>
                    </a:extLst>
                  </pic:spPr>
                </pic:pic>
              </a:graphicData>
            </a:graphic>
          </wp:inline>
        </w:drawing>
      </w:r>
    </w:p>
    <w:p w14:paraId="3CED658B" w14:textId="5F5EDAE9" w:rsidR="00F8289A" w:rsidRPr="003D3552" w:rsidRDefault="00F8289A" w:rsidP="00F8289A">
      <w:pPr>
        <w:rPr>
          <w:rFonts w:ascii="Times New Roman" w:hAnsi="Times New Roman" w:cs="Times New Roman"/>
          <w:sz w:val="24"/>
          <w:szCs w:val="24"/>
        </w:rPr>
      </w:pPr>
      <w:r w:rsidRPr="00A03EB1">
        <w:rPr>
          <w:rFonts w:ascii="Times New Roman" w:hAnsi="Times New Roman" w:cs="Times New Roman"/>
          <w:b/>
          <w:bCs/>
          <w:sz w:val="24"/>
          <w:szCs w:val="24"/>
        </w:rPr>
        <w:t xml:space="preserve">Figure </w:t>
      </w:r>
      <w:r w:rsidR="00A03EB1" w:rsidRPr="00A03EB1">
        <w:rPr>
          <w:rFonts w:ascii="Times New Roman" w:hAnsi="Times New Roman" w:cs="Times New Roman"/>
          <w:b/>
          <w:bCs/>
          <w:sz w:val="24"/>
          <w:szCs w:val="24"/>
        </w:rPr>
        <w:t>A13.2</w:t>
      </w:r>
      <w:r w:rsidRPr="003D3552">
        <w:rPr>
          <w:rFonts w:ascii="Times New Roman" w:hAnsi="Times New Roman" w:cs="Times New Roman"/>
          <w:sz w:val="24"/>
          <w:szCs w:val="24"/>
        </w:rPr>
        <w:t xml:space="preserve">. Correlations between mean annual </w:t>
      </w:r>
      <w:r w:rsidRPr="003D3552">
        <w:rPr>
          <w:rFonts w:ascii="Times New Roman" w:hAnsi="Times New Roman" w:cs="Times New Roman"/>
          <w:sz w:val="24"/>
          <w:szCs w:val="24"/>
        </w:rPr>
        <w:t>precipitation</w:t>
      </w:r>
      <w:r w:rsidRPr="003D3552">
        <w:rPr>
          <w:rFonts w:ascii="Times New Roman" w:hAnsi="Times New Roman" w:cs="Times New Roman"/>
          <w:sz w:val="24"/>
          <w:szCs w:val="24"/>
        </w:rPr>
        <w:t xml:space="preserve"> reconstructions made from various proxy methods. Proxies include single linear regression (SLR) equations published in Peppe et al. </w:t>
      </w:r>
      <w:r w:rsidRPr="003D3552">
        <w:rPr>
          <w:rFonts w:ascii="Times New Roman" w:hAnsi="Times New Roman" w:cs="Times New Roman"/>
          <w:sz w:val="24"/>
          <w:szCs w:val="24"/>
        </w:rPr>
        <w:fldChar w:fldCharType="begin"/>
      </w:r>
      <w:r w:rsidRPr="003D3552">
        <w:rPr>
          <w:rFonts w:ascii="Times New Roman" w:hAnsi="Times New Roman" w:cs="Times New Roman"/>
          <w:sz w:val="24"/>
          <w:szCs w:val="24"/>
        </w:rPr>
        <w:instrText xml:space="preserve"> ADDIN ZOTERO_ITEM CSL_CITATION {"citationID":"cIiSlGSL","properties":{"formattedCitation":"(2011)","plainCitation":"(2011)","noteIndex":0},"citationItems":[{"id":584,"uris":["http://zotero.org/users/local/GNd40AzT/items/XEC5MPM6"],"itemData":{"id":584,"type":"article-journal","abstract":"* •Paleobotanists have long used models based on leaf size and shape to reconstruct paleoclimate. However, most models incorporate a single variable or use traits that are not physiologically or functionally linked to climate, limiting their predictive power. Further, they often underestimate paleotemperature relative to other proxies. * •Here we quantify leaf–climate correlations from 92 globally distributed, climatically diverse sites, and explore potential confounding factors. Multiple linear regression models for mean annual temperature (MAT) and mean annual precipitation (MAP) are developed and applied to nine well-studied fossil floras. * •We find that leaves in cold climates typically have larger, more numerous teeth, and are more highly dissected. Leaf habit (deciduous vs evergreen), local water availability, and phylogenetic history all affect these relationships. Leaves in wet climates are larger and have fewer, smaller teeth. Our multivariate MAT and MAP models offer moderate improvements in precision over univariate approaches (± 4.0 vs 4.8°C for MAT) and strong improvements in accuracy. For example, our provisional MAT estimates for most North American fossil floras are considerably warmer and in better agreement with independent paleoclimate evidence. * •Our study demonstrates that the inclusion of additional leaf traits that are functionally linked to climate improves paleoclimate reconstructions. This work also illustrates the need for better understanding of the impact of phylogeny and leaf habit on leaf–climate relationships.","container-title":"New Phytologist","DOI":"10.1111/j.1469-8137.2010.03615.x","ISSN":"1469-8137","issue":"3","journalAbbreviation":"New Phytol.","page":"724-739","title":"Sensitivity of leaf size and shape to climate: global patterns and paleoclimatic applications","volume":"190","author":[{"family":"Peppe","given":"Daniel J."},{"family":"Royer","given":"Dana L."},{"family":"Cariglino","given":"Bárbara"},{"family":"Oliver","given":"Sofia Y."},{"family":"Newman","given":"Sharon"},{"family":"Leight","given":"Elias"},{"family":"Enikolopov","given":"Grisha"},{"family":"Fernandez-Burgos","given":"Margo"},{"family":"Herrera","given":"Fabiany"},{"family":"Adams","given":"Jonathan M."},{"family":"Correa","given":"Edwin"},{"family":"Currano","given":"Ellen D."},{"family":"Erickson","given":"J. Mark"},{"family":"Hinojosa","given":"Luis Felipe"},{"family":"Hoganson","given":"John W."},{"family":"Iglesias","given":"Ari"},{"family":"Jaramillo","given":"Carlos A."},{"family":"Johnson","given":"Kirk R."},{"family":"Jordan","given":"Gregory J."},{"family":"Kraft","given":"Nathan J. B."},{"family":"Lovelock","given":"Elizabeth C."},{"family":"Lusk","given":"Christopher H."},{"family":"Niinemets","given":"Ülo"},{"family":"Peñuelas","given":"Josep"},{"family":"Rapson","given":"Gillian"},{"family":"Wing","given":"Scott L."},{"family":"Wright","given":"Ian J."}],"issued":{"date-parts":[["2011"]]}},"label":"page","suppress-author":true}],"schema":"https://github.com/citation-style-language/schema/raw/master/csl-citation.json"} </w:instrText>
      </w:r>
      <w:r w:rsidRPr="003D3552">
        <w:rPr>
          <w:rFonts w:ascii="Times New Roman" w:hAnsi="Times New Roman" w:cs="Times New Roman"/>
          <w:sz w:val="24"/>
          <w:szCs w:val="24"/>
        </w:rPr>
        <w:fldChar w:fldCharType="separate"/>
      </w:r>
      <w:r w:rsidRPr="003D3552">
        <w:rPr>
          <w:rFonts w:ascii="Times New Roman" w:hAnsi="Times New Roman" w:cs="Times New Roman"/>
          <w:sz w:val="24"/>
          <w:szCs w:val="24"/>
        </w:rPr>
        <w:t>(2011)</w:t>
      </w:r>
      <w:r w:rsidRPr="003D3552">
        <w:rPr>
          <w:rFonts w:ascii="Times New Roman" w:hAnsi="Times New Roman" w:cs="Times New Roman"/>
          <w:sz w:val="24"/>
          <w:szCs w:val="24"/>
        </w:rPr>
        <w:fldChar w:fldCharType="end"/>
      </w:r>
      <w:r w:rsidRPr="003D3552">
        <w:rPr>
          <w:rFonts w:ascii="Times New Roman" w:hAnsi="Times New Roman" w:cs="Times New Roman"/>
          <w:sz w:val="24"/>
          <w:szCs w:val="24"/>
        </w:rPr>
        <w:t xml:space="preserve"> and </w:t>
      </w:r>
      <w:r w:rsidRPr="003D3552">
        <w:rPr>
          <w:rFonts w:ascii="Times New Roman" w:hAnsi="Times New Roman" w:cs="Times New Roman"/>
          <w:sz w:val="24"/>
          <w:szCs w:val="24"/>
        </w:rPr>
        <w:t xml:space="preserve">Wilf et al. </w:t>
      </w:r>
      <w:r w:rsidRPr="003D3552">
        <w:rPr>
          <w:rFonts w:ascii="Times New Roman" w:hAnsi="Times New Roman" w:cs="Times New Roman"/>
          <w:sz w:val="24"/>
          <w:szCs w:val="24"/>
        </w:rPr>
        <w:fldChar w:fldCharType="begin"/>
      </w:r>
      <w:r w:rsidRPr="003D3552">
        <w:rPr>
          <w:rFonts w:ascii="Times New Roman" w:hAnsi="Times New Roman" w:cs="Times New Roman"/>
          <w:sz w:val="24"/>
          <w:szCs w:val="24"/>
        </w:rPr>
        <w:instrText xml:space="preserve"> ADDIN ZOTERO_ITEM CSL_CITATION {"citationID":"e4yvoQ5C","properties":{"formattedCitation":"(1998)","plainCitation":"(1998)","noteIndex":0},"citationItems":[{"id":643,"uris":["http://zotero.org/users/local/GNd40AzT/items/5ZP5TYTK"],"itemData":{"id":643,"type":"article-journal","abstract":"1 Department of Paleobiology, MRC 121, National Museum of Natural History, Smithsonian Institution, Washington, D.C. 20560 2 Department of Biological and Food Sciences, Victoria University of Technology, St. Albans Campus, P.O. Box 14428, MCMC, Melbourne, Victoria 8001, Australia 3 Department of Geography and Environmental Science, Monash University, Wellington Road, Clayton, Victoria 3168, Australia Estimates of past precipitation are of broad interest for many areas of inquiry, including reconstructions of past environments and topography, climate modeling, and ocean circulation studies. The shapes and sizes of living leaves are highly sensitive to moisture conditions, and assemblages of fossil leaves of flowering plants have great potential as paleoprecipitation indicators. Most quantitative estimates of paleoprecipitation have been based on a multivariate data set of morphological leaf characters measured from samples of living vegetation tied to climate stations. However, when tested on extant forests, this method has consistently overestimated precipitation. We present a simpler approach that uses only the mean leaf area of a vegetation sample as a predictor variable but incorporates a broad range of annual precipitation and geographic coverage into the predictor set. The significant relationship that results, in addition to having value for paleoclimatic reconstruction, refines understanding of the long-observed positive relationship between leaf area and precipitation. Seven precipitation estimates for the Eocene of the Western United States are revised as lower than previously published but remain far wetter than the same areas today. Abundant moisture may have been an important factor in maintaining warm, frost-free conditions in the Eocene because of the major role of water vapor in retaining and transporting atmospheric heat.","container-title":"Geology","ISSN":"0091-7613","issue":"3","page":"203-208","title":"Using fossil leaves as paleoprecipitation indicators: An Eocene example","volume":"26","author":[{"family":"Wilf","given":"Peter"},{"family":"Wing","given":"Scott L."},{"family":"Greenwood","given":"David R."},{"family":"Greenwood","given":"Cathy L."}],"issued":{"date-parts":[["1998"]]}},"label":"page","suppress-author":true}],"schema":"https://github.com/citation-style-language/schema/raw/master/csl-citation.json"} </w:instrText>
      </w:r>
      <w:r w:rsidRPr="003D3552">
        <w:rPr>
          <w:rFonts w:ascii="Times New Roman" w:hAnsi="Times New Roman" w:cs="Times New Roman"/>
          <w:sz w:val="24"/>
          <w:szCs w:val="24"/>
        </w:rPr>
        <w:fldChar w:fldCharType="separate"/>
      </w:r>
      <w:r w:rsidRPr="003D3552">
        <w:rPr>
          <w:rFonts w:ascii="Times New Roman" w:hAnsi="Times New Roman" w:cs="Times New Roman"/>
          <w:sz w:val="24"/>
          <w:szCs w:val="24"/>
        </w:rPr>
        <w:t>(1998)</w:t>
      </w:r>
      <w:r w:rsidRPr="003D3552">
        <w:rPr>
          <w:rFonts w:ascii="Times New Roman" w:hAnsi="Times New Roman" w:cs="Times New Roman"/>
          <w:sz w:val="24"/>
          <w:szCs w:val="24"/>
        </w:rPr>
        <w:fldChar w:fldCharType="end"/>
      </w:r>
      <w:r w:rsidRPr="003D3552">
        <w:rPr>
          <w:rFonts w:ascii="Times New Roman" w:hAnsi="Times New Roman" w:cs="Times New Roman"/>
          <w:sz w:val="24"/>
          <w:szCs w:val="24"/>
        </w:rPr>
        <w:t>, and multiple linear regression equations (MLR), known as the digital leaf physiognomy (</w:t>
      </w:r>
      <w:proofErr w:type="spellStart"/>
      <w:r w:rsidRPr="003D3552">
        <w:rPr>
          <w:rFonts w:ascii="Times New Roman" w:hAnsi="Times New Roman" w:cs="Times New Roman"/>
          <w:sz w:val="24"/>
          <w:szCs w:val="24"/>
        </w:rPr>
        <w:t>DiLP</w:t>
      </w:r>
      <w:proofErr w:type="spellEnd"/>
      <w:r w:rsidRPr="003D3552">
        <w:rPr>
          <w:rFonts w:ascii="Times New Roman" w:hAnsi="Times New Roman" w:cs="Times New Roman"/>
          <w:sz w:val="24"/>
          <w:szCs w:val="24"/>
        </w:rPr>
        <w:t xml:space="preserve">) method, published in Peppe et al. (2011). </w:t>
      </w:r>
    </w:p>
    <w:p w14:paraId="38F66B0C" w14:textId="77777777" w:rsidR="00F8289A" w:rsidRPr="003D3552" w:rsidRDefault="00F8289A" w:rsidP="007C6D2D">
      <w:pPr>
        <w:rPr>
          <w:rFonts w:ascii="Times New Roman" w:hAnsi="Times New Roman" w:cs="Times New Roman"/>
          <w:sz w:val="24"/>
          <w:szCs w:val="24"/>
        </w:rPr>
      </w:pPr>
    </w:p>
    <w:sectPr w:rsidR="00F8289A" w:rsidRPr="003D3552" w:rsidSect="007C6D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522"/>
    <w:rsid w:val="00000406"/>
    <w:rsid w:val="000006DB"/>
    <w:rsid w:val="00000E9A"/>
    <w:rsid w:val="0000563D"/>
    <w:rsid w:val="000060B7"/>
    <w:rsid w:val="000061A3"/>
    <w:rsid w:val="00007FAA"/>
    <w:rsid w:val="000102E6"/>
    <w:rsid w:val="00012174"/>
    <w:rsid w:val="00012596"/>
    <w:rsid w:val="00013029"/>
    <w:rsid w:val="00013CA0"/>
    <w:rsid w:val="00013E50"/>
    <w:rsid w:val="0001511B"/>
    <w:rsid w:val="0001609E"/>
    <w:rsid w:val="000234B5"/>
    <w:rsid w:val="00025687"/>
    <w:rsid w:val="00026753"/>
    <w:rsid w:val="000321F1"/>
    <w:rsid w:val="00032AD8"/>
    <w:rsid w:val="00033B7A"/>
    <w:rsid w:val="00040C94"/>
    <w:rsid w:val="00041CAD"/>
    <w:rsid w:val="00043BC0"/>
    <w:rsid w:val="0004451A"/>
    <w:rsid w:val="00050B2D"/>
    <w:rsid w:val="00050BB6"/>
    <w:rsid w:val="000514B4"/>
    <w:rsid w:val="000538B8"/>
    <w:rsid w:val="00055748"/>
    <w:rsid w:val="000566AC"/>
    <w:rsid w:val="00056F25"/>
    <w:rsid w:val="000579E3"/>
    <w:rsid w:val="00057E9F"/>
    <w:rsid w:val="00060329"/>
    <w:rsid w:val="000649AF"/>
    <w:rsid w:val="0006541C"/>
    <w:rsid w:val="0006548E"/>
    <w:rsid w:val="00066602"/>
    <w:rsid w:val="000679DE"/>
    <w:rsid w:val="00076369"/>
    <w:rsid w:val="000775F5"/>
    <w:rsid w:val="00091BD7"/>
    <w:rsid w:val="000924B1"/>
    <w:rsid w:val="00095484"/>
    <w:rsid w:val="00095D78"/>
    <w:rsid w:val="000A0848"/>
    <w:rsid w:val="000A36B3"/>
    <w:rsid w:val="000A5CB3"/>
    <w:rsid w:val="000A5DB8"/>
    <w:rsid w:val="000B0269"/>
    <w:rsid w:val="000B0A87"/>
    <w:rsid w:val="000B2D05"/>
    <w:rsid w:val="000B48DB"/>
    <w:rsid w:val="000B7B7D"/>
    <w:rsid w:val="000C34A7"/>
    <w:rsid w:val="000C3D7B"/>
    <w:rsid w:val="000C48F2"/>
    <w:rsid w:val="000C7DC3"/>
    <w:rsid w:val="000D12CE"/>
    <w:rsid w:val="000D3E5D"/>
    <w:rsid w:val="000D4751"/>
    <w:rsid w:val="000D4FE3"/>
    <w:rsid w:val="000E07B5"/>
    <w:rsid w:val="000E17E5"/>
    <w:rsid w:val="000E3521"/>
    <w:rsid w:val="000F0AC1"/>
    <w:rsid w:val="000F0D54"/>
    <w:rsid w:val="000F17B6"/>
    <w:rsid w:val="000F4313"/>
    <w:rsid w:val="000F4CCA"/>
    <w:rsid w:val="00103B11"/>
    <w:rsid w:val="001101B4"/>
    <w:rsid w:val="0011224B"/>
    <w:rsid w:val="001137A0"/>
    <w:rsid w:val="00122D7C"/>
    <w:rsid w:val="00125EE7"/>
    <w:rsid w:val="00125FEB"/>
    <w:rsid w:val="00127E8F"/>
    <w:rsid w:val="00130F5A"/>
    <w:rsid w:val="00130FFC"/>
    <w:rsid w:val="001357E8"/>
    <w:rsid w:val="001359C3"/>
    <w:rsid w:val="0013687F"/>
    <w:rsid w:val="001377E0"/>
    <w:rsid w:val="00141737"/>
    <w:rsid w:val="00141974"/>
    <w:rsid w:val="00142056"/>
    <w:rsid w:val="001468D9"/>
    <w:rsid w:val="00151FAC"/>
    <w:rsid w:val="00154220"/>
    <w:rsid w:val="00154C18"/>
    <w:rsid w:val="00155960"/>
    <w:rsid w:val="00155C0A"/>
    <w:rsid w:val="001607F9"/>
    <w:rsid w:val="001618B9"/>
    <w:rsid w:val="00163FD3"/>
    <w:rsid w:val="00166905"/>
    <w:rsid w:val="001673D5"/>
    <w:rsid w:val="00172597"/>
    <w:rsid w:val="00172AF4"/>
    <w:rsid w:val="0018158D"/>
    <w:rsid w:val="001904B3"/>
    <w:rsid w:val="00192811"/>
    <w:rsid w:val="00192D22"/>
    <w:rsid w:val="00195CEC"/>
    <w:rsid w:val="001A37B4"/>
    <w:rsid w:val="001A57D9"/>
    <w:rsid w:val="001A5B7C"/>
    <w:rsid w:val="001A66D3"/>
    <w:rsid w:val="001B05DD"/>
    <w:rsid w:val="001B1BAD"/>
    <w:rsid w:val="001B3228"/>
    <w:rsid w:val="001B5E6F"/>
    <w:rsid w:val="001B6876"/>
    <w:rsid w:val="001B6C5E"/>
    <w:rsid w:val="001B708B"/>
    <w:rsid w:val="001B7F8C"/>
    <w:rsid w:val="001C30B7"/>
    <w:rsid w:val="001C6CE5"/>
    <w:rsid w:val="001C794C"/>
    <w:rsid w:val="001D29D4"/>
    <w:rsid w:val="001D2B20"/>
    <w:rsid w:val="001D3399"/>
    <w:rsid w:val="001D67C9"/>
    <w:rsid w:val="001D7946"/>
    <w:rsid w:val="001E0AAC"/>
    <w:rsid w:val="001E1DFE"/>
    <w:rsid w:val="001E6510"/>
    <w:rsid w:val="001E7C1C"/>
    <w:rsid w:val="001F01B3"/>
    <w:rsid w:val="001F1BDC"/>
    <w:rsid w:val="001F3C59"/>
    <w:rsid w:val="001F3FD7"/>
    <w:rsid w:val="001F6B8B"/>
    <w:rsid w:val="001F6D81"/>
    <w:rsid w:val="001F76C2"/>
    <w:rsid w:val="00202803"/>
    <w:rsid w:val="0020583A"/>
    <w:rsid w:val="00210093"/>
    <w:rsid w:val="002144C2"/>
    <w:rsid w:val="00214604"/>
    <w:rsid w:val="00214BF5"/>
    <w:rsid w:val="0021796A"/>
    <w:rsid w:val="00222101"/>
    <w:rsid w:val="00224C24"/>
    <w:rsid w:val="0022767C"/>
    <w:rsid w:val="002300FE"/>
    <w:rsid w:val="002306C3"/>
    <w:rsid w:val="00230C7B"/>
    <w:rsid w:val="0023152C"/>
    <w:rsid w:val="0023306E"/>
    <w:rsid w:val="00241E03"/>
    <w:rsid w:val="0024560B"/>
    <w:rsid w:val="00245E5C"/>
    <w:rsid w:val="00252344"/>
    <w:rsid w:val="0025454B"/>
    <w:rsid w:val="00256A8E"/>
    <w:rsid w:val="002577C5"/>
    <w:rsid w:val="0025794E"/>
    <w:rsid w:val="00263A16"/>
    <w:rsid w:val="00265609"/>
    <w:rsid w:val="00267584"/>
    <w:rsid w:val="00267909"/>
    <w:rsid w:val="002703ED"/>
    <w:rsid w:val="002729FF"/>
    <w:rsid w:val="002731F7"/>
    <w:rsid w:val="00274119"/>
    <w:rsid w:val="00274F93"/>
    <w:rsid w:val="002751DA"/>
    <w:rsid w:val="00277607"/>
    <w:rsid w:val="00283F24"/>
    <w:rsid w:val="0028775E"/>
    <w:rsid w:val="0029059D"/>
    <w:rsid w:val="002A0DC1"/>
    <w:rsid w:val="002A13BB"/>
    <w:rsid w:val="002A1D65"/>
    <w:rsid w:val="002A3D0E"/>
    <w:rsid w:val="002A404D"/>
    <w:rsid w:val="002B167D"/>
    <w:rsid w:val="002B214D"/>
    <w:rsid w:val="002B3274"/>
    <w:rsid w:val="002B7F56"/>
    <w:rsid w:val="002C092F"/>
    <w:rsid w:val="002C203E"/>
    <w:rsid w:val="002C7340"/>
    <w:rsid w:val="002D33C6"/>
    <w:rsid w:val="002D4CE2"/>
    <w:rsid w:val="002D510D"/>
    <w:rsid w:val="002D579E"/>
    <w:rsid w:val="002D718E"/>
    <w:rsid w:val="002E2B74"/>
    <w:rsid w:val="002E3F8D"/>
    <w:rsid w:val="002E47A5"/>
    <w:rsid w:val="002E5488"/>
    <w:rsid w:val="002E6C85"/>
    <w:rsid w:val="002F2D4E"/>
    <w:rsid w:val="002F2E42"/>
    <w:rsid w:val="002F3085"/>
    <w:rsid w:val="002F4928"/>
    <w:rsid w:val="003002DD"/>
    <w:rsid w:val="0030167C"/>
    <w:rsid w:val="0030173C"/>
    <w:rsid w:val="00301EC6"/>
    <w:rsid w:val="00301ECA"/>
    <w:rsid w:val="00305453"/>
    <w:rsid w:val="00310750"/>
    <w:rsid w:val="00310BE6"/>
    <w:rsid w:val="00315AB9"/>
    <w:rsid w:val="003234A3"/>
    <w:rsid w:val="00323742"/>
    <w:rsid w:val="003274B5"/>
    <w:rsid w:val="00327E00"/>
    <w:rsid w:val="00330D3C"/>
    <w:rsid w:val="003443C4"/>
    <w:rsid w:val="00346FD2"/>
    <w:rsid w:val="003528E7"/>
    <w:rsid w:val="00357EFA"/>
    <w:rsid w:val="00360225"/>
    <w:rsid w:val="00363FCF"/>
    <w:rsid w:val="003644AD"/>
    <w:rsid w:val="00364671"/>
    <w:rsid w:val="00364E23"/>
    <w:rsid w:val="00365F13"/>
    <w:rsid w:val="003674A0"/>
    <w:rsid w:val="00371420"/>
    <w:rsid w:val="003722BB"/>
    <w:rsid w:val="00375C99"/>
    <w:rsid w:val="00375EB3"/>
    <w:rsid w:val="00380816"/>
    <w:rsid w:val="003815BD"/>
    <w:rsid w:val="003818D1"/>
    <w:rsid w:val="00382335"/>
    <w:rsid w:val="00382C66"/>
    <w:rsid w:val="00385012"/>
    <w:rsid w:val="003874E4"/>
    <w:rsid w:val="00391500"/>
    <w:rsid w:val="00392006"/>
    <w:rsid w:val="003928BA"/>
    <w:rsid w:val="00393B87"/>
    <w:rsid w:val="003948E3"/>
    <w:rsid w:val="00395E0C"/>
    <w:rsid w:val="003961D2"/>
    <w:rsid w:val="00397037"/>
    <w:rsid w:val="00397725"/>
    <w:rsid w:val="003A1FCF"/>
    <w:rsid w:val="003A2D10"/>
    <w:rsid w:val="003B0063"/>
    <w:rsid w:val="003B03F9"/>
    <w:rsid w:val="003B1602"/>
    <w:rsid w:val="003B5190"/>
    <w:rsid w:val="003B7219"/>
    <w:rsid w:val="003C0BC3"/>
    <w:rsid w:val="003C1045"/>
    <w:rsid w:val="003C196E"/>
    <w:rsid w:val="003C3220"/>
    <w:rsid w:val="003C47F6"/>
    <w:rsid w:val="003C4930"/>
    <w:rsid w:val="003D25F5"/>
    <w:rsid w:val="003D3552"/>
    <w:rsid w:val="003D3E88"/>
    <w:rsid w:val="003D3FE6"/>
    <w:rsid w:val="003D527E"/>
    <w:rsid w:val="003D7150"/>
    <w:rsid w:val="003E1311"/>
    <w:rsid w:val="003E2380"/>
    <w:rsid w:val="003E5556"/>
    <w:rsid w:val="003F06E9"/>
    <w:rsid w:val="003F1711"/>
    <w:rsid w:val="003F51C0"/>
    <w:rsid w:val="003F573A"/>
    <w:rsid w:val="0040067B"/>
    <w:rsid w:val="00400DA4"/>
    <w:rsid w:val="00406288"/>
    <w:rsid w:val="00410EEA"/>
    <w:rsid w:val="00412CAA"/>
    <w:rsid w:val="00413A31"/>
    <w:rsid w:val="00414A9F"/>
    <w:rsid w:val="00414ACC"/>
    <w:rsid w:val="00416CCC"/>
    <w:rsid w:val="00417D3F"/>
    <w:rsid w:val="00421C55"/>
    <w:rsid w:val="0042406C"/>
    <w:rsid w:val="00425473"/>
    <w:rsid w:val="00427874"/>
    <w:rsid w:val="00430855"/>
    <w:rsid w:val="00433C04"/>
    <w:rsid w:val="00433DDE"/>
    <w:rsid w:val="00436A0D"/>
    <w:rsid w:val="004373D9"/>
    <w:rsid w:val="0043766F"/>
    <w:rsid w:val="0043794C"/>
    <w:rsid w:val="00437C03"/>
    <w:rsid w:val="0044110E"/>
    <w:rsid w:val="004419C1"/>
    <w:rsid w:val="00442835"/>
    <w:rsid w:val="004444A1"/>
    <w:rsid w:val="004453E1"/>
    <w:rsid w:val="00445BB9"/>
    <w:rsid w:val="004502F9"/>
    <w:rsid w:val="0045137C"/>
    <w:rsid w:val="00453B7E"/>
    <w:rsid w:val="00455346"/>
    <w:rsid w:val="00456E10"/>
    <w:rsid w:val="004575E9"/>
    <w:rsid w:val="004578B6"/>
    <w:rsid w:val="00457AA9"/>
    <w:rsid w:val="00461AE3"/>
    <w:rsid w:val="00464BCC"/>
    <w:rsid w:val="00470EB9"/>
    <w:rsid w:val="00474C88"/>
    <w:rsid w:val="00477F88"/>
    <w:rsid w:val="00483835"/>
    <w:rsid w:val="004844CD"/>
    <w:rsid w:val="00484BCD"/>
    <w:rsid w:val="00485996"/>
    <w:rsid w:val="00491A82"/>
    <w:rsid w:val="004A0D72"/>
    <w:rsid w:val="004A0DDC"/>
    <w:rsid w:val="004A2446"/>
    <w:rsid w:val="004A4F5F"/>
    <w:rsid w:val="004A5BF7"/>
    <w:rsid w:val="004B259A"/>
    <w:rsid w:val="004B3759"/>
    <w:rsid w:val="004B3CF1"/>
    <w:rsid w:val="004B3E97"/>
    <w:rsid w:val="004B40D0"/>
    <w:rsid w:val="004B4340"/>
    <w:rsid w:val="004B4A67"/>
    <w:rsid w:val="004B5E0B"/>
    <w:rsid w:val="004C43DB"/>
    <w:rsid w:val="004D12C6"/>
    <w:rsid w:val="004D144A"/>
    <w:rsid w:val="004D2EC1"/>
    <w:rsid w:val="004D6FFA"/>
    <w:rsid w:val="004D7FB5"/>
    <w:rsid w:val="004E040B"/>
    <w:rsid w:val="004E5810"/>
    <w:rsid w:val="004E58DD"/>
    <w:rsid w:val="004F34DE"/>
    <w:rsid w:val="004F4429"/>
    <w:rsid w:val="004F5774"/>
    <w:rsid w:val="00510F1C"/>
    <w:rsid w:val="0051429C"/>
    <w:rsid w:val="005158A4"/>
    <w:rsid w:val="0052256E"/>
    <w:rsid w:val="0052305C"/>
    <w:rsid w:val="0052417E"/>
    <w:rsid w:val="00524F15"/>
    <w:rsid w:val="0052553A"/>
    <w:rsid w:val="00525792"/>
    <w:rsid w:val="00525AB8"/>
    <w:rsid w:val="005270F7"/>
    <w:rsid w:val="005271A0"/>
    <w:rsid w:val="00532D0D"/>
    <w:rsid w:val="00535094"/>
    <w:rsid w:val="005360D6"/>
    <w:rsid w:val="005410E7"/>
    <w:rsid w:val="0054115E"/>
    <w:rsid w:val="00541540"/>
    <w:rsid w:val="005427BC"/>
    <w:rsid w:val="005446F5"/>
    <w:rsid w:val="00546108"/>
    <w:rsid w:val="00546FC5"/>
    <w:rsid w:val="00547C2E"/>
    <w:rsid w:val="005521E3"/>
    <w:rsid w:val="005533E5"/>
    <w:rsid w:val="00555679"/>
    <w:rsid w:val="00557F7D"/>
    <w:rsid w:val="00560369"/>
    <w:rsid w:val="005613B8"/>
    <w:rsid w:val="005615C9"/>
    <w:rsid w:val="00561A36"/>
    <w:rsid w:val="00567CB9"/>
    <w:rsid w:val="005722F1"/>
    <w:rsid w:val="00572397"/>
    <w:rsid w:val="00573237"/>
    <w:rsid w:val="005735B2"/>
    <w:rsid w:val="005735D1"/>
    <w:rsid w:val="00574F71"/>
    <w:rsid w:val="00576FE2"/>
    <w:rsid w:val="00581452"/>
    <w:rsid w:val="00582456"/>
    <w:rsid w:val="00583893"/>
    <w:rsid w:val="005838C6"/>
    <w:rsid w:val="005900DF"/>
    <w:rsid w:val="00592225"/>
    <w:rsid w:val="00593317"/>
    <w:rsid w:val="00596459"/>
    <w:rsid w:val="00597F7C"/>
    <w:rsid w:val="005A3032"/>
    <w:rsid w:val="005A5971"/>
    <w:rsid w:val="005A63D7"/>
    <w:rsid w:val="005A755C"/>
    <w:rsid w:val="005A7952"/>
    <w:rsid w:val="005B1948"/>
    <w:rsid w:val="005B4EB5"/>
    <w:rsid w:val="005B7B2C"/>
    <w:rsid w:val="005C112F"/>
    <w:rsid w:val="005C2B00"/>
    <w:rsid w:val="005D06F1"/>
    <w:rsid w:val="005D0E23"/>
    <w:rsid w:val="005D37D3"/>
    <w:rsid w:val="005D3F7D"/>
    <w:rsid w:val="005D5637"/>
    <w:rsid w:val="005D7948"/>
    <w:rsid w:val="005E17F8"/>
    <w:rsid w:val="005E1CDA"/>
    <w:rsid w:val="005E34AE"/>
    <w:rsid w:val="005E57A9"/>
    <w:rsid w:val="005E5CEE"/>
    <w:rsid w:val="005E6E7D"/>
    <w:rsid w:val="005F1723"/>
    <w:rsid w:val="005F1A90"/>
    <w:rsid w:val="005F1D0A"/>
    <w:rsid w:val="005F21F5"/>
    <w:rsid w:val="005F41DA"/>
    <w:rsid w:val="005F5185"/>
    <w:rsid w:val="005F6076"/>
    <w:rsid w:val="005F7373"/>
    <w:rsid w:val="00600CF4"/>
    <w:rsid w:val="0060377B"/>
    <w:rsid w:val="00604C08"/>
    <w:rsid w:val="00605D1A"/>
    <w:rsid w:val="00616556"/>
    <w:rsid w:val="00621103"/>
    <w:rsid w:val="00622D4A"/>
    <w:rsid w:val="0062785E"/>
    <w:rsid w:val="00630230"/>
    <w:rsid w:val="00630D1E"/>
    <w:rsid w:val="006356A7"/>
    <w:rsid w:val="00641D9D"/>
    <w:rsid w:val="00643022"/>
    <w:rsid w:val="00643A8B"/>
    <w:rsid w:val="00644325"/>
    <w:rsid w:val="0064464B"/>
    <w:rsid w:val="00650E32"/>
    <w:rsid w:val="00651F79"/>
    <w:rsid w:val="006529B8"/>
    <w:rsid w:val="00652EE4"/>
    <w:rsid w:val="00655352"/>
    <w:rsid w:val="00655E4D"/>
    <w:rsid w:val="00656DD2"/>
    <w:rsid w:val="00657B83"/>
    <w:rsid w:val="00660311"/>
    <w:rsid w:val="0066296E"/>
    <w:rsid w:val="0066363F"/>
    <w:rsid w:val="00666990"/>
    <w:rsid w:val="00666CC9"/>
    <w:rsid w:val="006715D4"/>
    <w:rsid w:val="006764C6"/>
    <w:rsid w:val="00676920"/>
    <w:rsid w:val="006800FA"/>
    <w:rsid w:val="0068093F"/>
    <w:rsid w:val="00681685"/>
    <w:rsid w:val="00681817"/>
    <w:rsid w:val="00683084"/>
    <w:rsid w:val="00684987"/>
    <w:rsid w:val="0068525C"/>
    <w:rsid w:val="006854B0"/>
    <w:rsid w:val="006912D1"/>
    <w:rsid w:val="00693BA2"/>
    <w:rsid w:val="00693F90"/>
    <w:rsid w:val="00695161"/>
    <w:rsid w:val="00695427"/>
    <w:rsid w:val="006A0A21"/>
    <w:rsid w:val="006A0E8E"/>
    <w:rsid w:val="006A2C9F"/>
    <w:rsid w:val="006A4F11"/>
    <w:rsid w:val="006A6430"/>
    <w:rsid w:val="006A6615"/>
    <w:rsid w:val="006A7621"/>
    <w:rsid w:val="006B3C04"/>
    <w:rsid w:val="006B4563"/>
    <w:rsid w:val="006B4C15"/>
    <w:rsid w:val="006B684D"/>
    <w:rsid w:val="006C03C4"/>
    <w:rsid w:val="006C12FC"/>
    <w:rsid w:val="006C3843"/>
    <w:rsid w:val="006C44F5"/>
    <w:rsid w:val="006C7A2D"/>
    <w:rsid w:val="006D4583"/>
    <w:rsid w:val="006D5D0D"/>
    <w:rsid w:val="006E04FF"/>
    <w:rsid w:val="006E1A3A"/>
    <w:rsid w:val="006E1EED"/>
    <w:rsid w:val="006E756F"/>
    <w:rsid w:val="006F04D2"/>
    <w:rsid w:val="006F1170"/>
    <w:rsid w:val="006F2C4A"/>
    <w:rsid w:val="006F3A20"/>
    <w:rsid w:val="00701F1A"/>
    <w:rsid w:val="00701FB0"/>
    <w:rsid w:val="007035DF"/>
    <w:rsid w:val="007078CD"/>
    <w:rsid w:val="007106E8"/>
    <w:rsid w:val="00710C49"/>
    <w:rsid w:val="00710D20"/>
    <w:rsid w:val="00711AD9"/>
    <w:rsid w:val="007131BA"/>
    <w:rsid w:val="007143AC"/>
    <w:rsid w:val="007179E3"/>
    <w:rsid w:val="007205F0"/>
    <w:rsid w:val="0072067A"/>
    <w:rsid w:val="00721F03"/>
    <w:rsid w:val="0072573B"/>
    <w:rsid w:val="0072658B"/>
    <w:rsid w:val="007305D3"/>
    <w:rsid w:val="0073089F"/>
    <w:rsid w:val="00730E0B"/>
    <w:rsid w:val="007349AF"/>
    <w:rsid w:val="00734B9B"/>
    <w:rsid w:val="007354B4"/>
    <w:rsid w:val="00736B3D"/>
    <w:rsid w:val="00737049"/>
    <w:rsid w:val="00741483"/>
    <w:rsid w:val="007422C7"/>
    <w:rsid w:val="00744EEA"/>
    <w:rsid w:val="0074576C"/>
    <w:rsid w:val="0074702A"/>
    <w:rsid w:val="007472CD"/>
    <w:rsid w:val="0075346C"/>
    <w:rsid w:val="0075468D"/>
    <w:rsid w:val="00755121"/>
    <w:rsid w:val="007562B3"/>
    <w:rsid w:val="007566D5"/>
    <w:rsid w:val="00760CA4"/>
    <w:rsid w:val="00761084"/>
    <w:rsid w:val="00761166"/>
    <w:rsid w:val="007625E2"/>
    <w:rsid w:val="007647CD"/>
    <w:rsid w:val="00764E53"/>
    <w:rsid w:val="00765DC8"/>
    <w:rsid w:val="007666EF"/>
    <w:rsid w:val="00771047"/>
    <w:rsid w:val="00772C75"/>
    <w:rsid w:val="00772E45"/>
    <w:rsid w:val="00773E29"/>
    <w:rsid w:val="00773FE5"/>
    <w:rsid w:val="007747E8"/>
    <w:rsid w:val="00776C5A"/>
    <w:rsid w:val="007815E3"/>
    <w:rsid w:val="007822EB"/>
    <w:rsid w:val="007837D5"/>
    <w:rsid w:val="007849C7"/>
    <w:rsid w:val="00791096"/>
    <w:rsid w:val="0079121F"/>
    <w:rsid w:val="00791E18"/>
    <w:rsid w:val="007937BF"/>
    <w:rsid w:val="007938E1"/>
    <w:rsid w:val="00795D61"/>
    <w:rsid w:val="0079690B"/>
    <w:rsid w:val="00797327"/>
    <w:rsid w:val="00797341"/>
    <w:rsid w:val="007A0114"/>
    <w:rsid w:val="007A216E"/>
    <w:rsid w:val="007A43DC"/>
    <w:rsid w:val="007A5CEE"/>
    <w:rsid w:val="007B13FF"/>
    <w:rsid w:val="007B2329"/>
    <w:rsid w:val="007C40A8"/>
    <w:rsid w:val="007C5078"/>
    <w:rsid w:val="007C5EF1"/>
    <w:rsid w:val="007C634D"/>
    <w:rsid w:val="007C6D2D"/>
    <w:rsid w:val="007D0120"/>
    <w:rsid w:val="007D09C3"/>
    <w:rsid w:val="007D5136"/>
    <w:rsid w:val="007E0D51"/>
    <w:rsid w:val="007E1153"/>
    <w:rsid w:val="007E1F70"/>
    <w:rsid w:val="007E3663"/>
    <w:rsid w:val="007E3C97"/>
    <w:rsid w:val="007E5684"/>
    <w:rsid w:val="007E7243"/>
    <w:rsid w:val="007F1ED2"/>
    <w:rsid w:val="007F3145"/>
    <w:rsid w:val="007F32FB"/>
    <w:rsid w:val="007F5D7A"/>
    <w:rsid w:val="00801475"/>
    <w:rsid w:val="008036F0"/>
    <w:rsid w:val="00806A69"/>
    <w:rsid w:val="00811CD4"/>
    <w:rsid w:val="0081484A"/>
    <w:rsid w:val="00815C6D"/>
    <w:rsid w:val="0081632F"/>
    <w:rsid w:val="00820AD7"/>
    <w:rsid w:val="008211B1"/>
    <w:rsid w:val="008213F8"/>
    <w:rsid w:val="00821A70"/>
    <w:rsid w:val="00823C1B"/>
    <w:rsid w:val="008244F1"/>
    <w:rsid w:val="00824A99"/>
    <w:rsid w:val="008251F4"/>
    <w:rsid w:val="00825D25"/>
    <w:rsid w:val="00825E81"/>
    <w:rsid w:val="008262F1"/>
    <w:rsid w:val="00826608"/>
    <w:rsid w:val="00827770"/>
    <w:rsid w:val="0083043A"/>
    <w:rsid w:val="00830687"/>
    <w:rsid w:val="00831555"/>
    <w:rsid w:val="0083290A"/>
    <w:rsid w:val="00833DB5"/>
    <w:rsid w:val="0083469E"/>
    <w:rsid w:val="0083484A"/>
    <w:rsid w:val="008352F7"/>
    <w:rsid w:val="00836ECE"/>
    <w:rsid w:val="0083797D"/>
    <w:rsid w:val="0084727E"/>
    <w:rsid w:val="00850EF2"/>
    <w:rsid w:val="00851D03"/>
    <w:rsid w:val="008535D6"/>
    <w:rsid w:val="00853FB9"/>
    <w:rsid w:val="0085656E"/>
    <w:rsid w:val="00856BF0"/>
    <w:rsid w:val="00863965"/>
    <w:rsid w:val="0086763A"/>
    <w:rsid w:val="008706AA"/>
    <w:rsid w:val="008708F9"/>
    <w:rsid w:val="00871C3A"/>
    <w:rsid w:val="00872CBA"/>
    <w:rsid w:val="008730A2"/>
    <w:rsid w:val="008731E1"/>
    <w:rsid w:val="00877AC7"/>
    <w:rsid w:val="008819DC"/>
    <w:rsid w:val="00881F01"/>
    <w:rsid w:val="00883AFB"/>
    <w:rsid w:val="00884A9A"/>
    <w:rsid w:val="00884E0B"/>
    <w:rsid w:val="008860E8"/>
    <w:rsid w:val="00890566"/>
    <w:rsid w:val="00892997"/>
    <w:rsid w:val="0089305A"/>
    <w:rsid w:val="0089466C"/>
    <w:rsid w:val="008A19A7"/>
    <w:rsid w:val="008A2409"/>
    <w:rsid w:val="008A35F9"/>
    <w:rsid w:val="008A40C7"/>
    <w:rsid w:val="008A56E5"/>
    <w:rsid w:val="008A6620"/>
    <w:rsid w:val="008A6725"/>
    <w:rsid w:val="008A7337"/>
    <w:rsid w:val="008B2CBC"/>
    <w:rsid w:val="008B5267"/>
    <w:rsid w:val="008B5A43"/>
    <w:rsid w:val="008C0D91"/>
    <w:rsid w:val="008C2D95"/>
    <w:rsid w:val="008C42C5"/>
    <w:rsid w:val="008C63A0"/>
    <w:rsid w:val="008C6E2B"/>
    <w:rsid w:val="008C7B0F"/>
    <w:rsid w:val="008D0103"/>
    <w:rsid w:val="008D18DD"/>
    <w:rsid w:val="008D23B7"/>
    <w:rsid w:val="008D7EC5"/>
    <w:rsid w:val="008E09C9"/>
    <w:rsid w:val="008E0DED"/>
    <w:rsid w:val="008E461F"/>
    <w:rsid w:val="008E6145"/>
    <w:rsid w:val="008E6218"/>
    <w:rsid w:val="008E628F"/>
    <w:rsid w:val="008F3F03"/>
    <w:rsid w:val="008F4BDB"/>
    <w:rsid w:val="008F5A60"/>
    <w:rsid w:val="009020C0"/>
    <w:rsid w:val="00906CAD"/>
    <w:rsid w:val="0091010C"/>
    <w:rsid w:val="00911E62"/>
    <w:rsid w:val="009120F3"/>
    <w:rsid w:val="00915446"/>
    <w:rsid w:val="00920325"/>
    <w:rsid w:val="0092141F"/>
    <w:rsid w:val="00921C97"/>
    <w:rsid w:val="0092210E"/>
    <w:rsid w:val="009228AD"/>
    <w:rsid w:val="00923CD6"/>
    <w:rsid w:val="00924379"/>
    <w:rsid w:val="00930834"/>
    <w:rsid w:val="009342A9"/>
    <w:rsid w:val="00934B44"/>
    <w:rsid w:val="009404B6"/>
    <w:rsid w:val="009424CF"/>
    <w:rsid w:val="00945E24"/>
    <w:rsid w:val="00945EB4"/>
    <w:rsid w:val="00945F3D"/>
    <w:rsid w:val="0094682C"/>
    <w:rsid w:val="009525D5"/>
    <w:rsid w:val="00955AA8"/>
    <w:rsid w:val="00957480"/>
    <w:rsid w:val="00963E0A"/>
    <w:rsid w:val="00970A33"/>
    <w:rsid w:val="00972521"/>
    <w:rsid w:val="00972945"/>
    <w:rsid w:val="00973D29"/>
    <w:rsid w:val="00974D62"/>
    <w:rsid w:val="00975322"/>
    <w:rsid w:val="0097558A"/>
    <w:rsid w:val="00976A84"/>
    <w:rsid w:val="00976CD8"/>
    <w:rsid w:val="00976E34"/>
    <w:rsid w:val="00977278"/>
    <w:rsid w:val="0098069A"/>
    <w:rsid w:val="00983A03"/>
    <w:rsid w:val="00990BC6"/>
    <w:rsid w:val="00992F7B"/>
    <w:rsid w:val="009A043C"/>
    <w:rsid w:val="009A052A"/>
    <w:rsid w:val="009A15D6"/>
    <w:rsid w:val="009A6E02"/>
    <w:rsid w:val="009A7442"/>
    <w:rsid w:val="009B5379"/>
    <w:rsid w:val="009C181C"/>
    <w:rsid w:val="009C1ACB"/>
    <w:rsid w:val="009C1C1D"/>
    <w:rsid w:val="009C36BC"/>
    <w:rsid w:val="009C410B"/>
    <w:rsid w:val="009C4C38"/>
    <w:rsid w:val="009C77B8"/>
    <w:rsid w:val="009D05C8"/>
    <w:rsid w:val="009D2DA4"/>
    <w:rsid w:val="009D39BE"/>
    <w:rsid w:val="009D4687"/>
    <w:rsid w:val="009E04B6"/>
    <w:rsid w:val="009E0A63"/>
    <w:rsid w:val="009E0EA3"/>
    <w:rsid w:val="009E3BA3"/>
    <w:rsid w:val="009E7E5D"/>
    <w:rsid w:val="009F0F3C"/>
    <w:rsid w:val="009F1396"/>
    <w:rsid w:val="009F22AF"/>
    <w:rsid w:val="009F652C"/>
    <w:rsid w:val="009F6D77"/>
    <w:rsid w:val="009F72FE"/>
    <w:rsid w:val="00A01ED8"/>
    <w:rsid w:val="00A03263"/>
    <w:rsid w:val="00A03EB1"/>
    <w:rsid w:val="00A063C2"/>
    <w:rsid w:val="00A071E5"/>
    <w:rsid w:val="00A079B8"/>
    <w:rsid w:val="00A115EC"/>
    <w:rsid w:val="00A13C39"/>
    <w:rsid w:val="00A15911"/>
    <w:rsid w:val="00A15D9E"/>
    <w:rsid w:val="00A16682"/>
    <w:rsid w:val="00A2237A"/>
    <w:rsid w:val="00A25A74"/>
    <w:rsid w:val="00A27774"/>
    <w:rsid w:val="00A27D7C"/>
    <w:rsid w:val="00A33A2B"/>
    <w:rsid w:val="00A35928"/>
    <w:rsid w:val="00A50284"/>
    <w:rsid w:val="00A51426"/>
    <w:rsid w:val="00A5154C"/>
    <w:rsid w:val="00A61B74"/>
    <w:rsid w:val="00A659AF"/>
    <w:rsid w:val="00A66876"/>
    <w:rsid w:val="00A66888"/>
    <w:rsid w:val="00A70384"/>
    <w:rsid w:val="00A7124A"/>
    <w:rsid w:val="00A719DE"/>
    <w:rsid w:val="00A726AB"/>
    <w:rsid w:val="00A734B9"/>
    <w:rsid w:val="00A73659"/>
    <w:rsid w:val="00A76024"/>
    <w:rsid w:val="00A7799C"/>
    <w:rsid w:val="00A91899"/>
    <w:rsid w:val="00A91EB2"/>
    <w:rsid w:val="00A92E2A"/>
    <w:rsid w:val="00A94CAE"/>
    <w:rsid w:val="00A96150"/>
    <w:rsid w:val="00A9680B"/>
    <w:rsid w:val="00A9683E"/>
    <w:rsid w:val="00AA0D70"/>
    <w:rsid w:val="00AA5D95"/>
    <w:rsid w:val="00AB3EC2"/>
    <w:rsid w:val="00AB5B43"/>
    <w:rsid w:val="00AB6CF4"/>
    <w:rsid w:val="00AC0647"/>
    <w:rsid w:val="00AC0D2B"/>
    <w:rsid w:val="00AC1D0B"/>
    <w:rsid w:val="00AC2A06"/>
    <w:rsid w:val="00AC5E84"/>
    <w:rsid w:val="00AD0CF7"/>
    <w:rsid w:val="00AD1A85"/>
    <w:rsid w:val="00AD23EC"/>
    <w:rsid w:val="00AD4A2F"/>
    <w:rsid w:val="00AD684B"/>
    <w:rsid w:val="00AD6ADF"/>
    <w:rsid w:val="00AD74FD"/>
    <w:rsid w:val="00AD7500"/>
    <w:rsid w:val="00AE38E8"/>
    <w:rsid w:val="00AE4E9F"/>
    <w:rsid w:val="00AE68A8"/>
    <w:rsid w:val="00AE7A11"/>
    <w:rsid w:val="00AF066E"/>
    <w:rsid w:val="00AF3522"/>
    <w:rsid w:val="00AF3B92"/>
    <w:rsid w:val="00AF4274"/>
    <w:rsid w:val="00B00926"/>
    <w:rsid w:val="00B021BA"/>
    <w:rsid w:val="00B032E1"/>
    <w:rsid w:val="00B0798A"/>
    <w:rsid w:val="00B11DB7"/>
    <w:rsid w:val="00B1295A"/>
    <w:rsid w:val="00B16E51"/>
    <w:rsid w:val="00B20A85"/>
    <w:rsid w:val="00B21032"/>
    <w:rsid w:val="00B2277C"/>
    <w:rsid w:val="00B23D77"/>
    <w:rsid w:val="00B25F0C"/>
    <w:rsid w:val="00B32C95"/>
    <w:rsid w:val="00B35109"/>
    <w:rsid w:val="00B36522"/>
    <w:rsid w:val="00B37FA9"/>
    <w:rsid w:val="00B41720"/>
    <w:rsid w:val="00B42FBF"/>
    <w:rsid w:val="00B43F70"/>
    <w:rsid w:val="00B44DD9"/>
    <w:rsid w:val="00B451F5"/>
    <w:rsid w:val="00B51DAC"/>
    <w:rsid w:val="00B52A01"/>
    <w:rsid w:val="00B53A31"/>
    <w:rsid w:val="00B54A91"/>
    <w:rsid w:val="00B553EE"/>
    <w:rsid w:val="00B5648D"/>
    <w:rsid w:val="00B56C61"/>
    <w:rsid w:val="00B6427A"/>
    <w:rsid w:val="00B672DA"/>
    <w:rsid w:val="00B70A84"/>
    <w:rsid w:val="00B71994"/>
    <w:rsid w:val="00B734A0"/>
    <w:rsid w:val="00B739FB"/>
    <w:rsid w:val="00B80C5D"/>
    <w:rsid w:val="00B85A6A"/>
    <w:rsid w:val="00B9462F"/>
    <w:rsid w:val="00B94882"/>
    <w:rsid w:val="00B96810"/>
    <w:rsid w:val="00BA2C9F"/>
    <w:rsid w:val="00BA6578"/>
    <w:rsid w:val="00BB4BA4"/>
    <w:rsid w:val="00BB664E"/>
    <w:rsid w:val="00BB6921"/>
    <w:rsid w:val="00BC3964"/>
    <w:rsid w:val="00BC4296"/>
    <w:rsid w:val="00BC462B"/>
    <w:rsid w:val="00BC63FF"/>
    <w:rsid w:val="00BC7479"/>
    <w:rsid w:val="00BC7CAE"/>
    <w:rsid w:val="00BD06A2"/>
    <w:rsid w:val="00BD517E"/>
    <w:rsid w:val="00BD542B"/>
    <w:rsid w:val="00BD7641"/>
    <w:rsid w:val="00BE2667"/>
    <w:rsid w:val="00BE54CE"/>
    <w:rsid w:val="00BE5B30"/>
    <w:rsid w:val="00BE6AE8"/>
    <w:rsid w:val="00BE73E4"/>
    <w:rsid w:val="00BE7814"/>
    <w:rsid w:val="00BF23A4"/>
    <w:rsid w:val="00BF256D"/>
    <w:rsid w:val="00BF2E18"/>
    <w:rsid w:val="00BF33BE"/>
    <w:rsid w:val="00BF4BD0"/>
    <w:rsid w:val="00BF6284"/>
    <w:rsid w:val="00BF72C1"/>
    <w:rsid w:val="00C01567"/>
    <w:rsid w:val="00C01845"/>
    <w:rsid w:val="00C027AA"/>
    <w:rsid w:val="00C05EE2"/>
    <w:rsid w:val="00C06AC4"/>
    <w:rsid w:val="00C06E88"/>
    <w:rsid w:val="00C0717C"/>
    <w:rsid w:val="00C07743"/>
    <w:rsid w:val="00C10506"/>
    <w:rsid w:val="00C11A8A"/>
    <w:rsid w:val="00C1393C"/>
    <w:rsid w:val="00C14F53"/>
    <w:rsid w:val="00C2060D"/>
    <w:rsid w:val="00C2728F"/>
    <w:rsid w:val="00C27369"/>
    <w:rsid w:val="00C27AA9"/>
    <w:rsid w:val="00C309BB"/>
    <w:rsid w:val="00C320C9"/>
    <w:rsid w:val="00C3364C"/>
    <w:rsid w:val="00C354EA"/>
    <w:rsid w:val="00C360E8"/>
    <w:rsid w:val="00C37A8E"/>
    <w:rsid w:val="00C400C2"/>
    <w:rsid w:val="00C400DE"/>
    <w:rsid w:val="00C41BDD"/>
    <w:rsid w:val="00C44062"/>
    <w:rsid w:val="00C44FD4"/>
    <w:rsid w:val="00C474FD"/>
    <w:rsid w:val="00C50A17"/>
    <w:rsid w:val="00C52240"/>
    <w:rsid w:val="00C53734"/>
    <w:rsid w:val="00C61253"/>
    <w:rsid w:val="00C625F7"/>
    <w:rsid w:val="00C63B52"/>
    <w:rsid w:val="00C63DCC"/>
    <w:rsid w:val="00C6761D"/>
    <w:rsid w:val="00C717E6"/>
    <w:rsid w:val="00C71C73"/>
    <w:rsid w:val="00C729B1"/>
    <w:rsid w:val="00C73FBE"/>
    <w:rsid w:val="00C7563D"/>
    <w:rsid w:val="00C81146"/>
    <w:rsid w:val="00C82399"/>
    <w:rsid w:val="00C83C64"/>
    <w:rsid w:val="00C85967"/>
    <w:rsid w:val="00C86065"/>
    <w:rsid w:val="00C87333"/>
    <w:rsid w:val="00C90974"/>
    <w:rsid w:val="00C93ED0"/>
    <w:rsid w:val="00C95B6E"/>
    <w:rsid w:val="00CA00D0"/>
    <w:rsid w:val="00CA368A"/>
    <w:rsid w:val="00CA3C23"/>
    <w:rsid w:val="00CA5F56"/>
    <w:rsid w:val="00CB0581"/>
    <w:rsid w:val="00CB129B"/>
    <w:rsid w:val="00CB1EFA"/>
    <w:rsid w:val="00CC260B"/>
    <w:rsid w:val="00CC3FE7"/>
    <w:rsid w:val="00CC58B6"/>
    <w:rsid w:val="00CC672B"/>
    <w:rsid w:val="00CD05DB"/>
    <w:rsid w:val="00CD38B8"/>
    <w:rsid w:val="00CD7CDF"/>
    <w:rsid w:val="00CE4C93"/>
    <w:rsid w:val="00CE60E6"/>
    <w:rsid w:val="00CE6BC1"/>
    <w:rsid w:val="00CE7533"/>
    <w:rsid w:val="00CE7DF5"/>
    <w:rsid w:val="00CF58A5"/>
    <w:rsid w:val="00CF6ED5"/>
    <w:rsid w:val="00CF7426"/>
    <w:rsid w:val="00CF793C"/>
    <w:rsid w:val="00D03CAC"/>
    <w:rsid w:val="00D06DC3"/>
    <w:rsid w:val="00D10DA4"/>
    <w:rsid w:val="00D11E94"/>
    <w:rsid w:val="00D150C0"/>
    <w:rsid w:val="00D1706D"/>
    <w:rsid w:val="00D2482C"/>
    <w:rsid w:val="00D26047"/>
    <w:rsid w:val="00D26260"/>
    <w:rsid w:val="00D27664"/>
    <w:rsid w:val="00D30CB3"/>
    <w:rsid w:val="00D32157"/>
    <w:rsid w:val="00D3271E"/>
    <w:rsid w:val="00D337D4"/>
    <w:rsid w:val="00D34A71"/>
    <w:rsid w:val="00D352FA"/>
    <w:rsid w:val="00D35F8B"/>
    <w:rsid w:val="00D41224"/>
    <w:rsid w:val="00D51521"/>
    <w:rsid w:val="00D5275D"/>
    <w:rsid w:val="00D534AA"/>
    <w:rsid w:val="00D56710"/>
    <w:rsid w:val="00D63DAF"/>
    <w:rsid w:val="00D650D2"/>
    <w:rsid w:val="00D65738"/>
    <w:rsid w:val="00D67677"/>
    <w:rsid w:val="00D67DC1"/>
    <w:rsid w:val="00D70A44"/>
    <w:rsid w:val="00D70FA0"/>
    <w:rsid w:val="00D7229B"/>
    <w:rsid w:val="00D73038"/>
    <w:rsid w:val="00D7369E"/>
    <w:rsid w:val="00D73E78"/>
    <w:rsid w:val="00D76AD7"/>
    <w:rsid w:val="00D80E26"/>
    <w:rsid w:val="00D81C1C"/>
    <w:rsid w:val="00D837BF"/>
    <w:rsid w:val="00D84C76"/>
    <w:rsid w:val="00D858E5"/>
    <w:rsid w:val="00D86307"/>
    <w:rsid w:val="00D869A8"/>
    <w:rsid w:val="00D916AC"/>
    <w:rsid w:val="00D918A6"/>
    <w:rsid w:val="00D9305B"/>
    <w:rsid w:val="00DA26D0"/>
    <w:rsid w:val="00DA4544"/>
    <w:rsid w:val="00DB0432"/>
    <w:rsid w:val="00DB08CB"/>
    <w:rsid w:val="00DB0A16"/>
    <w:rsid w:val="00DB1996"/>
    <w:rsid w:val="00DB265F"/>
    <w:rsid w:val="00DB4AFD"/>
    <w:rsid w:val="00DB4D45"/>
    <w:rsid w:val="00DB5A97"/>
    <w:rsid w:val="00DB7390"/>
    <w:rsid w:val="00DB7C4F"/>
    <w:rsid w:val="00DB7D80"/>
    <w:rsid w:val="00DB7DB2"/>
    <w:rsid w:val="00DC2FD4"/>
    <w:rsid w:val="00DC4014"/>
    <w:rsid w:val="00DC4703"/>
    <w:rsid w:val="00DC5D15"/>
    <w:rsid w:val="00DC5ECC"/>
    <w:rsid w:val="00DD0006"/>
    <w:rsid w:val="00DD0043"/>
    <w:rsid w:val="00DD0962"/>
    <w:rsid w:val="00DD2C9B"/>
    <w:rsid w:val="00DD2E39"/>
    <w:rsid w:val="00DD421F"/>
    <w:rsid w:val="00DE1770"/>
    <w:rsid w:val="00DE256C"/>
    <w:rsid w:val="00DE37F3"/>
    <w:rsid w:val="00DE54BA"/>
    <w:rsid w:val="00DE56B8"/>
    <w:rsid w:val="00DE5788"/>
    <w:rsid w:val="00DE6419"/>
    <w:rsid w:val="00DF021B"/>
    <w:rsid w:val="00DF0CC1"/>
    <w:rsid w:val="00DF3D76"/>
    <w:rsid w:val="00DF6CF4"/>
    <w:rsid w:val="00E01991"/>
    <w:rsid w:val="00E0362C"/>
    <w:rsid w:val="00E073DB"/>
    <w:rsid w:val="00E114D8"/>
    <w:rsid w:val="00E205BF"/>
    <w:rsid w:val="00E21CFF"/>
    <w:rsid w:val="00E22B9B"/>
    <w:rsid w:val="00E25A0A"/>
    <w:rsid w:val="00E25EBD"/>
    <w:rsid w:val="00E273B8"/>
    <w:rsid w:val="00E27ED9"/>
    <w:rsid w:val="00E3058B"/>
    <w:rsid w:val="00E313FC"/>
    <w:rsid w:val="00E33974"/>
    <w:rsid w:val="00E425A5"/>
    <w:rsid w:val="00E43A83"/>
    <w:rsid w:val="00E443CA"/>
    <w:rsid w:val="00E47293"/>
    <w:rsid w:val="00E55B8B"/>
    <w:rsid w:val="00E56B1E"/>
    <w:rsid w:val="00E60F49"/>
    <w:rsid w:val="00E62A46"/>
    <w:rsid w:val="00E63232"/>
    <w:rsid w:val="00E64032"/>
    <w:rsid w:val="00E64666"/>
    <w:rsid w:val="00E65B0F"/>
    <w:rsid w:val="00E6683B"/>
    <w:rsid w:val="00E66CB9"/>
    <w:rsid w:val="00E6716A"/>
    <w:rsid w:val="00E67332"/>
    <w:rsid w:val="00E71E65"/>
    <w:rsid w:val="00E73804"/>
    <w:rsid w:val="00E73EFA"/>
    <w:rsid w:val="00E763A7"/>
    <w:rsid w:val="00E83195"/>
    <w:rsid w:val="00E8404B"/>
    <w:rsid w:val="00E84B76"/>
    <w:rsid w:val="00E90F62"/>
    <w:rsid w:val="00E928A4"/>
    <w:rsid w:val="00E93C52"/>
    <w:rsid w:val="00E93D51"/>
    <w:rsid w:val="00E945F9"/>
    <w:rsid w:val="00E95678"/>
    <w:rsid w:val="00E95A6D"/>
    <w:rsid w:val="00E95FD6"/>
    <w:rsid w:val="00E9687D"/>
    <w:rsid w:val="00E97370"/>
    <w:rsid w:val="00E97C7E"/>
    <w:rsid w:val="00EA37D1"/>
    <w:rsid w:val="00EA51D9"/>
    <w:rsid w:val="00EA5E5C"/>
    <w:rsid w:val="00EA63C6"/>
    <w:rsid w:val="00EA6846"/>
    <w:rsid w:val="00EA6E0B"/>
    <w:rsid w:val="00EA750E"/>
    <w:rsid w:val="00EA7BA5"/>
    <w:rsid w:val="00EB2309"/>
    <w:rsid w:val="00EB2959"/>
    <w:rsid w:val="00EB5258"/>
    <w:rsid w:val="00EB5D18"/>
    <w:rsid w:val="00EC2E35"/>
    <w:rsid w:val="00EC5414"/>
    <w:rsid w:val="00EC6E5E"/>
    <w:rsid w:val="00EC731E"/>
    <w:rsid w:val="00EC7384"/>
    <w:rsid w:val="00EC799C"/>
    <w:rsid w:val="00ED0FB4"/>
    <w:rsid w:val="00ED10C0"/>
    <w:rsid w:val="00ED6EFE"/>
    <w:rsid w:val="00EE0D3F"/>
    <w:rsid w:val="00EE0D6D"/>
    <w:rsid w:val="00EE1CB1"/>
    <w:rsid w:val="00EE3C25"/>
    <w:rsid w:val="00EE43AC"/>
    <w:rsid w:val="00EE51B2"/>
    <w:rsid w:val="00EE5849"/>
    <w:rsid w:val="00EE5997"/>
    <w:rsid w:val="00EE5F5E"/>
    <w:rsid w:val="00EE6A6E"/>
    <w:rsid w:val="00EE6F57"/>
    <w:rsid w:val="00EE7481"/>
    <w:rsid w:val="00EE7698"/>
    <w:rsid w:val="00EE7D8F"/>
    <w:rsid w:val="00EF1E53"/>
    <w:rsid w:val="00EF33DB"/>
    <w:rsid w:val="00EF6107"/>
    <w:rsid w:val="00F00128"/>
    <w:rsid w:val="00F05999"/>
    <w:rsid w:val="00F05C76"/>
    <w:rsid w:val="00F05D02"/>
    <w:rsid w:val="00F06782"/>
    <w:rsid w:val="00F06F72"/>
    <w:rsid w:val="00F0742A"/>
    <w:rsid w:val="00F0785B"/>
    <w:rsid w:val="00F07DB0"/>
    <w:rsid w:val="00F2080F"/>
    <w:rsid w:val="00F210DD"/>
    <w:rsid w:val="00F22943"/>
    <w:rsid w:val="00F24C8F"/>
    <w:rsid w:val="00F31471"/>
    <w:rsid w:val="00F335EC"/>
    <w:rsid w:val="00F35AA3"/>
    <w:rsid w:val="00F35D4D"/>
    <w:rsid w:val="00F365B5"/>
    <w:rsid w:val="00F374BD"/>
    <w:rsid w:val="00F40D32"/>
    <w:rsid w:val="00F424FB"/>
    <w:rsid w:val="00F46BD6"/>
    <w:rsid w:val="00F472C3"/>
    <w:rsid w:val="00F47C9F"/>
    <w:rsid w:val="00F47FA2"/>
    <w:rsid w:val="00F50C15"/>
    <w:rsid w:val="00F51E96"/>
    <w:rsid w:val="00F55BE9"/>
    <w:rsid w:val="00F56B5B"/>
    <w:rsid w:val="00F5750E"/>
    <w:rsid w:val="00F57B8C"/>
    <w:rsid w:val="00F6149D"/>
    <w:rsid w:val="00F65432"/>
    <w:rsid w:val="00F6589B"/>
    <w:rsid w:val="00F66137"/>
    <w:rsid w:val="00F70B4D"/>
    <w:rsid w:val="00F8163B"/>
    <w:rsid w:val="00F81A52"/>
    <w:rsid w:val="00F8289A"/>
    <w:rsid w:val="00F82CF6"/>
    <w:rsid w:val="00F830ED"/>
    <w:rsid w:val="00F83112"/>
    <w:rsid w:val="00F8358C"/>
    <w:rsid w:val="00F83A87"/>
    <w:rsid w:val="00F83ECF"/>
    <w:rsid w:val="00F87DF1"/>
    <w:rsid w:val="00F91460"/>
    <w:rsid w:val="00F935A4"/>
    <w:rsid w:val="00F9521C"/>
    <w:rsid w:val="00FA71DA"/>
    <w:rsid w:val="00FB04B4"/>
    <w:rsid w:val="00FB098F"/>
    <w:rsid w:val="00FB16BD"/>
    <w:rsid w:val="00FB320D"/>
    <w:rsid w:val="00FB4096"/>
    <w:rsid w:val="00FC1942"/>
    <w:rsid w:val="00FC5D59"/>
    <w:rsid w:val="00FC64FC"/>
    <w:rsid w:val="00FC6C93"/>
    <w:rsid w:val="00FD0E5B"/>
    <w:rsid w:val="00FD2A50"/>
    <w:rsid w:val="00FD4045"/>
    <w:rsid w:val="00FD60A0"/>
    <w:rsid w:val="00FE09E9"/>
    <w:rsid w:val="00FE136C"/>
    <w:rsid w:val="00FE1441"/>
    <w:rsid w:val="00FE348E"/>
    <w:rsid w:val="00FE5CCF"/>
    <w:rsid w:val="00FE6525"/>
    <w:rsid w:val="00FE6D9A"/>
    <w:rsid w:val="00FE6E0C"/>
    <w:rsid w:val="00FF2FB7"/>
    <w:rsid w:val="00FF5797"/>
    <w:rsid w:val="00FF71DD"/>
    <w:rsid w:val="00FF7C64"/>
    <w:rsid w:val="00FF7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13922"/>
  <w15:chartTrackingRefBased/>
  <w15:docId w15:val="{5CDA2D6B-475B-4D1A-8ADB-E1936C474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D3552"/>
    <w:pPr>
      <w:keepNext/>
      <w:keepLines/>
      <w:spacing w:before="360" w:after="80"/>
      <w:outlineLvl w:val="0"/>
    </w:pPr>
    <w:rPr>
      <w:rFonts w:ascii="Times New Roman" w:eastAsiaTheme="majorEastAsia" w:hAnsi="Times New Roman" w:cstheme="majorBidi"/>
      <w:b/>
      <w:sz w:val="24"/>
      <w:szCs w:val="40"/>
    </w:rPr>
  </w:style>
  <w:style w:type="paragraph" w:styleId="Heading2">
    <w:name w:val="heading 2"/>
    <w:basedOn w:val="Normal"/>
    <w:next w:val="Normal"/>
    <w:link w:val="Heading2Char"/>
    <w:uiPriority w:val="9"/>
    <w:unhideWhenUsed/>
    <w:qFormat/>
    <w:rsid w:val="00B365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52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52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52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5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5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5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5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3552"/>
    <w:rPr>
      <w:rFonts w:ascii="Times New Roman" w:eastAsiaTheme="majorEastAsia" w:hAnsi="Times New Roman" w:cstheme="majorBidi"/>
      <w:b/>
      <w:sz w:val="24"/>
      <w:szCs w:val="40"/>
    </w:rPr>
  </w:style>
  <w:style w:type="character" w:customStyle="1" w:styleId="Heading2Char">
    <w:name w:val="Heading 2 Char"/>
    <w:basedOn w:val="DefaultParagraphFont"/>
    <w:link w:val="Heading2"/>
    <w:uiPriority w:val="9"/>
    <w:rsid w:val="00B3652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52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52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52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5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5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5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522"/>
    <w:rPr>
      <w:rFonts w:eastAsiaTheme="majorEastAsia" w:cstheme="majorBidi"/>
      <w:color w:val="272727" w:themeColor="text1" w:themeTint="D8"/>
    </w:rPr>
  </w:style>
  <w:style w:type="paragraph" w:styleId="Title">
    <w:name w:val="Title"/>
    <w:basedOn w:val="Normal"/>
    <w:next w:val="Normal"/>
    <w:link w:val="TitleChar"/>
    <w:uiPriority w:val="10"/>
    <w:qFormat/>
    <w:rsid w:val="00B365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5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5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5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522"/>
    <w:pPr>
      <w:spacing w:before="160"/>
      <w:jc w:val="center"/>
    </w:pPr>
    <w:rPr>
      <w:i/>
      <w:iCs/>
      <w:color w:val="404040" w:themeColor="text1" w:themeTint="BF"/>
    </w:rPr>
  </w:style>
  <w:style w:type="character" w:customStyle="1" w:styleId="QuoteChar">
    <w:name w:val="Quote Char"/>
    <w:basedOn w:val="DefaultParagraphFont"/>
    <w:link w:val="Quote"/>
    <w:uiPriority w:val="29"/>
    <w:rsid w:val="00B36522"/>
    <w:rPr>
      <w:i/>
      <w:iCs/>
      <w:color w:val="404040" w:themeColor="text1" w:themeTint="BF"/>
    </w:rPr>
  </w:style>
  <w:style w:type="paragraph" w:styleId="ListParagraph">
    <w:name w:val="List Paragraph"/>
    <w:basedOn w:val="Normal"/>
    <w:uiPriority w:val="34"/>
    <w:qFormat/>
    <w:rsid w:val="00B36522"/>
    <w:pPr>
      <w:ind w:left="720"/>
      <w:contextualSpacing/>
    </w:pPr>
  </w:style>
  <w:style w:type="character" w:styleId="IntenseEmphasis">
    <w:name w:val="Intense Emphasis"/>
    <w:basedOn w:val="DefaultParagraphFont"/>
    <w:uiPriority w:val="21"/>
    <w:qFormat/>
    <w:rsid w:val="00B36522"/>
    <w:rPr>
      <w:i/>
      <w:iCs/>
      <w:color w:val="0F4761" w:themeColor="accent1" w:themeShade="BF"/>
    </w:rPr>
  </w:style>
  <w:style w:type="paragraph" w:styleId="IntenseQuote">
    <w:name w:val="Intense Quote"/>
    <w:basedOn w:val="Normal"/>
    <w:next w:val="Normal"/>
    <w:link w:val="IntenseQuoteChar"/>
    <w:uiPriority w:val="30"/>
    <w:qFormat/>
    <w:rsid w:val="00B365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522"/>
    <w:rPr>
      <w:i/>
      <w:iCs/>
      <w:color w:val="0F4761" w:themeColor="accent1" w:themeShade="BF"/>
    </w:rPr>
  </w:style>
  <w:style w:type="character" w:styleId="IntenseReference">
    <w:name w:val="Intense Reference"/>
    <w:basedOn w:val="DefaultParagraphFont"/>
    <w:uiPriority w:val="32"/>
    <w:qFormat/>
    <w:rsid w:val="00B3652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902509">
      <w:bodyDiv w:val="1"/>
      <w:marLeft w:val="0"/>
      <w:marRight w:val="0"/>
      <w:marTop w:val="0"/>
      <w:marBottom w:val="0"/>
      <w:divBdr>
        <w:top w:val="none" w:sz="0" w:space="0" w:color="auto"/>
        <w:left w:val="none" w:sz="0" w:space="0" w:color="auto"/>
        <w:bottom w:val="none" w:sz="0" w:space="0" w:color="auto"/>
        <w:right w:val="none" w:sz="0" w:space="0" w:color="auto"/>
      </w:divBdr>
    </w:div>
    <w:div w:id="909922675">
      <w:bodyDiv w:val="1"/>
      <w:marLeft w:val="0"/>
      <w:marRight w:val="0"/>
      <w:marTop w:val="0"/>
      <w:marBottom w:val="0"/>
      <w:divBdr>
        <w:top w:val="none" w:sz="0" w:space="0" w:color="auto"/>
        <w:left w:val="none" w:sz="0" w:space="0" w:color="auto"/>
        <w:bottom w:val="none" w:sz="0" w:space="0" w:color="auto"/>
        <w:right w:val="none" w:sz="0" w:space="0" w:color="auto"/>
      </w:divBdr>
    </w:div>
    <w:div w:id="1696806451">
      <w:bodyDiv w:val="1"/>
      <w:marLeft w:val="0"/>
      <w:marRight w:val="0"/>
      <w:marTop w:val="0"/>
      <w:marBottom w:val="0"/>
      <w:divBdr>
        <w:top w:val="none" w:sz="0" w:space="0" w:color="auto"/>
        <w:left w:val="none" w:sz="0" w:space="0" w:color="auto"/>
        <w:bottom w:val="none" w:sz="0" w:space="0" w:color="auto"/>
        <w:right w:val="none" w:sz="0" w:space="0" w:color="auto"/>
      </w:divBdr>
    </w:div>
    <w:div w:id="212580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10" Type="http://schemas.openxmlformats.org/officeDocument/2006/relationships/image" Target="media/image6.jpe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58C32D-C987-4E7F-AA7F-3DBC9A8A6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22</Pages>
  <Words>6413</Words>
  <Characters>36560</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L</dc:creator>
  <cp:keywords/>
  <dc:description/>
  <cp:lastModifiedBy>Alex L</cp:lastModifiedBy>
  <cp:revision>4</cp:revision>
  <dcterms:created xsi:type="dcterms:W3CDTF">2024-11-26T23:15:00Z</dcterms:created>
  <dcterms:modified xsi:type="dcterms:W3CDTF">2024-11-27T04:11:00Z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id="n9WadDC9"/&gt;&lt;style id="http://www.zotero.org/styles/paleobiology" hasBibliography="1" bibliographyStyleHasBeenSet="0"/&gt;&lt;prefs&gt;&lt;pref name="fieldType" value="Field"/&gt;&lt;/prefs&gt;&lt;/data&gt;</vt:lpwstr>
  </property>
</Properties>
</file>