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06B91F" w14:textId="77777777" w:rsidR="00907D32" w:rsidRDefault="00907D32" w:rsidP="00907D32">
      <w:pPr>
        <w:jc w:val="center"/>
      </w:pPr>
      <w:r w:rsidRPr="00AD72B1">
        <w:t>Impact of the Implementation of the Croup Clinical Standard Work Pathway in the Urgent Care and Emergency Department Settings in an Academic Pediatric Center</w:t>
      </w:r>
    </w:p>
    <w:p w14:paraId="761C89FC" w14:textId="77777777" w:rsidR="007E5671" w:rsidRDefault="007E5671" w:rsidP="007E5671">
      <w:pPr>
        <w:jc w:val="center"/>
      </w:pPr>
    </w:p>
    <w:p w14:paraId="3FE67186" w14:textId="77777777" w:rsidR="007E5671" w:rsidRDefault="007E5671" w:rsidP="007E5671">
      <w:pPr>
        <w:jc w:val="center"/>
      </w:pPr>
      <w:r>
        <w:t>Jeanne Mouiche Anyouzoa</w:t>
      </w:r>
    </w:p>
    <w:p w14:paraId="069DE797" w14:textId="77777777" w:rsidR="007E5671" w:rsidRDefault="007E5671" w:rsidP="007E5671">
      <w:pPr>
        <w:jc w:val="center"/>
      </w:pPr>
    </w:p>
    <w:p w14:paraId="72CA5163" w14:textId="77777777" w:rsidR="007E5671" w:rsidRDefault="007E5671" w:rsidP="007E5671">
      <w:pPr>
        <w:jc w:val="center"/>
      </w:pPr>
    </w:p>
    <w:p w14:paraId="56A13262" w14:textId="77777777" w:rsidR="007E5671" w:rsidRDefault="007E5671" w:rsidP="007E5671">
      <w:pPr>
        <w:jc w:val="center"/>
      </w:pPr>
      <w:r>
        <w:t>A thesis</w:t>
      </w:r>
    </w:p>
    <w:p w14:paraId="0116B757" w14:textId="77777777" w:rsidR="007E5671" w:rsidRDefault="007E5671" w:rsidP="007E5671">
      <w:pPr>
        <w:jc w:val="center"/>
      </w:pPr>
      <w:r>
        <w:t xml:space="preserve">submitted in partial fulfilment of the </w:t>
      </w:r>
    </w:p>
    <w:p w14:paraId="5F8440FF" w14:textId="77777777" w:rsidR="007E5671" w:rsidRDefault="007E5671" w:rsidP="007E5671">
      <w:pPr>
        <w:jc w:val="center"/>
      </w:pPr>
      <w:r>
        <w:t>Requirements for the degree of</w:t>
      </w:r>
    </w:p>
    <w:p w14:paraId="6FBE5FE9" w14:textId="77777777" w:rsidR="007E5671" w:rsidRDefault="007E5671" w:rsidP="007E5671">
      <w:pPr>
        <w:jc w:val="center"/>
      </w:pPr>
    </w:p>
    <w:p w14:paraId="75725AD0" w14:textId="77777777" w:rsidR="007E5671" w:rsidRDefault="007E5671" w:rsidP="007E5671">
      <w:pPr>
        <w:jc w:val="center"/>
      </w:pPr>
    </w:p>
    <w:p w14:paraId="3F12D06E" w14:textId="77777777" w:rsidR="007E5671" w:rsidRDefault="007E5671" w:rsidP="007E5671">
      <w:pPr>
        <w:jc w:val="center"/>
      </w:pPr>
      <w:r>
        <w:t>Master of Public Health</w:t>
      </w:r>
    </w:p>
    <w:p w14:paraId="4FD2D0F8" w14:textId="77777777" w:rsidR="007E5671" w:rsidRDefault="007E5671" w:rsidP="007E5671">
      <w:pPr>
        <w:jc w:val="center"/>
      </w:pPr>
    </w:p>
    <w:p w14:paraId="65A79F18" w14:textId="77777777" w:rsidR="007E5671" w:rsidRDefault="007E5671" w:rsidP="007E5671">
      <w:pPr>
        <w:jc w:val="center"/>
      </w:pPr>
    </w:p>
    <w:p w14:paraId="6A8F5639" w14:textId="77777777" w:rsidR="007E5671" w:rsidRDefault="007E5671" w:rsidP="007E5671">
      <w:pPr>
        <w:jc w:val="center"/>
      </w:pPr>
      <w:r>
        <w:t>University of Washington</w:t>
      </w:r>
    </w:p>
    <w:p w14:paraId="17EBC83D" w14:textId="77777777" w:rsidR="007E5671" w:rsidRDefault="007E5671" w:rsidP="007E5671">
      <w:pPr>
        <w:jc w:val="center"/>
      </w:pPr>
      <w:r>
        <w:t>2018</w:t>
      </w:r>
    </w:p>
    <w:p w14:paraId="4B6D857B" w14:textId="77777777" w:rsidR="007E5671" w:rsidRDefault="007E5671" w:rsidP="007E5671">
      <w:pPr>
        <w:jc w:val="center"/>
      </w:pPr>
    </w:p>
    <w:p w14:paraId="43A697CD" w14:textId="77777777" w:rsidR="007E5671" w:rsidRDefault="007E5671" w:rsidP="007E5671">
      <w:pPr>
        <w:jc w:val="center"/>
      </w:pPr>
    </w:p>
    <w:p w14:paraId="691A5E53" w14:textId="77777777" w:rsidR="007E5671" w:rsidRDefault="007E5671" w:rsidP="007E5671">
      <w:pPr>
        <w:jc w:val="center"/>
      </w:pPr>
      <w:r>
        <w:t>Committee:</w:t>
      </w:r>
    </w:p>
    <w:p w14:paraId="33A1819A" w14:textId="77777777" w:rsidR="007E5671" w:rsidRDefault="007E5671" w:rsidP="007E5671">
      <w:pPr>
        <w:jc w:val="center"/>
      </w:pPr>
      <w:r>
        <w:t>Mark Oberle</w:t>
      </w:r>
    </w:p>
    <w:p w14:paraId="55F5B68D" w14:textId="77777777" w:rsidR="007E5671" w:rsidRDefault="007E5671" w:rsidP="007E5671">
      <w:pPr>
        <w:jc w:val="center"/>
      </w:pPr>
      <w:r>
        <w:t>Usha Sankrithi</w:t>
      </w:r>
    </w:p>
    <w:p w14:paraId="4E69359C" w14:textId="77777777" w:rsidR="007E5671" w:rsidRDefault="007E5671" w:rsidP="007E5671">
      <w:pPr>
        <w:jc w:val="center"/>
      </w:pPr>
      <w:r>
        <w:t>Julianne Bishop</w:t>
      </w:r>
    </w:p>
    <w:p w14:paraId="353A7B36" w14:textId="77777777" w:rsidR="007E5671" w:rsidRDefault="007E5671" w:rsidP="007E5671"/>
    <w:p w14:paraId="1F95A2C8" w14:textId="77777777" w:rsidR="007E5671" w:rsidRDefault="007E5671" w:rsidP="007E5671">
      <w:pPr>
        <w:jc w:val="center"/>
      </w:pPr>
    </w:p>
    <w:p w14:paraId="4A92962B" w14:textId="77777777" w:rsidR="007E5671" w:rsidRDefault="007E5671" w:rsidP="007E5671">
      <w:pPr>
        <w:jc w:val="center"/>
      </w:pPr>
      <w:r>
        <w:t>Program Authorized to Offer Degree:</w:t>
      </w:r>
    </w:p>
    <w:p w14:paraId="7497BC58" w14:textId="77777777" w:rsidR="007E5671" w:rsidRDefault="007E5671" w:rsidP="007E5671">
      <w:pPr>
        <w:jc w:val="center"/>
      </w:pPr>
      <w:r>
        <w:t>School of Public Health</w:t>
      </w:r>
    </w:p>
    <w:p w14:paraId="7BF90383" w14:textId="7C217C2B" w:rsidR="007E5671" w:rsidRDefault="007E5671">
      <w:r>
        <w:br w:type="page"/>
      </w:r>
    </w:p>
    <w:p w14:paraId="5A26E6B2" w14:textId="166D58EC" w:rsidR="005B4484" w:rsidRDefault="005B4484" w:rsidP="005B4484">
      <w:pPr>
        <w:jc w:val="center"/>
      </w:pPr>
      <w:r>
        <w:lastRenderedPageBreak/>
        <w:t>©Copyright 2018</w:t>
      </w:r>
    </w:p>
    <w:p w14:paraId="216D1AB9" w14:textId="77777777" w:rsidR="005B4484" w:rsidRDefault="005B4484" w:rsidP="005B4484">
      <w:pPr>
        <w:jc w:val="center"/>
      </w:pPr>
      <w:r>
        <w:t>Jeanne Mouiche Anyouzoa</w:t>
      </w:r>
    </w:p>
    <w:p w14:paraId="6EC9A3C7" w14:textId="2EB03816" w:rsidR="005B4484" w:rsidRDefault="005B4484">
      <w:r>
        <w:br w:type="page"/>
      </w:r>
    </w:p>
    <w:p w14:paraId="46B684FE" w14:textId="5015C8EA" w:rsidR="006B55A1" w:rsidRDefault="006B55A1" w:rsidP="006B55A1">
      <w:pPr>
        <w:jc w:val="center"/>
      </w:pPr>
      <w:r>
        <w:lastRenderedPageBreak/>
        <w:t>University of Washington</w:t>
      </w:r>
    </w:p>
    <w:p w14:paraId="6318F005" w14:textId="77777777" w:rsidR="006B55A1" w:rsidRDefault="006B55A1" w:rsidP="006B55A1">
      <w:pPr>
        <w:jc w:val="center"/>
      </w:pPr>
    </w:p>
    <w:p w14:paraId="4EBCD14C" w14:textId="77777777" w:rsidR="006B55A1" w:rsidRPr="00EB61B2" w:rsidRDefault="006B55A1" w:rsidP="006B55A1">
      <w:pPr>
        <w:jc w:val="center"/>
        <w:rPr>
          <w:b/>
        </w:rPr>
      </w:pPr>
      <w:r w:rsidRPr="00EB61B2">
        <w:rPr>
          <w:b/>
        </w:rPr>
        <w:t>Abstract</w:t>
      </w:r>
    </w:p>
    <w:p w14:paraId="3CB63683" w14:textId="77777777" w:rsidR="006B55A1" w:rsidRDefault="006B55A1" w:rsidP="006B55A1">
      <w:pPr>
        <w:jc w:val="center"/>
      </w:pPr>
    </w:p>
    <w:p w14:paraId="35561AA1" w14:textId="77777777" w:rsidR="006B55A1" w:rsidRDefault="006B55A1" w:rsidP="006B55A1">
      <w:pPr>
        <w:spacing w:line="360" w:lineRule="auto"/>
        <w:jc w:val="center"/>
      </w:pPr>
      <w:r w:rsidRPr="00AB4C37">
        <w:t>Impact of the Implementation of the Croup CSW Pathway in the Inpatient Length-of-Sta</w:t>
      </w:r>
      <w:r>
        <w:t>y and</w:t>
      </w:r>
      <w:r w:rsidRPr="00AB4C37">
        <w:t xml:space="preserve"> Readmission Rates Realized at an Academic Pediatric Center</w:t>
      </w:r>
    </w:p>
    <w:p w14:paraId="43486090" w14:textId="77777777" w:rsidR="006B55A1" w:rsidRPr="00AB4C37" w:rsidRDefault="006B55A1" w:rsidP="006B55A1">
      <w:pPr>
        <w:spacing w:line="360" w:lineRule="auto"/>
        <w:jc w:val="center"/>
      </w:pPr>
    </w:p>
    <w:p w14:paraId="4AAD587E" w14:textId="77777777" w:rsidR="006B55A1" w:rsidRDefault="006B55A1" w:rsidP="006B55A1">
      <w:pPr>
        <w:jc w:val="center"/>
      </w:pPr>
      <w:r>
        <w:t>Jeanne Mouiche Anyouzoa</w:t>
      </w:r>
    </w:p>
    <w:p w14:paraId="7728ADFD" w14:textId="77777777" w:rsidR="006B55A1" w:rsidRDefault="006B55A1" w:rsidP="006B55A1">
      <w:pPr>
        <w:jc w:val="center"/>
      </w:pPr>
    </w:p>
    <w:p w14:paraId="6EA7C967" w14:textId="77777777" w:rsidR="006B55A1" w:rsidRDefault="006B55A1" w:rsidP="006B55A1">
      <w:pPr>
        <w:jc w:val="center"/>
      </w:pPr>
      <w:r>
        <w:t>Chair of the Supervisory Committee:</w:t>
      </w:r>
    </w:p>
    <w:p w14:paraId="35E6766B" w14:textId="77777777" w:rsidR="006B55A1" w:rsidRDefault="006B55A1" w:rsidP="006B55A1">
      <w:pPr>
        <w:jc w:val="center"/>
      </w:pPr>
      <w:r>
        <w:t>Mark Oberle</w:t>
      </w:r>
    </w:p>
    <w:p w14:paraId="6559C667" w14:textId="77777777" w:rsidR="006B55A1" w:rsidRDefault="006B55A1" w:rsidP="006B55A1">
      <w:pPr>
        <w:jc w:val="center"/>
      </w:pPr>
      <w:r>
        <w:t>Department of Health Services</w:t>
      </w:r>
    </w:p>
    <w:p w14:paraId="44B27970" w14:textId="77777777" w:rsidR="00F95979" w:rsidRPr="00E57199" w:rsidRDefault="00F95979" w:rsidP="007A4A3A">
      <w:pPr>
        <w:spacing w:line="360" w:lineRule="auto"/>
        <w:jc w:val="center"/>
        <w:rPr>
          <w:rFonts w:asciiTheme="majorHAnsi" w:eastAsiaTheme="majorEastAsia" w:hAnsiTheme="majorHAnsi" w:cstheme="majorBidi"/>
          <w:color w:val="2F5496" w:themeColor="accent1" w:themeShade="BF"/>
          <w:sz w:val="32"/>
          <w:szCs w:val="32"/>
        </w:rPr>
      </w:pPr>
    </w:p>
    <w:p w14:paraId="5552C89E" w14:textId="77777777" w:rsidR="002A0C72" w:rsidRDefault="002A0C72" w:rsidP="00126FC6">
      <w:pPr>
        <w:autoSpaceDE w:val="0"/>
        <w:autoSpaceDN w:val="0"/>
        <w:adjustRightInd w:val="0"/>
        <w:spacing w:after="0" w:line="360" w:lineRule="auto"/>
        <w:jc w:val="both"/>
        <w:rPr>
          <w:rFonts w:eastAsia="Times New Roman" w:cstheme="minorHAnsi"/>
        </w:rPr>
      </w:pPr>
      <w:r w:rsidRPr="00652622">
        <w:rPr>
          <w:rStyle w:val="IntenseEmphasis"/>
        </w:rPr>
        <w:t>Objective</w:t>
      </w:r>
      <w:r>
        <w:rPr>
          <w:rFonts w:cstheme="minorHAnsi"/>
          <w:b/>
          <w:color w:val="000000"/>
        </w:rPr>
        <w:t xml:space="preserve">: </w:t>
      </w:r>
      <w:r w:rsidRPr="0098589D">
        <w:rPr>
          <w:rFonts w:cstheme="minorHAnsi"/>
          <w:color w:val="000000"/>
        </w:rPr>
        <w:t>T</w:t>
      </w:r>
      <w:r w:rsidRPr="0098589D">
        <w:rPr>
          <w:rFonts w:eastAsia="Times New Roman" w:cstheme="minorHAnsi"/>
        </w:rPr>
        <w:t>o</w:t>
      </w:r>
      <w:r w:rsidRPr="007E7EC7">
        <w:rPr>
          <w:rFonts w:eastAsia="Times New Roman" w:cstheme="minorHAnsi"/>
        </w:rPr>
        <w:t xml:space="preserve"> determine the impact of the implementation of the Croup Clinical Standard Work (CSW) pathway in a</w:t>
      </w:r>
      <w:r>
        <w:rPr>
          <w:rFonts w:eastAsia="Times New Roman" w:cstheme="minorHAnsi"/>
        </w:rPr>
        <w:t>n academic</w:t>
      </w:r>
      <w:r w:rsidRPr="007E7EC7">
        <w:rPr>
          <w:rFonts w:eastAsia="Times New Roman" w:cstheme="minorHAnsi"/>
        </w:rPr>
        <w:t xml:space="preserve"> pediatric </w:t>
      </w:r>
      <w:r>
        <w:rPr>
          <w:rFonts w:eastAsia="Times New Roman" w:cstheme="minorHAnsi"/>
        </w:rPr>
        <w:t>center (Seattle Children’s Hospital)</w:t>
      </w:r>
      <w:r w:rsidRPr="007E7EC7">
        <w:rPr>
          <w:rFonts w:eastAsia="Times New Roman" w:cstheme="minorHAnsi"/>
        </w:rPr>
        <w:t xml:space="preserve">, with the overarching goal of standardizing delivery of care </w:t>
      </w:r>
      <w:r>
        <w:rPr>
          <w:rFonts w:eastAsia="Times New Roman" w:cstheme="minorHAnsi"/>
        </w:rPr>
        <w:t>for</w:t>
      </w:r>
      <w:r w:rsidRPr="007E7EC7">
        <w:rPr>
          <w:rFonts w:eastAsia="Times New Roman" w:cstheme="minorHAnsi"/>
        </w:rPr>
        <w:t xml:space="preserve"> croup. </w:t>
      </w:r>
    </w:p>
    <w:p w14:paraId="63E74BA2" w14:textId="77777777" w:rsidR="002A0C72" w:rsidRDefault="00C119F0" w:rsidP="00126FC6">
      <w:pPr>
        <w:autoSpaceDE w:val="0"/>
        <w:autoSpaceDN w:val="0"/>
        <w:adjustRightInd w:val="0"/>
        <w:spacing w:after="0" w:line="360" w:lineRule="auto"/>
        <w:jc w:val="both"/>
      </w:pPr>
      <w:r>
        <w:rPr>
          <w:rFonts w:eastAsia="Times New Roman" w:cstheme="minorHAnsi"/>
        </w:rPr>
        <w:br/>
      </w:r>
      <w:r w:rsidR="002A0C72" w:rsidRPr="00652622">
        <w:rPr>
          <w:rStyle w:val="IntenseEmphasis"/>
        </w:rPr>
        <w:t>Aims</w:t>
      </w:r>
      <w:r w:rsidR="002A0C72">
        <w:t>: Analyze</w:t>
      </w:r>
      <w:r w:rsidR="002A0C72" w:rsidRPr="007E7EC7">
        <w:t xml:space="preserve"> variations in the use of resources </w:t>
      </w:r>
      <w:r w:rsidR="002A0C72">
        <w:t>(e.g.</w:t>
      </w:r>
      <w:r w:rsidR="008F016B">
        <w:t>,</w:t>
      </w:r>
      <w:r w:rsidR="002A0C72">
        <w:t xml:space="preserve"> d</w:t>
      </w:r>
      <w:r w:rsidR="002A0C72" w:rsidRPr="007E7EC7">
        <w:t xml:space="preserve">examethasone, </w:t>
      </w:r>
      <w:r w:rsidR="002A0C72">
        <w:t>r</w:t>
      </w:r>
      <w:r w:rsidR="002A0C72" w:rsidRPr="007E7EC7">
        <w:t xml:space="preserve">acemic </w:t>
      </w:r>
      <w:r w:rsidR="002A0C72">
        <w:t>e</w:t>
      </w:r>
      <w:r w:rsidR="002A0C72" w:rsidRPr="007E7EC7">
        <w:t xml:space="preserve">pinephrine, </w:t>
      </w:r>
      <w:r w:rsidR="002A0C72">
        <w:t xml:space="preserve">and </w:t>
      </w:r>
      <w:r w:rsidR="002A0C72" w:rsidRPr="007E7EC7">
        <w:t>chest and neck radiographs</w:t>
      </w:r>
      <w:r w:rsidR="002A0C72">
        <w:t>)</w:t>
      </w:r>
      <w:r w:rsidR="002A0C72" w:rsidRPr="007E7EC7">
        <w:t xml:space="preserve"> in the management of croup in Urgent Care and Emergency Department before and after implement</w:t>
      </w:r>
      <w:r w:rsidR="002A0C72">
        <w:t>ing</w:t>
      </w:r>
      <w:r w:rsidR="002A0C72" w:rsidRPr="007E7EC7">
        <w:t xml:space="preserve"> the Croup CSW Pathway</w:t>
      </w:r>
      <w:r w:rsidR="002A0C72">
        <w:t xml:space="preserve">; </w:t>
      </w:r>
      <w:r w:rsidR="002A0C72" w:rsidRPr="007E7EC7">
        <w:t>describe the relationship between resource utilization and patient outcomes including admission rates, length</w:t>
      </w:r>
      <w:r w:rsidR="002A0C72">
        <w:t xml:space="preserve"> </w:t>
      </w:r>
      <w:r w:rsidR="002A0C72" w:rsidRPr="007E7EC7">
        <w:t>of stay (LOS), return to the emergency department for croup within 7, 14, 21, and 30 days, and readmission rates</w:t>
      </w:r>
      <w:r w:rsidR="002A0C72">
        <w:t>.</w:t>
      </w:r>
    </w:p>
    <w:p w14:paraId="3B4D77D1" w14:textId="77777777" w:rsidR="002A0C72" w:rsidRDefault="002A0C72" w:rsidP="00126FC6">
      <w:pPr>
        <w:autoSpaceDE w:val="0"/>
        <w:autoSpaceDN w:val="0"/>
        <w:adjustRightInd w:val="0"/>
        <w:spacing w:after="0" w:line="360" w:lineRule="auto"/>
        <w:jc w:val="both"/>
      </w:pPr>
    </w:p>
    <w:p w14:paraId="25FA7155" w14:textId="77777777" w:rsidR="002A0C72" w:rsidRDefault="002A0C72" w:rsidP="00126FC6">
      <w:pPr>
        <w:autoSpaceDE w:val="0"/>
        <w:autoSpaceDN w:val="0"/>
        <w:adjustRightInd w:val="0"/>
        <w:spacing w:after="0" w:line="360" w:lineRule="auto"/>
        <w:jc w:val="both"/>
      </w:pPr>
      <w:r w:rsidRPr="00652622">
        <w:rPr>
          <w:rStyle w:val="IntenseEmphasis"/>
        </w:rPr>
        <w:t>Study design</w:t>
      </w:r>
      <w:r>
        <w:rPr>
          <w:rFonts w:cstheme="minorHAnsi"/>
          <w:b/>
          <w:color w:val="000000"/>
        </w:rPr>
        <w:t xml:space="preserve">: </w:t>
      </w:r>
      <w:r>
        <w:t>Our</w:t>
      </w:r>
      <w:r w:rsidRPr="00461905">
        <w:t xml:space="preserve"> study </w:t>
      </w:r>
      <w:r>
        <w:t>is</w:t>
      </w:r>
      <w:r w:rsidRPr="00461905">
        <w:t xml:space="preserve"> a retrospective analysis of patients</w:t>
      </w:r>
      <w:r>
        <w:t xml:space="preserve"> </w:t>
      </w:r>
      <w:r w:rsidRPr="00461905">
        <w:t xml:space="preserve">diagnosed with croup </w:t>
      </w:r>
      <w:r>
        <w:t xml:space="preserve">in </w:t>
      </w:r>
      <w:r w:rsidRPr="00461905">
        <w:t>ED and UC</w:t>
      </w:r>
      <w:r>
        <w:t xml:space="preserve"> </w:t>
      </w:r>
      <w:r w:rsidRPr="00461905">
        <w:t>between January 1, 2010 and December 31, 201</w:t>
      </w:r>
      <w:r>
        <w:t>7</w:t>
      </w:r>
      <w:r w:rsidRPr="00461905">
        <w:t xml:space="preserve">. The study population </w:t>
      </w:r>
      <w:r w:rsidR="00A81818" w:rsidRPr="00461905">
        <w:t>consist</w:t>
      </w:r>
      <w:r w:rsidR="00A81818">
        <w:t>ed</w:t>
      </w:r>
      <w:r w:rsidR="00A81818" w:rsidRPr="00461905">
        <w:t xml:space="preserve"> </w:t>
      </w:r>
      <w:r w:rsidRPr="00461905">
        <w:t>of patients aged 6 months to 6 years.</w:t>
      </w:r>
      <w:r>
        <w:t xml:space="preserve"> </w:t>
      </w:r>
      <w:r w:rsidR="00E84D2F">
        <w:t>We obtained d</w:t>
      </w:r>
      <w:r w:rsidRPr="00461905">
        <w:t>emographic data on gender</w:t>
      </w:r>
      <w:r>
        <w:t xml:space="preserve">, </w:t>
      </w:r>
      <w:r w:rsidRPr="00461905">
        <w:t xml:space="preserve">age, </w:t>
      </w:r>
      <w:r>
        <w:t xml:space="preserve">and </w:t>
      </w:r>
      <w:r w:rsidRPr="00461905">
        <w:t>race</w:t>
      </w:r>
      <w:r>
        <w:t>. We</w:t>
      </w:r>
      <w:r w:rsidRPr="00461905">
        <w:t xml:space="preserve"> compare</w:t>
      </w:r>
      <w:r>
        <w:t>d</w:t>
      </w:r>
      <w:r w:rsidRPr="00461905">
        <w:t xml:space="preserve"> </w:t>
      </w:r>
      <w:r w:rsidR="006B707E">
        <w:t xml:space="preserve">resource utilization and patient outcomes in </w:t>
      </w:r>
      <w:r w:rsidR="005E4D83">
        <w:t>Pre-CSW</w:t>
      </w:r>
      <w:r w:rsidRPr="00461905">
        <w:t xml:space="preserve"> period </w:t>
      </w:r>
      <w:r w:rsidR="006B707E">
        <w:t>vs.</w:t>
      </w:r>
      <w:r w:rsidR="006B707E" w:rsidRPr="00461905">
        <w:t xml:space="preserve"> </w:t>
      </w:r>
      <w:r w:rsidR="005E4D83">
        <w:t>Post-CSW</w:t>
      </w:r>
      <w:r w:rsidRPr="00461905">
        <w:t xml:space="preserve"> period</w:t>
      </w:r>
      <w:r w:rsidR="006B707E">
        <w:t>.</w:t>
      </w:r>
    </w:p>
    <w:p w14:paraId="13DA8CA5" w14:textId="77777777" w:rsidR="002A0C72" w:rsidRDefault="002A0C72" w:rsidP="00126FC6">
      <w:pPr>
        <w:autoSpaceDE w:val="0"/>
        <w:autoSpaceDN w:val="0"/>
        <w:adjustRightInd w:val="0"/>
        <w:spacing w:after="0" w:line="360" w:lineRule="auto"/>
        <w:jc w:val="both"/>
        <w:rPr>
          <w:rFonts w:cstheme="minorHAnsi"/>
          <w:color w:val="000000"/>
        </w:rPr>
      </w:pPr>
    </w:p>
    <w:p w14:paraId="42524359" w14:textId="77777777" w:rsidR="002A0C72" w:rsidRDefault="002A0C72" w:rsidP="00126FC6">
      <w:pPr>
        <w:autoSpaceDE w:val="0"/>
        <w:autoSpaceDN w:val="0"/>
        <w:adjustRightInd w:val="0"/>
        <w:spacing w:after="0" w:line="360" w:lineRule="auto"/>
        <w:jc w:val="both"/>
        <w:rPr>
          <w:rFonts w:eastAsia="Times New Roman" w:cstheme="minorHAnsi"/>
        </w:rPr>
      </w:pPr>
      <w:r w:rsidRPr="00652622">
        <w:rPr>
          <w:rStyle w:val="IntenseEmphasis"/>
        </w:rPr>
        <w:lastRenderedPageBreak/>
        <w:t>Results</w:t>
      </w:r>
      <w:r>
        <w:rPr>
          <w:rFonts w:cstheme="minorHAnsi"/>
          <w:b/>
          <w:color w:val="000000"/>
        </w:rPr>
        <w:t xml:space="preserve">: </w:t>
      </w:r>
      <w:r w:rsidRPr="00FC3AD7">
        <w:rPr>
          <w:rFonts w:eastAsia="Times New Roman" w:cstheme="minorHAnsi"/>
        </w:rPr>
        <w:t>There were 2</w:t>
      </w:r>
      <w:r w:rsidR="00E84D2F">
        <w:rPr>
          <w:rFonts w:eastAsia="Times New Roman" w:cstheme="minorHAnsi"/>
        </w:rPr>
        <w:t>,</w:t>
      </w:r>
      <w:r w:rsidRPr="00FC3AD7">
        <w:rPr>
          <w:rFonts w:eastAsia="Times New Roman" w:cstheme="minorHAnsi"/>
        </w:rPr>
        <w:t>101</w:t>
      </w:r>
      <w:r w:rsidR="00A81818">
        <w:rPr>
          <w:rFonts w:eastAsia="Times New Roman" w:cstheme="minorHAnsi"/>
        </w:rPr>
        <w:t xml:space="preserve"> </w:t>
      </w:r>
      <w:r w:rsidR="00E84D2F">
        <w:rPr>
          <w:rFonts w:eastAsia="Times New Roman" w:cstheme="minorHAnsi"/>
        </w:rPr>
        <w:t xml:space="preserve">croup </w:t>
      </w:r>
      <w:r w:rsidR="00A81818">
        <w:rPr>
          <w:rFonts w:eastAsia="Times New Roman" w:cstheme="minorHAnsi"/>
        </w:rPr>
        <w:t xml:space="preserve">patients in the </w:t>
      </w:r>
      <w:r w:rsidR="005E4D83">
        <w:rPr>
          <w:rFonts w:eastAsia="Times New Roman" w:cstheme="minorHAnsi"/>
        </w:rPr>
        <w:t>Pre-CSW</w:t>
      </w:r>
      <w:r w:rsidR="00A81818">
        <w:rPr>
          <w:rFonts w:eastAsia="Times New Roman" w:cstheme="minorHAnsi"/>
        </w:rPr>
        <w:t xml:space="preserve"> pathway </w:t>
      </w:r>
      <w:r>
        <w:rPr>
          <w:rFonts w:eastAsia="Times New Roman" w:cstheme="minorHAnsi"/>
        </w:rPr>
        <w:t>(353 in UC and 1</w:t>
      </w:r>
      <w:r w:rsidR="00E84D2F">
        <w:rPr>
          <w:rFonts w:eastAsia="Times New Roman" w:cstheme="minorHAnsi"/>
        </w:rPr>
        <w:t>,</w:t>
      </w:r>
      <w:r>
        <w:rPr>
          <w:rFonts w:eastAsia="Times New Roman" w:cstheme="minorHAnsi"/>
        </w:rPr>
        <w:t xml:space="preserve">748 in ED) </w:t>
      </w:r>
      <w:r w:rsidRPr="00FC3AD7">
        <w:rPr>
          <w:rFonts w:eastAsia="Times New Roman" w:cstheme="minorHAnsi"/>
        </w:rPr>
        <w:t>and 5</w:t>
      </w:r>
      <w:r w:rsidR="00E84D2F">
        <w:rPr>
          <w:rFonts w:eastAsia="Times New Roman" w:cstheme="minorHAnsi"/>
        </w:rPr>
        <w:t>,</w:t>
      </w:r>
      <w:r w:rsidRPr="00FC3AD7">
        <w:rPr>
          <w:rFonts w:eastAsia="Times New Roman" w:cstheme="minorHAnsi"/>
        </w:rPr>
        <w:t>917</w:t>
      </w:r>
      <w:r w:rsidR="00A81818">
        <w:rPr>
          <w:rFonts w:eastAsia="Times New Roman" w:cstheme="minorHAnsi"/>
        </w:rPr>
        <w:t xml:space="preserve"> </w:t>
      </w:r>
      <w:r w:rsidR="00E84D2F">
        <w:rPr>
          <w:rFonts w:eastAsia="Times New Roman" w:cstheme="minorHAnsi"/>
        </w:rPr>
        <w:t xml:space="preserve">croup </w:t>
      </w:r>
      <w:r w:rsidR="00A81818" w:rsidRPr="00FC3AD7">
        <w:rPr>
          <w:rFonts w:eastAsia="Times New Roman" w:cstheme="minorHAnsi"/>
        </w:rPr>
        <w:t xml:space="preserve">patients </w:t>
      </w:r>
      <w:r w:rsidR="00A81818">
        <w:rPr>
          <w:rFonts w:eastAsia="Times New Roman" w:cstheme="minorHAnsi"/>
        </w:rPr>
        <w:t>in the</w:t>
      </w:r>
      <w:r w:rsidR="00A81818" w:rsidRPr="00FC3AD7">
        <w:rPr>
          <w:rFonts w:eastAsia="Times New Roman" w:cstheme="minorHAnsi"/>
        </w:rPr>
        <w:t xml:space="preserve"> </w:t>
      </w:r>
      <w:r w:rsidR="007A4613">
        <w:rPr>
          <w:rFonts w:eastAsia="Times New Roman" w:cstheme="minorHAnsi"/>
        </w:rPr>
        <w:t>Post-CSW</w:t>
      </w:r>
      <w:r w:rsidR="00A81818" w:rsidRPr="00FC3AD7">
        <w:rPr>
          <w:rFonts w:eastAsia="Times New Roman" w:cstheme="minorHAnsi"/>
        </w:rPr>
        <w:t xml:space="preserve"> pathway </w:t>
      </w:r>
      <w:r>
        <w:rPr>
          <w:rFonts w:eastAsia="Times New Roman" w:cstheme="minorHAnsi"/>
        </w:rPr>
        <w:t>(2</w:t>
      </w:r>
      <w:r w:rsidR="00E84D2F">
        <w:rPr>
          <w:rFonts w:eastAsia="Times New Roman" w:cstheme="minorHAnsi"/>
        </w:rPr>
        <w:t>,</w:t>
      </w:r>
      <w:r>
        <w:rPr>
          <w:rFonts w:eastAsia="Times New Roman" w:cstheme="minorHAnsi"/>
        </w:rPr>
        <w:t>552 in UC and 3</w:t>
      </w:r>
      <w:r w:rsidR="00E84D2F">
        <w:rPr>
          <w:rFonts w:eastAsia="Times New Roman" w:cstheme="minorHAnsi"/>
        </w:rPr>
        <w:t>,</w:t>
      </w:r>
      <w:r>
        <w:rPr>
          <w:rFonts w:eastAsia="Times New Roman" w:cstheme="minorHAnsi"/>
        </w:rPr>
        <w:t xml:space="preserve">365).  Analysis shows noticeable changes in the management of croup in UC vs. ED. </w:t>
      </w:r>
      <w:r w:rsidR="00DF5EAD">
        <w:rPr>
          <w:rFonts w:eastAsia="Times New Roman" w:cstheme="minorHAnsi"/>
        </w:rPr>
        <w:t>Dexamethasone</w:t>
      </w:r>
      <w:r w:rsidR="00DF5EAD" w:rsidRPr="00A40D48">
        <w:rPr>
          <w:rFonts w:eastAsia="Times New Roman" w:cstheme="minorHAnsi"/>
        </w:rPr>
        <w:t xml:space="preserve"> </w:t>
      </w:r>
      <w:r w:rsidR="00DF5EAD">
        <w:rPr>
          <w:rFonts w:eastAsia="Times New Roman" w:cstheme="minorHAnsi"/>
        </w:rPr>
        <w:t>a</w:t>
      </w:r>
      <w:r w:rsidR="006D1961">
        <w:rPr>
          <w:rFonts w:eastAsia="Times New Roman" w:cstheme="minorHAnsi"/>
        </w:rPr>
        <w:t>dministration shows a</w:t>
      </w:r>
      <w:r>
        <w:rPr>
          <w:rFonts w:eastAsia="Times New Roman" w:cstheme="minorHAnsi"/>
        </w:rPr>
        <w:t xml:space="preserve"> 3.83 percentage point increase </w:t>
      </w:r>
      <w:r w:rsidRPr="00A40D48">
        <w:rPr>
          <w:rFonts w:eastAsia="Times New Roman" w:cstheme="minorHAnsi"/>
        </w:rPr>
        <w:t>in UC and a 1.97</w:t>
      </w:r>
      <w:r>
        <w:rPr>
          <w:rFonts w:eastAsia="Times New Roman" w:cstheme="minorHAnsi"/>
        </w:rPr>
        <w:t xml:space="preserve"> percentage point decrease</w:t>
      </w:r>
      <w:r w:rsidRPr="00A40D48">
        <w:rPr>
          <w:rFonts w:eastAsia="Times New Roman" w:cstheme="minorHAnsi"/>
        </w:rPr>
        <w:t xml:space="preserve"> in ED </w:t>
      </w:r>
      <w:r w:rsidR="006D1961">
        <w:rPr>
          <w:rFonts w:eastAsia="Times New Roman" w:cstheme="minorHAnsi"/>
        </w:rPr>
        <w:t>(</w:t>
      </w:r>
      <w:r w:rsidRPr="00A40D48">
        <w:rPr>
          <w:rFonts w:eastAsia="Times New Roman" w:cstheme="minorHAnsi"/>
        </w:rPr>
        <w:t>with a p-value of 0.0242 and 0.0355 respectively</w:t>
      </w:r>
      <w:r w:rsidR="006D1961">
        <w:rPr>
          <w:rFonts w:eastAsia="Times New Roman" w:cstheme="minorHAnsi"/>
        </w:rPr>
        <w:t>).</w:t>
      </w:r>
      <w:r>
        <w:rPr>
          <w:rFonts w:eastAsia="Times New Roman" w:cstheme="minorHAnsi"/>
        </w:rPr>
        <w:t xml:space="preserve"> </w:t>
      </w:r>
      <w:r w:rsidR="006D1961">
        <w:rPr>
          <w:rFonts w:eastAsia="Times New Roman" w:cstheme="minorHAnsi"/>
        </w:rPr>
        <w:t>R</w:t>
      </w:r>
      <w:r w:rsidR="006D1961" w:rsidRPr="00AD463D">
        <w:rPr>
          <w:rFonts w:eastAsia="Times New Roman" w:cstheme="minorHAnsi"/>
        </w:rPr>
        <w:t xml:space="preserve">acemic </w:t>
      </w:r>
      <w:r w:rsidR="006D1961">
        <w:rPr>
          <w:rFonts w:eastAsia="Times New Roman" w:cstheme="minorHAnsi"/>
        </w:rPr>
        <w:t>e</w:t>
      </w:r>
      <w:r w:rsidR="006D1961" w:rsidRPr="00AD463D">
        <w:rPr>
          <w:rFonts w:eastAsia="Times New Roman" w:cstheme="minorHAnsi"/>
        </w:rPr>
        <w:t>pinephrine</w:t>
      </w:r>
      <w:r w:rsidR="006D1961">
        <w:rPr>
          <w:rFonts w:eastAsia="Times New Roman" w:cstheme="minorHAnsi"/>
        </w:rPr>
        <w:t xml:space="preserve"> use decreased </w:t>
      </w:r>
      <w:r w:rsidRPr="00AD463D">
        <w:rPr>
          <w:rFonts w:eastAsia="Times New Roman" w:cstheme="minorHAnsi"/>
        </w:rPr>
        <w:t>6.95</w:t>
      </w:r>
      <w:r>
        <w:rPr>
          <w:rFonts w:eastAsia="Times New Roman" w:cstheme="minorHAnsi"/>
        </w:rPr>
        <w:t xml:space="preserve"> percentage point</w:t>
      </w:r>
      <w:r w:rsidR="006D1961">
        <w:rPr>
          <w:rFonts w:eastAsia="Times New Roman" w:cstheme="minorHAnsi"/>
        </w:rPr>
        <w:t>s</w:t>
      </w:r>
      <w:r w:rsidR="007C7D40">
        <w:rPr>
          <w:rFonts w:eastAsia="Times New Roman" w:cstheme="minorHAnsi"/>
        </w:rPr>
        <w:t xml:space="preserve"> in the UC</w:t>
      </w:r>
      <w:r>
        <w:rPr>
          <w:rFonts w:eastAsia="Times New Roman" w:cstheme="minorHAnsi"/>
        </w:rPr>
        <w:t xml:space="preserve"> </w:t>
      </w:r>
      <w:r w:rsidR="006D1961">
        <w:rPr>
          <w:rFonts w:eastAsia="Times New Roman" w:cstheme="minorHAnsi"/>
        </w:rPr>
        <w:t>(</w:t>
      </w:r>
      <w:r w:rsidRPr="00AD463D">
        <w:rPr>
          <w:rFonts w:eastAsia="Times New Roman" w:cstheme="minorHAnsi"/>
        </w:rPr>
        <w:t>with a p-value of 0.0001</w:t>
      </w:r>
      <w:r w:rsidR="006D1961">
        <w:rPr>
          <w:rFonts w:eastAsia="Times New Roman" w:cstheme="minorHAnsi"/>
        </w:rPr>
        <w:t>)</w:t>
      </w:r>
      <w:r w:rsidRPr="00AD463D">
        <w:rPr>
          <w:rFonts w:eastAsia="Times New Roman" w:cstheme="minorHAnsi"/>
        </w:rPr>
        <w:t>.</w:t>
      </w:r>
      <w:r>
        <w:rPr>
          <w:rFonts w:eastAsia="Times New Roman" w:cstheme="minorHAnsi"/>
        </w:rPr>
        <w:t xml:space="preserve"> </w:t>
      </w:r>
      <w:r w:rsidR="003E6F73">
        <w:rPr>
          <w:rFonts w:eastAsia="Times New Roman" w:cstheme="minorHAnsi"/>
        </w:rPr>
        <w:t xml:space="preserve">Statistically significant </w:t>
      </w:r>
      <w:r>
        <w:rPr>
          <w:rFonts w:eastAsia="Times New Roman" w:cstheme="minorHAnsi"/>
        </w:rPr>
        <w:t>differences in inpatient length of stay between Urgent Care</w:t>
      </w:r>
      <w:r w:rsidR="00DD244D">
        <w:rPr>
          <w:rFonts w:eastAsia="Times New Roman" w:cstheme="minorHAnsi"/>
        </w:rPr>
        <w:t xml:space="preserve"> </w:t>
      </w:r>
      <w:r w:rsidR="005E4D83">
        <w:rPr>
          <w:rFonts w:eastAsia="Times New Roman" w:cstheme="minorHAnsi"/>
        </w:rPr>
        <w:t>Pre-CSW</w:t>
      </w:r>
      <w:r>
        <w:rPr>
          <w:rFonts w:eastAsia="Times New Roman" w:cstheme="minorHAnsi"/>
        </w:rPr>
        <w:t xml:space="preserve"> vs. Emergency Department</w:t>
      </w:r>
      <w:r w:rsidR="003A5A72">
        <w:rPr>
          <w:rFonts w:eastAsia="Times New Roman" w:cstheme="minorHAnsi"/>
        </w:rPr>
        <w:t xml:space="preserve"> </w:t>
      </w:r>
      <w:r w:rsidR="005E4D83">
        <w:rPr>
          <w:rFonts w:eastAsia="Times New Roman" w:cstheme="minorHAnsi"/>
        </w:rPr>
        <w:t>Pre-CSW</w:t>
      </w:r>
      <w:r>
        <w:rPr>
          <w:rFonts w:eastAsia="Times New Roman" w:cstheme="minorHAnsi"/>
        </w:rPr>
        <w:t>, and Urgent Care</w:t>
      </w:r>
      <w:r w:rsidR="006733A7">
        <w:rPr>
          <w:rFonts w:eastAsia="Times New Roman" w:cstheme="minorHAnsi"/>
        </w:rPr>
        <w:t xml:space="preserve"> </w:t>
      </w:r>
      <w:r w:rsidR="005E4D83">
        <w:rPr>
          <w:rFonts w:eastAsia="Times New Roman" w:cstheme="minorHAnsi"/>
        </w:rPr>
        <w:t>Post-CSW</w:t>
      </w:r>
      <w:r>
        <w:rPr>
          <w:rFonts w:eastAsia="Times New Roman" w:cstheme="minorHAnsi"/>
        </w:rPr>
        <w:t xml:space="preserve"> and Emergency Department</w:t>
      </w:r>
      <w:r w:rsidR="00F221FC">
        <w:rPr>
          <w:rFonts w:eastAsia="Times New Roman" w:cstheme="minorHAnsi"/>
        </w:rPr>
        <w:t xml:space="preserve"> </w:t>
      </w:r>
      <w:r w:rsidR="005E4D83">
        <w:rPr>
          <w:rFonts w:eastAsia="Times New Roman" w:cstheme="minorHAnsi"/>
        </w:rPr>
        <w:t>Post-CSW</w:t>
      </w:r>
      <w:r>
        <w:rPr>
          <w:rFonts w:eastAsia="Times New Roman" w:cstheme="minorHAnsi"/>
        </w:rPr>
        <w:t xml:space="preserve"> suggest significant variations in patient outcomes in both settings.</w:t>
      </w:r>
    </w:p>
    <w:p w14:paraId="68EE8A04" w14:textId="77777777" w:rsidR="002A0C72" w:rsidRPr="00FD0011" w:rsidRDefault="002A0C72" w:rsidP="00126FC6">
      <w:pPr>
        <w:autoSpaceDE w:val="0"/>
        <w:autoSpaceDN w:val="0"/>
        <w:adjustRightInd w:val="0"/>
        <w:spacing w:after="0" w:line="360" w:lineRule="auto"/>
        <w:jc w:val="both"/>
        <w:rPr>
          <w:rFonts w:cstheme="minorHAnsi"/>
          <w:color w:val="000000"/>
        </w:rPr>
      </w:pPr>
    </w:p>
    <w:p w14:paraId="2231AFBE" w14:textId="71B0F3BA" w:rsidR="002A0C72" w:rsidRDefault="002A0C72" w:rsidP="00126FC6">
      <w:pPr>
        <w:autoSpaceDE w:val="0"/>
        <w:autoSpaceDN w:val="0"/>
        <w:adjustRightInd w:val="0"/>
        <w:spacing w:after="0" w:line="360" w:lineRule="auto"/>
        <w:jc w:val="both"/>
        <w:rPr>
          <w:rFonts w:eastAsia="Times New Roman" w:cstheme="minorHAnsi"/>
        </w:rPr>
      </w:pPr>
      <w:bookmarkStart w:id="0" w:name="conclusion"/>
      <w:bookmarkStart w:id="1" w:name="_Hlk515709639"/>
      <w:bookmarkEnd w:id="0"/>
      <w:r w:rsidRPr="00652622">
        <w:rPr>
          <w:rStyle w:val="IntenseEmphasis"/>
        </w:rPr>
        <w:t>Conclusions</w:t>
      </w:r>
      <w:r w:rsidRPr="00F9087D">
        <w:rPr>
          <w:rFonts w:cstheme="minorHAnsi"/>
          <w:color w:val="000000"/>
        </w:rPr>
        <w:t>:</w:t>
      </w:r>
      <w:r>
        <w:rPr>
          <w:rFonts w:cstheme="minorHAnsi"/>
          <w:b/>
          <w:color w:val="000000"/>
        </w:rPr>
        <w:t xml:space="preserve"> </w:t>
      </w:r>
      <w:r w:rsidR="003942ED" w:rsidRPr="007A48D5">
        <w:rPr>
          <w:rFonts w:cstheme="minorHAnsi"/>
          <w:color w:val="000000"/>
        </w:rPr>
        <w:t>Noticeable changes in the management of croup in the UC and ED at Seattle Children’s occurred after the implementation of the</w:t>
      </w:r>
      <w:r w:rsidR="003942ED">
        <w:rPr>
          <w:rFonts w:cstheme="minorHAnsi"/>
          <w:b/>
          <w:color w:val="000000"/>
        </w:rPr>
        <w:t xml:space="preserve"> </w:t>
      </w:r>
      <w:r w:rsidR="003942ED">
        <w:rPr>
          <w:rFonts w:eastAsia="Times New Roman" w:cstheme="minorHAnsi"/>
        </w:rPr>
        <w:t>CSW pathway.</w:t>
      </w:r>
      <w:r w:rsidR="003942ED">
        <w:rPr>
          <w:rFonts w:cstheme="minorHAnsi"/>
          <w:b/>
          <w:color w:val="000000"/>
        </w:rPr>
        <w:t xml:space="preserve"> </w:t>
      </w:r>
      <w:r w:rsidR="003942ED">
        <w:rPr>
          <w:rFonts w:cstheme="minorHAnsi"/>
          <w:color w:val="000000"/>
        </w:rPr>
        <w:t>T</w:t>
      </w:r>
      <w:r w:rsidR="008967E6">
        <w:t>he Emergency Department</w:t>
      </w:r>
      <w:r w:rsidR="005359DA">
        <w:rPr>
          <w:rFonts w:cstheme="minorHAnsi"/>
          <w:b/>
          <w:color w:val="000000"/>
        </w:rPr>
        <w:t xml:space="preserve"> </w:t>
      </w:r>
      <w:r w:rsidR="005359DA">
        <w:rPr>
          <w:rFonts w:cstheme="minorHAnsi"/>
          <w:color w:val="000000"/>
        </w:rPr>
        <w:t>d</w:t>
      </w:r>
      <w:r w:rsidRPr="00AE37F2">
        <w:t>ecrease</w:t>
      </w:r>
      <w:r w:rsidR="008967E6">
        <w:t>d</w:t>
      </w:r>
      <w:r w:rsidRPr="00B27EF3">
        <w:t xml:space="preserve"> the administration of </w:t>
      </w:r>
      <w:r w:rsidRPr="00B27EF3">
        <w:rPr>
          <w:rFonts w:eastAsia="Times New Roman"/>
        </w:rPr>
        <w:t xml:space="preserve">racemic epinephrine and </w:t>
      </w:r>
      <w:r w:rsidRPr="00B27EF3">
        <w:t>dexamethasone</w:t>
      </w:r>
      <w:r w:rsidR="008967E6">
        <w:t>.</w:t>
      </w:r>
      <w:r w:rsidRPr="00B27EF3">
        <w:t xml:space="preserve"> </w:t>
      </w:r>
      <w:r w:rsidR="008967E6">
        <w:t xml:space="preserve">But </w:t>
      </w:r>
      <w:r w:rsidR="008967E6" w:rsidRPr="00B27EF3">
        <w:t>U</w:t>
      </w:r>
      <w:r w:rsidR="008967E6">
        <w:t xml:space="preserve">rgent </w:t>
      </w:r>
      <w:r w:rsidR="008967E6" w:rsidRPr="00B27EF3">
        <w:t>C</w:t>
      </w:r>
      <w:r w:rsidR="008967E6">
        <w:t xml:space="preserve">are </w:t>
      </w:r>
      <w:r w:rsidRPr="00B27EF3">
        <w:t>increase</w:t>
      </w:r>
      <w:r w:rsidR="008967E6">
        <w:t xml:space="preserve">d </w:t>
      </w:r>
      <w:r w:rsidRPr="00B27EF3">
        <w:t xml:space="preserve">dexamethasone administration. </w:t>
      </w:r>
    </w:p>
    <w:bookmarkEnd w:id="1"/>
    <w:p w14:paraId="672FE244" w14:textId="77777777" w:rsidR="008C01A5" w:rsidRDefault="008C01A5" w:rsidP="007A4A3A">
      <w:pPr>
        <w:spacing w:line="240" w:lineRule="auto"/>
        <w:jc w:val="both"/>
      </w:pPr>
    </w:p>
    <w:p w14:paraId="38A3A3EE" w14:textId="77777777" w:rsidR="003A7090" w:rsidRDefault="003A7090">
      <w:pPr>
        <w:rPr>
          <w:rFonts w:asciiTheme="majorHAnsi" w:eastAsiaTheme="majorEastAsia" w:hAnsiTheme="majorHAnsi" w:cstheme="majorBidi"/>
          <w:color w:val="2F5496" w:themeColor="accent1" w:themeShade="BF"/>
          <w:sz w:val="32"/>
          <w:szCs w:val="32"/>
        </w:rPr>
      </w:pPr>
      <w:r>
        <w:br w:type="page"/>
      </w:r>
    </w:p>
    <w:p w14:paraId="3308272A" w14:textId="40E552BB" w:rsidR="007A4A3A" w:rsidRPr="00203D44" w:rsidRDefault="007A4A3A" w:rsidP="0048040B">
      <w:pPr>
        <w:pStyle w:val="Heading1"/>
      </w:pPr>
      <w:r w:rsidRPr="00203D44">
        <w:lastRenderedPageBreak/>
        <w:t>Introduction</w:t>
      </w:r>
    </w:p>
    <w:p w14:paraId="5AD355A4" w14:textId="77777777" w:rsidR="007A4A3A" w:rsidRPr="004C0460" w:rsidRDefault="007A4A3A" w:rsidP="007A4A3A">
      <w:pPr>
        <w:spacing w:line="360" w:lineRule="auto"/>
        <w:jc w:val="both"/>
      </w:pPr>
      <w:bookmarkStart w:id="2" w:name="_Hlk509862254"/>
      <w:r w:rsidRPr="004C0460">
        <w:t>Croup (laryngotracheobronchitis) is a common cause of upper airway obstruction in children aged 6-36 months, with a peak incidence at 12-24 months</w:t>
      </w:r>
      <w:r>
        <w:t xml:space="preserve"> of age,</w:t>
      </w:r>
      <w:r w:rsidRPr="004C0460">
        <w:t xml:space="preserve"> and with a male predominance of 3:2.</w:t>
      </w:r>
      <w:r w:rsidRPr="004C0460">
        <w:rPr>
          <w:vertAlign w:val="superscript"/>
        </w:rPr>
        <w:t>1,3</w:t>
      </w:r>
      <w:r w:rsidRPr="004C0460">
        <w:t xml:space="preserve"> </w:t>
      </w:r>
      <w:r w:rsidR="00C2012E">
        <w:t>Hoarseness characterizes c</w:t>
      </w:r>
      <w:r w:rsidR="00C2012E" w:rsidRPr="004C0460">
        <w:t>roup</w:t>
      </w:r>
      <w:r w:rsidR="00C2012E">
        <w:t xml:space="preserve"> as well as</w:t>
      </w:r>
      <w:r w:rsidRPr="004C0460">
        <w:t xml:space="preserve">, barking cough, inspiratory stridor and variable respiratory distress due to upper airway inflammation and swelling of the subglottic </w:t>
      </w:r>
      <w:r w:rsidR="002119EB">
        <w:t>mucous membrane</w:t>
      </w:r>
      <w:r w:rsidRPr="004C0460">
        <w:t>.</w:t>
      </w:r>
      <w:r w:rsidRPr="004C0460">
        <w:rPr>
          <w:vertAlign w:val="superscript"/>
        </w:rPr>
        <w:t>6</w:t>
      </w:r>
      <w:r w:rsidRPr="004C0460">
        <w:t xml:space="preserve"> Symptoms are usually worse at night and usually resolve within 48 hours.</w:t>
      </w:r>
      <w:r w:rsidRPr="004C0460">
        <w:rPr>
          <w:vertAlign w:val="superscript"/>
        </w:rPr>
        <w:t xml:space="preserve"> 4</w:t>
      </w:r>
      <w:r w:rsidRPr="004C0460">
        <w:t xml:space="preserve"> </w:t>
      </w:r>
      <w:r w:rsidR="00C2012E">
        <w:t>N</w:t>
      </w:r>
      <w:r w:rsidR="00C2012E" w:rsidRPr="004C0460">
        <w:t>on-specific symptoms such as cough, rhinorrhea</w:t>
      </w:r>
      <w:r w:rsidR="00C2012E">
        <w:t>,</w:t>
      </w:r>
      <w:r w:rsidR="00C2012E" w:rsidRPr="004C0460">
        <w:t xml:space="preserve"> and fever often preced</w:t>
      </w:r>
      <w:r w:rsidR="00C2012E">
        <w:t>e c</w:t>
      </w:r>
      <w:r w:rsidRPr="004C0460">
        <w:t>rou</w:t>
      </w:r>
      <w:r w:rsidR="00C2012E">
        <w:t>p</w:t>
      </w:r>
      <w:r w:rsidRPr="004C0460">
        <w:t xml:space="preserve"> symptoms</w:t>
      </w:r>
      <w:r w:rsidR="006B7C0B">
        <w:t>.</w:t>
      </w:r>
      <w:r w:rsidRPr="00911B99">
        <w:rPr>
          <w:vertAlign w:val="superscript"/>
        </w:rPr>
        <w:t>2,3</w:t>
      </w:r>
      <w:bookmarkEnd w:id="2"/>
      <w:r w:rsidRPr="004C0460">
        <w:t xml:space="preserve"> </w:t>
      </w:r>
      <w:r>
        <w:t xml:space="preserve"> </w:t>
      </w:r>
    </w:p>
    <w:p w14:paraId="7889572E" w14:textId="77777777" w:rsidR="007A4A3A" w:rsidRPr="004C0460" w:rsidRDefault="007A4A3A" w:rsidP="007A4A3A">
      <w:pPr>
        <w:spacing w:line="360" w:lineRule="auto"/>
        <w:jc w:val="both"/>
      </w:pPr>
      <w:r w:rsidRPr="004C0460">
        <w:t xml:space="preserve">There </w:t>
      </w:r>
      <w:r>
        <w:t>is</w:t>
      </w:r>
      <w:r w:rsidRPr="004C0460">
        <w:t xml:space="preserve"> increasing evidence of the existence of an immunological component for the acute laryngotracheobronchitis. Some studies report that children with croup caused by parainfluenza viruses had high</w:t>
      </w:r>
      <w:r w:rsidR="00533CF5">
        <w:t>er</w:t>
      </w:r>
      <w:r w:rsidRPr="004C0460">
        <w:t xml:space="preserve"> titers of both parainfluenza virus-specific IGE</w:t>
      </w:r>
      <w:r>
        <w:t>,</w:t>
      </w:r>
      <w:r w:rsidRPr="004C0460">
        <w:t xml:space="preserve"> and histamine in their nasal secretion</w:t>
      </w:r>
      <w:r>
        <w:t>,</w:t>
      </w:r>
      <w:r w:rsidRPr="004C0460">
        <w:t xml:space="preserve"> in comparison with children who had only an upper respiratory tract infection caused by parainfluenza virus.</w:t>
      </w:r>
      <w:r w:rsidRPr="004C0460">
        <w:rPr>
          <w:vertAlign w:val="superscript"/>
        </w:rPr>
        <w:t>3</w:t>
      </w:r>
      <w:r w:rsidRPr="004C0460">
        <w:t xml:space="preserve"> Viral invasion of the subglottic mucosa causes inflammation and edema, leading to narrowing of the upper airway. </w:t>
      </w:r>
      <w:r w:rsidR="006B7C0B">
        <w:t>T</w:t>
      </w:r>
      <w:r w:rsidRPr="004C0460">
        <w:t>his narrowing</w:t>
      </w:r>
      <w:r w:rsidR="006B7C0B">
        <w:t xml:space="preserve"> increases</w:t>
      </w:r>
      <w:r w:rsidRPr="004C0460">
        <w:t xml:space="preserve"> the pressure gradient necessary to move air through the upper airway leading to increased </w:t>
      </w:r>
      <w:r w:rsidR="006B7C0B" w:rsidRPr="004C0460">
        <w:t xml:space="preserve">breathing </w:t>
      </w:r>
      <w:r w:rsidRPr="004C0460">
        <w:t>effort. This may result in fatigue of the respiratory muscles and subsequently lead to respiratory failure, requiring emergency intubation.  However, croup is mostly mild and transient and resolves with supportive care. Systemic, oral</w:t>
      </w:r>
      <w:r w:rsidR="006B7C0B">
        <w:t>,</w:t>
      </w:r>
      <w:r w:rsidRPr="004C0460">
        <w:t xml:space="preserve"> or nebulized corticosteroids are the currently accepted treatment for moderate to severe </w:t>
      </w:r>
      <w:r>
        <w:t>cases</w:t>
      </w:r>
      <w:r w:rsidRPr="004C0460">
        <w:t>, supplemented in more severe cases by nebulized epinephrine and oxygen.</w:t>
      </w:r>
      <w:r w:rsidRPr="004C0460">
        <w:rPr>
          <w:vertAlign w:val="superscript"/>
        </w:rPr>
        <w:t>6</w:t>
      </w:r>
      <w:r w:rsidRPr="004C0460">
        <w:t xml:space="preserve"> To provide some perspective </w:t>
      </w:r>
      <w:r w:rsidR="00810847">
        <w:t xml:space="preserve">on </w:t>
      </w:r>
      <w:r w:rsidRPr="004C0460">
        <w:t xml:space="preserve">this problem, over half of children with </w:t>
      </w:r>
      <w:r w:rsidR="00810847">
        <w:t xml:space="preserve">a </w:t>
      </w:r>
      <w:r w:rsidRPr="004C0460">
        <w:t>history of croup develop increased airway hyperactivity and have abnormal pulmonary function</w:t>
      </w:r>
      <w:r w:rsidR="00B62DA9">
        <w:t xml:space="preserve"> after</w:t>
      </w:r>
      <w:r w:rsidR="00485C8C">
        <w:t xml:space="preserve"> the acute episode</w:t>
      </w:r>
      <w:r w:rsidRPr="004C0460">
        <w:t>.</w:t>
      </w:r>
      <w:r w:rsidRPr="004C0460">
        <w:rPr>
          <w:vertAlign w:val="superscript"/>
        </w:rPr>
        <w:t>3</w:t>
      </w:r>
    </w:p>
    <w:p w14:paraId="47E28169" w14:textId="77777777" w:rsidR="007A4A3A" w:rsidRDefault="007A4A3A" w:rsidP="007A4A3A">
      <w:pPr>
        <w:spacing w:line="360" w:lineRule="auto"/>
        <w:jc w:val="both"/>
      </w:pPr>
      <w:bookmarkStart w:id="3" w:name="_Hlk509862337"/>
      <w:r w:rsidRPr="004C0460">
        <w:t>Today’s standard management of croup includes racemic epinephrine, which provides only temporary relief</w:t>
      </w:r>
      <w:r>
        <w:t>,</w:t>
      </w:r>
      <w:r w:rsidRPr="004C0460">
        <w:t xml:space="preserve"> and steroids. </w:t>
      </w:r>
      <w:bookmarkStart w:id="4" w:name="_Hlk509862490"/>
      <w:bookmarkEnd w:id="3"/>
      <w:r w:rsidRPr="004C0460">
        <w:t xml:space="preserve">The use of steroids for the treatment of viral croup has been controversial until recent studies have </w:t>
      </w:r>
      <w:r>
        <w:t>shown</w:t>
      </w:r>
      <w:r w:rsidRPr="004C0460">
        <w:t xml:space="preserve"> that there is a reduction in the length and severity of</w:t>
      </w:r>
      <w:r>
        <w:t xml:space="preserve"> </w:t>
      </w:r>
      <w:r w:rsidRPr="004C0460">
        <w:t>illness.</w:t>
      </w:r>
      <w:r w:rsidRPr="004C0460">
        <w:rPr>
          <w:vertAlign w:val="superscript"/>
        </w:rPr>
        <w:t>5</w:t>
      </w:r>
      <w:r w:rsidRPr="004C0460">
        <w:t xml:space="preserve"> </w:t>
      </w:r>
      <w:bookmarkEnd w:id="4"/>
      <w:r w:rsidRPr="004C0460">
        <w:t xml:space="preserve">Past </w:t>
      </w:r>
      <w:r>
        <w:t>recommendations</w:t>
      </w:r>
      <w:r w:rsidRPr="004C0460">
        <w:t xml:space="preserve"> against the routine use of steroids in patients with croup have stressed the potential for infrequent</w:t>
      </w:r>
      <w:r>
        <w:t xml:space="preserve"> but serious</w:t>
      </w:r>
      <w:r w:rsidRPr="004C0460">
        <w:t xml:space="preserve"> gastrointestinal hemorrhage</w:t>
      </w:r>
      <w:r>
        <w:t>,</w:t>
      </w:r>
      <w:r w:rsidRPr="004C0460">
        <w:t xml:space="preserve"> and other adverse effects after dexamethasone therapy</w:t>
      </w:r>
      <w:r>
        <w:t>. This concern still exists despite</w:t>
      </w:r>
      <w:r w:rsidRPr="004C0460">
        <w:t xml:space="preserve"> evidence </w:t>
      </w:r>
      <w:r>
        <w:t>of</w:t>
      </w:r>
      <w:r w:rsidRPr="004C0460">
        <w:t xml:space="preserve"> a decline in hospital admission rates, fewer intensive care unit admissions, and shorter lengths of stay with the use of steroids.</w:t>
      </w:r>
      <w:r w:rsidRPr="004C0460">
        <w:rPr>
          <w:vertAlign w:val="superscript"/>
        </w:rPr>
        <w:t>3,5</w:t>
      </w:r>
      <w:r w:rsidRPr="004C0460">
        <w:t xml:space="preserve"> </w:t>
      </w:r>
    </w:p>
    <w:p w14:paraId="578B832B" w14:textId="77777777" w:rsidR="007A4A3A" w:rsidRPr="004C0460" w:rsidRDefault="007A4A3A" w:rsidP="007A4A3A">
      <w:pPr>
        <w:spacing w:line="360" w:lineRule="auto"/>
        <w:jc w:val="both"/>
      </w:pPr>
      <w:r w:rsidRPr="004C0460">
        <w:t xml:space="preserve">Though the use of steroids is </w:t>
      </w:r>
      <w:r>
        <w:t xml:space="preserve">now </w:t>
      </w:r>
      <w:r w:rsidRPr="004C0460">
        <w:t xml:space="preserve">well accepted, there exists a great deal of practice variability in the dose and route of administration. </w:t>
      </w:r>
      <w:r>
        <w:t>Some</w:t>
      </w:r>
      <w:r w:rsidRPr="004C0460">
        <w:t xml:space="preserve"> studies</w:t>
      </w:r>
      <w:r>
        <w:t xml:space="preserve"> show</w:t>
      </w:r>
      <w:r w:rsidRPr="004C0460">
        <w:t xml:space="preserve"> that</w:t>
      </w:r>
      <w:r w:rsidR="0055583C">
        <w:t xml:space="preserve"> intramuscular</w:t>
      </w:r>
      <w:r w:rsidRPr="004C0460">
        <w:t xml:space="preserve"> dexamethasone and inhaled budesonide are effective in relieving the symptoms of croup as early as six hours after treatment</w:t>
      </w:r>
      <w:r>
        <w:t xml:space="preserve">, with outcomes </w:t>
      </w:r>
      <w:r w:rsidR="006B7C0B">
        <w:t>like</w:t>
      </w:r>
      <w:r>
        <w:t xml:space="preserve"> </w:t>
      </w:r>
      <w:r w:rsidRPr="004C0460">
        <w:t xml:space="preserve">oral dexamethasone. However, </w:t>
      </w:r>
      <w:r w:rsidR="006B7C0B">
        <w:t>comparing</w:t>
      </w:r>
      <w:r w:rsidR="006B7C0B" w:rsidRPr="004C0460">
        <w:t xml:space="preserve"> </w:t>
      </w:r>
      <w:r>
        <w:t>intramuscular</w:t>
      </w:r>
      <w:r w:rsidRPr="004C0460">
        <w:t xml:space="preserve"> dexamethasone with nebulized </w:t>
      </w:r>
      <w:r w:rsidRPr="004C0460">
        <w:lastRenderedPageBreak/>
        <w:t xml:space="preserve">budesonide, </w:t>
      </w:r>
      <w:r>
        <w:t>intramuscular</w:t>
      </w:r>
      <w:r w:rsidRPr="004C0460">
        <w:t xml:space="preserve"> dexamethasone results in more rapid improvement.</w:t>
      </w:r>
      <w:r w:rsidRPr="004C0460">
        <w:rPr>
          <w:vertAlign w:val="superscript"/>
        </w:rPr>
        <w:t>5</w:t>
      </w:r>
      <w:r w:rsidRPr="004C0460">
        <w:t xml:space="preserve"> At a dosage of 0.6 mg/kg for a maximum dosage of 16 mg</w:t>
      </w:r>
      <w:r>
        <w:t xml:space="preserve"> a day, t</w:t>
      </w:r>
      <w:r w:rsidRPr="004C0460">
        <w:t xml:space="preserve">here is no difference between </w:t>
      </w:r>
      <w:r>
        <w:t>oral</w:t>
      </w:r>
      <w:r w:rsidRPr="004C0460">
        <w:t xml:space="preserve"> and </w:t>
      </w:r>
      <w:r>
        <w:t xml:space="preserve">intramuscular </w:t>
      </w:r>
      <w:r w:rsidRPr="004C0460">
        <w:t xml:space="preserve">dexamethasone. </w:t>
      </w:r>
      <w:r w:rsidR="000E560D">
        <w:t xml:space="preserve">In </w:t>
      </w:r>
      <w:r w:rsidR="00D3412B">
        <w:t>a</w:t>
      </w:r>
      <w:r w:rsidR="000E560D">
        <w:t xml:space="preserve"> large study</w:t>
      </w:r>
      <w:r w:rsidR="00815CEE" w:rsidRPr="004C0460">
        <w:rPr>
          <w:vertAlign w:val="superscript"/>
        </w:rPr>
        <w:t>4</w:t>
      </w:r>
      <w:r w:rsidR="000E560D">
        <w:t>, a</w:t>
      </w:r>
      <w:r>
        <w:t xml:space="preserve"> clinical comparison with</w:t>
      </w:r>
      <w:r w:rsidRPr="004C0460">
        <w:t xml:space="preserve"> prednisolone</w:t>
      </w:r>
      <w:r>
        <w:t xml:space="preserve"> also concluded that </w:t>
      </w:r>
      <w:r w:rsidRPr="004C0460">
        <w:t>dexamethasone</w:t>
      </w:r>
      <w:r>
        <w:t xml:space="preserve"> and </w:t>
      </w:r>
      <w:r w:rsidRPr="004C0460">
        <w:t xml:space="preserve">prednisolone are equally effective at 6 and 12 hours, but </w:t>
      </w:r>
      <w:r>
        <w:t xml:space="preserve">with </w:t>
      </w:r>
      <w:r w:rsidRPr="004C0460">
        <w:t>readmission</w:t>
      </w:r>
      <w:r>
        <w:t xml:space="preserve"> </w:t>
      </w:r>
      <w:r w:rsidRPr="004C0460">
        <w:t xml:space="preserve">more likely with prednisolone. </w:t>
      </w:r>
    </w:p>
    <w:p w14:paraId="1E33E349" w14:textId="77777777" w:rsidR="007A4A3A" w:rsidRDefault="007A4A3A" w:rsidP="007A4A3A">
      <w:pPr>
        <w:spacing w:line="360" w:lineRule="auto"/>
        <w:jc w:val="both"/>
      </w:pPr>
      <w:r w:rsidRPr="004C0460">
        <w:t xml:space="preserve">While most children with croup have mild presentation of the disease, a small minority have severe symptoms characterized by marked chest wall </w:t>
      </w:r>
      <w:r>
        <w:t>retraction</w:t>
      </w:r>
      <w:r w:rsidRPr="004C0460">
        <w:t xml:space="preserve">, agitation and lethargy. </w:t>
      </w:r>
      <w:bookmarkStart w:id="5" w:name="_Hlk509862404"/>
      <w:r w:rsidRPr="004C0460">
        <w:t>Treatment with corticosteroids and nebulized epinephrine (adrenaline) are usually administered concurrently to reduce respiratory distress</w:t>
      </w:r>
      <w:r>
        <w:t>,</w:t>
      </w:r>
      <w:r w:rsidRPr="004C0460">
        <w:t xml:space="preserve"> </w:t>
      </w:r>
      <w:r>
        <w:t>with the knowledge that corticosteroids improve symptoms, but it takes time for its beneficial effects to be fully achieved</w:t>
      </w:r>
      <w:bookmarkEnd w:id="5"/>
      <w:r w:rsidRPr="004C0460">
        <w:t>. Nebulized epinephrine is associated with clinically and statistically significant transient reduction of symptoms at 30 minutes post-treatment. It works by causing mucosal vasoconstriction and reduction of subglottic edema</w:t>
      </w:r>
      <w:r>
        <w:t>,</w:t>
      </w:r>
      <w:r w:rsidRPr="004C0460">
        <w:rPr>
          <w:vertAlign w:val="superscript"/>
        </w:rPr>
        <w:t>4</w:t>
      </w:r>
      <w:r w:rsidRPr="004C0460">
        <w:t xml:space="preserve"> but</w:t>
      </w:r>
      <w:r>
        <w:t xml:space="preserve"> </w:t>
      </w:r>
      <w:r w:rsidRPr="004C0460">
        <w:t>may result in dose-related adverse effects including tachycardia, arrhythmias and hypertension</w:t>
      </w:r>
      <w:r>
        <w:t>,</w:t>
      </w:r>
      <w:r w:rsidRPr="004C0460">
        <w:t xml:space="preserve"> and its benefit may be short-lived.</w:t>
      </w:r>
      <w:r w:rsidRPr="004C0460">
        <w:rPr>
          <w:vertAlign w:val="superscript"/>
        </w:rPr>
        <w:t>6</w:t>
      </w:r>
      <w:r w:rsidRPr="004C0460">
        <w:t xml:space="preserve"> </w:t>
      </w:r>
    </w:p>
    <w:p w14:paraId="47A3391E" w14:textId="77777777" w:rsidR="007A4A3A" w:rsidRPr="00203D44" w:rsidRDefault="007A4A3A" w:rsidP="0048040B">
      <w:pPr>
        <w:pStyle w:val="Heading1"/>
      </w:pPr>
      <w:r w:rsidRPr="00203D44">
        <w:t>Background</w:t>
      </w:r>
    </w:p>
    <w:p w14:paraId="5BD30651" w14:textId="77777777" w:rsidR="007A4A3A" w:rsidRPr="004D44BF" w:rsidRDefault="007A4A3A" w:rsidP="007A4A3A">
      <w:pPr>
        <w:spacing w:line="240" w:lineRule="auto"/>
        <w:jc w:val="both"/>
      </w:pPr>
    </w:p>
    <w:p w14:paraId="49A64A23" w14:textId="77777777" w:rsidR="007A4A3A" w:rsidRPr="00203D44" w:rsidRDefault="007A4A3A" w:rsidP="0048040B">
      <w:pPr>
        <w:pStyle w:val="Heading2"/>
      </w:pPr>
      <w:r w:rsidRPr="00203D44">
        <w:t>Definition</w:t>
      </w:r>
    </w:p>
    <w:p w14:paraId="0B76EC19" w14:textId="77777777" w:rsidR="007A4A3A" w:rsidRPr="007E7EC7" w:rsidRDefault="007A4A3A" w:rsidP="007A4A3A">
      <w:pPr>
        <w:spacing w:line="360" w:lineRule="auto"/>
        <w:jc w:val="both"/>
        <w:rPr>
          <w:vertAlign w:val="superscript"/>
        </w:rPr>
      </w:pPr>
      <w:r w:rsidRPr="007E7EC7">
        <w:t>Laryngotracheobronchitis (commonly known as ‘‘croup’’) is a common pediatric respiratory illness affecting approximately 3 out of 100 children with an annual incidence ranging from 1.5% to 6%. It represents a common reason for presentation to primary care physicians and emergency departments (ED).</w:t>
      </w:r>
      <w:r w:rsidRPr="007E7EC7">
        <w:rPr>
          <w:vertAlign w:val="superscript"/>
        </w:rPr>
        <w:t>7,8</w:t>
      </w:r>
      <w:r w:rsidRPr="007E7EC7">
        <w:t xml:space="preserve"> Croup mainly affects children aged between 6 months and 3 years. However, it can occur in babies as young as 3 months of age and in adolescents, with the highest rate of occurrence happening during the second year of life. As many as 6% of </w:t>
      </w:r>
      <w:r w:rsidR="00111031" w:rsidRPr="007E7EC7">
        <w:t xml:space="preserve">children </w:t>
      </w:r>
      <w:r w:rsidR="00111031">
        <w:t>with</w:t>
      </w:r>
      <w:r w:rsidR="00834641">
        <w:t xml:space="preserve"> croup </w:t>
      </w:r>
      <w:r w:rsidRPr="007E7EC7">
        <w:t>require hospitalization in the United States annually.</w:t>
      </w:r>
      <w:r w:rsidRPr="007E7EC7">
        <w:rPr>
          <w:vertAlign w:val="superscript"/>
        </w:rPr>
        <w:t xml:space="preserve">7,9,10 </w:t>
      </w:r>
    </w:p>
    <w:p w14:paraId="6C4C2437" w14:textId="77777777" w:rsidR="007A4A3A" w:rsidRPr="007E7EC7" w:rsidRDefault="007A4A3A" w:rsidP="007A4A3A">
      <w:pPr>
        <w:spacing w:line="360" w:lineRule="auto"/>
        <w:jc w:val="both"/>
      </w:pPr>
      <w:r w:rsidRPr="007E7EC7">
        <w:t>Croup is more common in boys than in girls, with males 1.43 times more likely to be diagnosed with the disease.</w:t>
      </w:r>
      <w:r w:rsidRPr="007E7EC7">
        <w:rPr>
          <w:vertAlign w:val="superscript"/>
        </w:rPr>
        <w:t>9,10</w:t>
      </w:r>
      <w:r w:rsidRPr="007E7EC7">
        <w:t xml:space="preserve"> Furthermore, males and infants have a higher risk of hospitalization compared to females and older children. Among young children (2 years old and under) presenting to the emergency department with croup symptoms, approximately 8% are hospitalized and fewer than 1% are admitted to the pediatric intensive care unit.</w:t>
      </w:r>
      <w:r w:rsidRPr="007E7EC7">
        <w:rPr>
          <w:vertAlign w:val="superscript"/>
        </w:rPr>
        <w:t>11</w:t>
      </w:r>
      <w:r w:rsidRPr="007E7EC7">
        <w:t xml:space="preserve"> The incidence of the infection exhibits a seasonal and biennial trend, peaking in autumn and winter but can occur at any time. Larger peaks have been reported in alternating years and in the fall and winter months; summer</w:t>
      </w:r>
      <w:r w:rsidR="000C2904">
        <w:t xml:space="preserve"> month</w:t>
      </w:r>
      <w:r w:rsidRPr="007E7EC7">
        <w:t>s have the fewest cases.</w:t>
      </w:r>
      <w:r w:rsidRPr="007E7EC7">
        <w:rPr>
          <w:vertAlign w:val="superscript"/>
        </w:rPr>
        <w:t>7</w:t>
      </w:r>
      <w:r w:rsidRPr="007E7EC7">
        <w:t xml:space="preserve"> Overall, croup affects </w:t>
      </w:r>
      <w:r w:rsidR="002664C0">
        <w:t xml:space="preserve">more than </w:t>
      </w:r>
      <w:r w:rsidRPr="007E7EC7">
        <w:t xml:space="preserve">1.4 million children </w:t>
      </w:r>
      <w:r w:rsidR="002664C0">
        <w:t xml:space="preserve">annually </w:t>
      </w:r>
      <w:r w:rsidRPr="007E7EC7">
        <w:t>for an estimated cost of $56 million annually in the United States.</w:t>
      </w:r>
      <w:r w:rsidRPr="007E7EC7">
        <w:rPr>
          <w:vertAlign w:val="superscript"/>
        </w:rPr>
        <w:t>12</w:t>
      </w:r>
      <w:r w:rsidRPr="007E7EC7">
        <w:t xml:space="preserve"> </w:t>
      </w:r>
    </w:p>
    <w:p w14:paraId="40164778" w14:textId="77777777" w:rsidR="007A4A3A" w:rsidRPr="00203D44" w:rsidRDefault="007A4A3A" w:rsidP="0048040B">
      <w:pPr>
        <w:pStyle w:val="Heading2"/>
      </w:pPr>
      <w:r w:rsidRPr="00203D44">
        <w:lastRenderedPageBreak/>
        <w:t>Brief History of Croup</w:t>
      </w:r>
    </w:p>
    <w:p w14:paraId="31C0993E" w14:textId="77777777" w:rsidR="007A4A3A" w:rsidRPr="007E7EC7" w:rsidRDefault="007A4A3A" w:rsidP="007A4A3A">
      <w:pPr>
        <w:spacing w:line="360" w:lineRule="auto"/>
        <w:jc w:val="both"/>
      </w:pPr>
      <w:r w:rsidRPr="007E7EC7">
        <w:t>The word croup derives from the Anglo-Saxon ‘kropan’ meaning to cry aloud.</w:t>
      </w:r>
      <w:r w:rsidRPr="007E7EC7">
        <w:rPr>
          <w:vertAlign w:val="superscript"/>
        </w:rPr>
        <w:t>13</w:t>
      </w:r>
      <w:r w:rsidRPr="007E7EC7">
        <w:t xml:space="preserve"> </w:t>
      </w:r>
      <w:r w:rsidR="006B7C0B">
        <w:t>I</w:t>
      </w:r>
      <w:r w:rsidR="006B7C0B" w:rsidRPr="007E7EC7">
        <w:t>n I765</w:t>
      </w:r>
      <w:r w:rsidR="006B7C0B">
        <w:t>,</w:t>
      </w:r>
      <w:r w:rsidR="006B7C0B" w:rsidRPr="007E7EC7">
        <w:t xml:space="preserve"> Dr. Francis Home of Edinburgh</w:t>
      </w:r>
      <w:r w:rsidR="006B7C0B" w:rsidDel="006B7C0B">
        <w:t xml:space="preserve"> </w:t>
      </w:r>
      <w:r w:rsidR="006B7C0B">
        <w:t>added</w:t>
      </w:r>
      <w:r w:rsidR="006B7C0B" w:rsidRPr="007E7EC7">
        <w:t xml:space="preserve"> </w:t>
      </w:r>
      <w:r w:rsidR="001A189B" w:rsidRPr="007E7EC7">
        <w:t xml:space="preserve">“Croup” </w:t>
      </w:r>
      <w:r w:rsidR="006B7C0B">
        <w:t>to the lexicon of</w:t>
      </w:r>
      <w:r w:rsidR="006B7C0B" w:rsidRPr="007E7EC7">
        <w:t xml:space="preserve"> </w:t>
      </w:r>
      <w:r w:rsidR="001A189B" w:rsidRPr="007E7EC7">
        <w:t>scientific medic</w:t>
      </w:r>
      <w:r w:rsidR="006B7C0B">
        <w:t>ine</w:t>
      </w:r>
      <w:r w:rsidR="004E65AB">
        <w:t xml:space="preserve"> </w:t>
      </w:r>
      <w:r w:rsidR="006B7C0B">
        <w:t>with</w:t>
      </w:r>
      <w:r w:rsidR="001A189B" w:rsidRPr="007E7EC7">
        <w:t xml:space="preserve"> his </w:t>
      </w:r>
      <w:r w:rsidR="001A189B" w:rsidRPr="0051417D">
        <w:rPr>
          <w:i/>
        </w:rPr>
        <w:t>Inquiry into the Nature, Cause, and Cure</w:t>
      </w:r>
      <w:r w:rsidR="001A189B" w:rsidRPr="007E7EC7">
        <w:t xml:space="preserve"> </w:t>
      </w:r>
      <w:r w:rsidR="001A189B" w:rsidRPr="00F45100">
        <w:rPr>
          <w:i/>
        </w:rPr>
        <w:t>of Croup</w:t>
      </w:r>
      <w:r w:rsidR="001A189B" w:rsidRPr="007E7EC7">
        <w:t xml:space="preserve">. </w:t>
      </w:r>
      <w:r w:rsidR="001A189B">
        <w:t>Unti</w:t>
      </w:r>
      <w:r w:rsidR="001A189B" w:rsidRPr="007E7EC7">
        <w:t xml:space="preserve">l then, it was only a popular term in Scotland and Sweden for </w:t>
      </w:r>
      <w:r w:rsidR="001A189B">
        <w:t>stridulent</w:t>
      </w:r>
      <w:r w:rsidR="001A189B" w:rsidRPr="007E7EC7">
        <w:t xml:space="preserve"> breathing, crowing or croupy respiration.</w:t>
      </w:r>
      <w:r w:rsidR="001A189B" w:rsidRPr="007E7EC7">
        <w:rPr>
          <w:vertAlign w:val="superscript"/>
        </w:rPr>
        <w:t>14</w:t>
      </w:r>
      <w:r w:rsidR="001A189B" w:rsidRPr="007E7EC7">
        <w:t xml:space="preserve"> </w:t>
      </w:r>
      <w:r w:rsidRPr="007E7EC7">
        <w:t>It seems to have started getting wider acceptance and use in the nineteen</w:t>
      </w:r>
      <w:r w:rsidR="000C2904">
        <w:t xml:space="preserve">th </w:t>
      </w:r>
      <w:r w:rsidR="00743541">
        <w:t>century</w:t>
      </w:r>
      <w:r w:rsidRPr="007E7EC7">
        <w:t>, specifically in 1873, when the New York Foundling Asylum opened its hospital near Lexington Avenue, New York, with Joseph O’Dwyer as one of the newly appointed physicians. It was there that O’Dwyer encounter</w:t>
      </w:r>
      <w:r w:rsidR="000C2904">
        <w:t>ed</w:t>
      </w:r>
      <w:r w:rsidRPr="007E7EC7">
        <w:t xml:space="preserve"> the ravages of diphtheria in young children and its lethal accompaniment–diphtheritic croup. The management of croup, and more specifically the maintenance of an airway in the more extreme cases, was to become an obsessional focus of O’Dwyer’s work. </w:t>
      </w:r>
    </w:p>
    <w:p w14:paraId="44C3A069" w14:textId="77777777" w:rsidR="007A4A3A" w:rsidRPr="007E7EC7" w:rsidRDefault="007A4A3A" w:rsidP="007A4A3A">
      <w:pPr>
        <w:spacing w:line="360" w:lineRule="auto"/>
        <w:jc w:val="both"/>
      </w:pPr>
      <w:r w:rsidRPr="007E7EC7">
        <w:t>Before the advent of treatment with corticosteroids and racemic epinephrine for severe croup, intubation</w:t>
      </w:r>
      <w:r>
        <w:t xml:space="preserve"> and</w:t>
      </w:r>
      <w:r w:rsidRPr="007E7EC7">
        <w:t xml:space="preserve"> tracheotomy</w:t>
      </w:r>
      <w:r>
        <w:t xml:space="preserve"> were typical </w:t>
      </w:r>
      <w:r w:rsidR="00223801">
        <w:t xml:space="preserve">treatments </w:t>
      </w:r>
      <w:r w:rsidR="00223801" w:rsidRPr="007E7EC7">
        <w:t>and</w:t>
      </w:r>
      <w:r w:rsidRPr="007E7EC7">
        <w:t xml:space="preserve"> death </w:t>
      </w:r>
      <w:r>
        <w:t>was common</w:t>
      </w:r>
      <w:r w:rsidRPr="007E7EC7">
        <w:t>. Treatment has evolved from barbaric methods including bleeding and application of leeches, through mist kettles (pot</w:t>
      </w:r>
      <w:r>
        <w:t>s</w:t>
      </w:r>
      <w:r w:rsidRPr="007E7EC7">
        <w:t xml:space="preserve"> of boiling water), mist rooms, and mist tents, to the current evidence-based practice of corticosteroids and epinephrine delivered via nebulizer.</w:t>
      </w:r>
      <w:r w:rsidRPr="007E7EC7">
        <w:rPr>
          <w:vertAlign w:val="superscript"/>
        </w:rPr>
        <w:t>15</w:t>
      </w:r>
      <w:r w:rsidRPr="007E7EC7">
        <w:t xml:space="preserve"> Oxygen, analgesics, antipyretics, antibiotics, antitussives, decongestants, and short-acting β2 agonists were also used for the management of croup, with the widespread consensus that these treatments are beneficial in these circumstances, even though there was no published evidence of their efficacy in managing signs of respiratory distress. Oxygen administered via a plastic hose with the opening held within a few centimeters of the nose and mouth </w:t>
      </w:r>
      <w:r w:rsidR="004E65AB">
        <w:t>(</w:t>
      </w:r>
      <w:r w:rsidRPr="007E7EC7">
        <w:t>also referred to as “blow-by oxygen”</w:t>
      </w:r>
      <w:r w:rsidR="004E65AB">
        <w:t>) will not agitate a child.</w:t>
      </w:r>
      <w:r w:rsidRPr="007E7EC7">
        <w:t xml:space="preserve"> </w:t>
      </w:r>
      <w:r w:rsidR="004E65AB">
        <w:t>T</w:t>
      </w:r>
      <w:r w:rsidRPr="007E7EC7">
        <w:t xml:space="preserve">he use of analgesics or antipyretics can reduce fever or discomfort in children with croup. Since croup has a viral cause, the use of antibiotics </w:t>
      </w:r>
      <w:r w:rsidR="004E65AB">
        <w:t>is</w:t>
      </w:r>
      <w:r w:rsidRPr="007E7EC7">
        <w:t xml:space="preserve"> unreasonable unless superinfections (e.g.</w:t>
      </w:r>
      <w:r>
        <w:t>,</w:t>
      </w:r>
      <w:r w:rsidRPr="007E7EC7">
        <w:t xml:space="preserve"> bacterial tracheitis and pneumonia) arise. Furthermore, the lack of physiologically rational basis for the use of antitussives or decongestants </w:t>
      </w:r>
      <w:r>
        <w:t>argues</w:t>
      </w:r>
      <w:r w:rsidRPr="007E7EC7">
        <w:t xml:space="preserve"> against their administration. Lastly, in view of the pathophysiology of croup as an upper-airway disease, </w:t>
      </w:r>
      <w:r w:rsidR="004E65AB">
        <w:t xml:space="preserve">we found </w:t>
      </w:r>
      <w:r w:rsidRPr="007E7EC7">
        <w:t>no valid reasons for the continued use of short-acting β2 agonists for treatment of croup.</w:t>
      </w:r>
      <w:r w:rsidRPr="007E7EC7">
        <w:rPr>
          <w:vertAlign w:val="superscript"/>
        </w:rPr>
        <w:t>15</w:t>
      </w:r>
    </w:p>
    <w:p w14:paraId="1FEDC186" w14:textId="77777777" w:rsidR="007A4A3A" w:rsidRPr="007E7EC7" w:rsidRDefault="007A4A3A" w:rsidP="007A4A3A">
      <w:pPr>
        <w:spacing w:line="360" w:lineRule="auto"/>
        <w:jc w:val="both"/>
      </w:pPr>
      <w:r w:rsidRPr="007E7EC7">
        <w:t xml:space="preserve">Other historical treatment approaches included exposure to cold atmospheric air at home, and humidified air in hospitalized children even though there is no scientific evidence to support that exposing children with croup to </w:t>
      </w:r>
      <w:r w:rsidR="004E65AB" w:rsidRPr="007E7EC7">
        <w:t>chilly air</w:t>
      </w:r>
      <w:r w:rsidRPr="007E7EC7">
        <w:t xml:space="preserve"> reduces the intensity of symptoms, nor that the use of humidified air to treat hospitalized patients has shown any improvement in the case of mild-to-moderate croup.</w:t>
      </w:r>
      <w:r w:rsidRPr="007E7EC7">
        <w:rPr>
          <w:vertAlign w:val="superscript"/>
        </w:rPr>
        <w:t>11</w:t>
      </w:r>
      <w:r w:rsidRPr="007E7EC7">
        <w:t xml:space="preserve"> </w:t>
      </w:r>
    </w:p>
    <w:p w14:paraId="7F26024D" w14:textId="77777777" w:rsidR="007A4A3A" w:rsidRPr="00203D44" w:rsidRDefault="007A4A3A" w:rsidP="0048040B">
      <w:pPr>
        <w:pStyle w:val="Heading2"/>
      </w:pPr>
      <w:r w:rsidRPr="00203D44">
        <w:lastRenderedPageBreak/>
        <w:t>Etiology</w:t>
      </w:r>
    </w:p>
    <w:p w14:paraId="70332EE5" w14:textId="77777777" w:rsidR="007A4A3A" w:rsidRDefault="004E65AB" w:rsidP="007A4A3A">
      <w:pPr>
        <w:spacing w:line="360" w:lineRule="auto"/>
        <w:jc w:val="both"/>
      </w:pPr>
      <w:r>
        <w:t>V</w:t>
      </w:r>
      <w:r w:rsidRPr="007E7EC7">
        <w:t>iral infection</w:t>
      </w:r>
      <w:r>
        <w:t xml:space="preserve"> is the most common cause of</w:t>
      </w:r>
      <w:r w:rsidRPr="007E7EC7">
        <w:t xml:space="preserve"> </w:t>
      </w:r>
      <w:r>
        <w:t>c</w:t>
      </w:r>
      <w:r w:rsidRPr="007E7EC7">
        <w:t>roup</w:t>
      </w:r>
      <w:r w:rsidR="007A4A3A" w:rsidRPr="007E7EC7">
        <w:t xml:space="preserve">. The most common causes of laryngotracheitis croup are parainfluenza viruses (types 1, 2, 3 and 4), accounting for up to 80% of cases—with </w:t>
      </w:r>
      <w:r w:rsidR="00147C42">
        <w:t>P</w:t>
      </w:r>
      <w:r w:rsidR="007A4A3A" w:rsidRPr="007E7EC7">
        <w:t>arainfluenza I serving as the leading pathogen.</w:t>
      </w:r>
      <w:r w:rsidR="007A4A3A" w:rsidRPr="007E7EC7">
        <w:rPr>
          <w:vertAlign w:val="superscript"/>
        </w:rPr>
        <w:t>9,11</w:t>
      </w:r>
      <w:r w:rsidR="007A4A3A" w:rsidRPr="007E7EC7">
        <w:t xml:space="preserve"> Other causative viruses are </w:t>
      </w:r>
      <w:r w:rsidR="00AB3D6B" w:rsidRPr="007E7EC7">
        <w:t>respiratory syncytial virus (RSV)</w:t>
      </w:r>
      <w:r w:rsidR="00AB3D6B">
        <w:t xml:space="preserve">, </w:t>
      </w:r>
      <w:r w:rsidR="007A4A3A" w:rsidRPr="007E7EC7">
        <w:t xml:space="preserve">influenza A and B viruses, human metapneumovirus, adenovirus, enterovirus, influenza virus, </w:t>
      </w:r>
      <w:r w:rsidR="007A4A3A" w:rsidRPr="00AB3D6B">
        <w:rPr>
          <w:i/>
        </w:rPr>
        <w:t>Mycoplasma pneumoniae</w:t>
      </w:r>
      <w:r w:rsidR="007A4A3A" w:rsidRPr="007E7EC7">
        <w:t xml:space="preserve"> (</w:t>
      </w:r>
      <w:r w:rsidR="007A4A3A" w:rsidRPr="00AB3D6B">
        <w:rPr>
          <w:i/>
        </w:rPr>
        <w:t>M. pneumoniae</w:t>
      </w:r>
      <w:r w:rsidR="007A4A3A" w:rsidRPr="007E7EC7">
        <w:t>) and human bocavirus. Co-infections by more than one viral agents such as rhinovirus and respiratory syncytial virus are not uncommon.</w:t>
      </w:r>
      <w:r w:rsidR="007A4A3A" w:rsidRPr="007E7EC7">
        <w:rPr>
          <w:vertAlign w:val="superscript"/>
        </w:rPr>
        <w:t>6,9,11</w:t>
      </w:r>
      <w:r w:rsidR="007A4A3A" w:rsidRPr="007E7EC7">
        <w:t xml:space="preserve"> There is a growing body of research that found that a family history of croup among siblings and parents was the most important risk factor for croup and its recurrence. Additionally, there are two forms of croup that occur during the first 3 years of life.</w:t>
      </w:r>
      <w:r w:rsidR="007A4A3A" w:rsidRPr="00203D44">
        <w:rPr>
          <w:vertAlign w:val="superscript"/>
        </w:rPr>
        <w:t>16</w:t>
      </w:r>
      <w:r w:rsidR="007A4A3A" w:rsidRPr="007E7EC7">
        <w:t xml:space="preserve"> Two thirds of children with croup have wheezing during croup episodes, or during episodes of some other lower respiratory infections, while one-third show no wheezing at all during respiratory infections. </w:t>
      </w:r>
      <w:r>
        <w:t>Reportedly,</w:t>
      </w:r>
      <w:r w:rsidR="007A4A3A" w:rsidRPr="007E7EC7">
        <w:t xml:space="preserve"> infants in whom croup occurs with wheezing have significantly lower mean measures of small airways shortly after birth, than those who later developed croup without wheezing or some other lower respiratory infection. These children have increased inspiratory resistance as well, </w:t>
      </w:r>
      <w:r w:rsidR="007A4A3A">
        <w:t>and</w:t>
      </w:r>
      <w:r w:rsidR="007A4A3A" w:rsidRPr="007E7EC7">
        <w:t xml:space="preserve"> there may be some inherited structural factors that are conducive to croup.</w:t>
      </w:r>
      <w:r w:rsidR="007A4A3A" w:rsidRPr="007E7EC7">
        <w:rPr>
          <w:vertAlign w:val="superscript"/>
        </w:rPr>
        <w:t>16</w:t>
      </w:r>
      <w:r w:rsidR="007A4A3A" w:rsidRPr="007E7EC7">
        <w:t xml:space="preserve"> </w:t>
      </w:r>
    </w:p>
    <w:p w14:paraId="769AE8D2" w14:textId="77777777" w:rsidR="004D38C7" w:rsidRPr="007E7EC7" w:rsidRDefault="004D38C7" w:rsidP="007A4A3A">
      <w:pPr>
        <w:spacing w:line="360" w:lineRule="auto"/>
        <w:jc w:val="both"/>
      </w:pPr>
    </w:p>
    <w:p w14:paraId="2FE2B434" w14:textId="77777777" w:rsidR="007A4A3A" w:rsidRPr="00203D44" w:rsidRDefault="007A4A3A" w:rsidP="0048040B">
      <w:pPr>
        <w:pStyle w:val="Heading2"/>
      </w:pPr>
      <w:r w:rsidRPr="00203D44">
        <w:t>Pathophysiology</w:t>
      </w:r>
    </w:p>
    <w:p w14:paraId="272808BB" w14:textId="77777777" w:rsidR="007A4A3A" w:rsidRPr="007E7EC7" w:rsidRDefault="007A4A3A" w:rsidP="007A4A3A">
      <w:pPr>
        <w:spacing w:line="360" w:lineRule="auto"/>
        <w:jc w:val="both"/>
      </w:pPr>
      <w:r w:rsidRPr="007E7EC7">
        <w:t>Viral invasion of the subglottic mucosa causes inflammation and edema, leading to narrowing of the upper airway.</w:t>
      </w:r>
      <w:r w:rsidRPr="007E7EC7">
        <w:rPr>
          <w:vertAlign w:val="superscript"/>
        </w:rPr>
        <w:t>6</w:t>
      </w:r>
      <w:r w:rsidRPr="007E7EC7">
        <w:t xml:space="preserve"> Inflammation of the airway of the larynx, trachea and larger bronchi is a powerful stimulus for coughing</w:t>
      </w:r>
      <w:r w:rsidR="00601A4B">
        <w:t xml:space="preserve">. </w:t>
      </w:r>
      <w:r w:rsidRPr="007E7EC7">
        <w:t>The rapidly adapting pulmonary stretch receptors (RAR) in the airway epithelium of the larynx and the tracheobronchial tree are the primary sensory pathways for cough. Pulmonary and bronchial C-fiber receptors mediate neurogenic inflammation and release tachykinins, which can activate RARs. RARs and C-fiber receptors correlate with vagal afferent fibers - the central connections of the C-fiber receptors – which are known to inhibit coughing.</w:t>
      </w:r>
      <w:r w:rsidRPr="007E7EC7">
        <w:rPr>
          <w:vertAlign w:val="superscript"/>
        </w:rPr>
        <w:t xml:space="preserve">16 </w:t>
      </w:r>
    </w:p>
    <w:p w14:paraId="45E3BF9B" w14:textId="77777777" w:rsidR="007A4A3A" w:rsidRPr="007E7EC7" w:rsidRDefault="007A4A3A" w:rsidP="007A4A3A">
      <w:pPr>
        <w:spacing w:line="360" w:lineRule="auto"/>
        <w:jc w:val="both"/>
      </w:pPr>
      <w:r w:rsidRPr="007E7EC7">
        <w:t>In the inflammation process, tumor necrosis factor-alpha (TNF-α), interleukin-1 (IL-1), interleukin-6 (IL-6), interleukin-8 (IL-8), and platelet activating factor (PAF) show proinflammatory activity. Added to that, Eosinophil granule proteins cause damage in the epithelial cells, contraction in the airway smooth muscle</w:t>
      </w:r>
      <w:r>
        <w:t>. T</w:t>
      </w:r>
      <w:r w:rsidRPr="007E7EC7">
        <w:t>he mediators released by the effect of immunoglobulin E (Ig</w:t>
      </w:r>
      <w:r w:rsidR="00601A4B">
        <w:t xml:space="preserve"> </w:t>
      </w:r>
      <w:r w:rsidRPr="007E7EC7">
        <w:t>E) cause bronchoconstriction.</w:t>
      </w:r>
      <w:r w:rsidRPr="007E7EC7">
        <w:rPr>
          <w:vertAlign w:val="superscript"/>
        </w:rPr>
        <w:t xml:space="preserve">17 </w:t>
      </w:r>
      <w:r w:rsidRPr="007E7EC7">
        <w:t xml:space="preserve">Symptoms result from swelling in the windpipe (trachea) just below the voice box (larynx). </w:t>
      </w:r>
      <w:r w:rsidR="007F272E">
        <w:t>L</w:t>
      </w:r>
      <w:r w:rsidR="007F272E" w:rsidRPr="007E7EC7">
        <w:t>aryngotracheal airway inflammation</w:t>
      </w:r>
      <w:r w:rsidR="007F272E" w:rsidRPr="007E7EC7" w:rsidDel="007F272E">
        <w:t xml:space="preserve"> </w:t>
      </w:r>
      <w:r w:rsidR="007F272E">
        <w:t xml:space="preserve">can induce </w:t>
      </w:r>
      <w:r w:rsidRPr="007E7EC7">
        <w:t>symptoms in children</w:t>
      </w:r>
      <w:r w:rsidR="007F272E">
        <w:t>, typically.</w:t>
      </w:r>
      <w:r w:rsidRPr="007E7EC7">
        <w:t xml:space="preserve"> </w:t>
      </w:r>
      <w:r w:rsidR="007F272E">
        <w:t>L</w:t>
      </w:r>
      <w:r w:rsidR="007F272E" w:rsidRPr="007E7EC7">
        <w:t>aryngotracheal airway inflammation</w:t>
      </w:r>
      <w:r w:rsidR="007F272E" w:rsidRPr="007E7EC7" w:rsidDel="007F272E">
        <w:t xml:space="preserve"> </w:t>
      </w:r>
      <w:r w:rsidR="007F272E">
        <w:t xml:space="preserve">is </w:t>
      </w:r>
      <w:r w:rsidRPr="007E7EC7">
        <w:t xml:space="preserve">due to a small decrease in diameter, secondary to mucosal edema and inflammation, which exponentially </w:t>
      </w:r>
      <w:r w:rsidRPr="007E7EC7">
        <w:lastRenderedPageBreak/>
        <w:t xml:space="preserve">increases airway resistance and the work of breathing. During inspiration, the walls of the subglottic space </w:t>
      </w:r>
      <w:r w:rsidR="007F272E">
        <w:t>draw</w:t>
      </w:r>
      <w:r w:rsidRPr="007E7EC7">
        <w:t xml:space="preserve"> together, thereby producing the stridor characteristic of croup.</w:t>
      </w:r>
      <w:r w:rsidRPr="007E7EC7">
        <w:rPr>
          <w:vertAlign w:val="superscript"/>
        </w:rPr>
        <w:t>9</w:t>
      </w:r>
      <w:r w:rsidRPr="007E7EC7">
        <w:t xml:space="preserve"> The relationship between the </w:t>
      </w:r>
      <w:r>
        <w:t>onset</w:t>
      </w:r>
      <w:r w:rsidRPr="007E7EC7">
        <w:t xml:space="preserve"> of symptoms and the cortisol circadian rhythm is not yet clearly known. Symptoms are typically seen at night hours, which may be related to the circadian rhythm of cortisol, concentrations of which peak at about 0800 h and reach a trough between 2300 h and 0400 h.</w:t>
      </w:r>
      <w:r w:rsidRPr="007E7EC7">
        <w:rPr>
          <w:vertAlign w:val="superscript"/>
        </w:rPr>
        <w:t>15,17</w:t>
      </w:r>
      <w:r w:rsidRPr="007E7EC7">
        <w:t xml:space="preserve"> Depending on the degree of inflammation and subglottic narrowing, each child will develop varying degrees of respiratory distress.</w:t>
      </w:r>
      <w:r w:rsidRPr="007E7EC7">
        <w:rPr>
          <w:vertAlign w:val="superscript"/>
        </w:rPr>
        <w:t>9</w:t>
      </w:r>
      <w:r w:rsidRPr="007E7EC7">
        <w:t xml:space="preserve"> As </w:t>
      </w:r>
      <w:r w:rsidR="007F272E">
        <w:t>noted above</w:t>
      </w:r>
      <w:r w:rsidRPr="007E7EC7">
        <w:t xml:space="preserve">, </w:t>
      </w:r>
      <w:r w:rsidR="007F272E">
        <w:t xml:space="preserve">this narrowing increases </w:t>
      </w:r>
      <w:r w:rsidRPr="007E7EC7">
        <w:t xml:space="preserve">the pressure gradient necessary to move air through the upper airway leading to an increased </w:t>
      </w:r>
      <w:r w:rsidR="007F272E" w:rsidRPr="007E7EC7">
        <w:t xml:space="preserve">breathing </w:t>
      </w:r>
      <w:r w:rsidR="0068796D" w:rsidRPr="007E7EC7">
        <w:t>effort.</w:t>
      </w:r>
      <w:r w:rsidRPr="007E7EC7">
        <w:t xml:space="preserve"> This may result in fatigue of the respiratory muscles and subsequently lead to respiratory failure, requiring emergency intubation.</w:t>
      </w:r>
      <w:r w:rsidRPr="007E7EC7">
        <w:rPr>
          <w:vertAlign w:val="superscript"/>
        </w:rPr>
        <w:t>6</w:t>
      </w:r>
      <w:r w:rsidRPr="007E7EC7">
        <w:t xml:space="preserve">  </w:t>
      </w:r>
    </w:p>
    <w:p w14:paraId="4D3A76B3" w14:textId="77777777" w:rsidR="007A4A3A" w:rsidRPr="00203D44" w:rsidRDefault="007A4A3A" w:rsidP="0048040B">
      <w:pPr>
        <w:pStyle w:val="Heading2"/>
      </w:pPr>
      <w:r w:rsidRPr="00203D44">
        <w:t>Signs and Symptoms</w:t>
      </w:r>
    </w:p>
    <w:p w14:paraId="56E87F40" w14:textId="77777777" w:rsidR="007A4A3A" w:rsidRPr="007E7EC7" w:rsidRDefault="007A4A3A" w:rsidP="007A4A3A">
      <w:pPr>
        <w:spacing w:line="360" w:lineRule="auto"/>
        <w:jc w:val="both"/>
        <w:rPr>
          <w:u w:val="single"/>
        </w:rPr>
      </w:pPr>
      <w:r w:rsidRPr="007E7EC7">
        <w:t xml:space="preserve">Croup’s symptoms are typically abrupt and usually occur at night. A child with croup presents a harsh cough, described as ‘seal-like barking’ or ‘brassy’, inspiratory stridor, hoarseness, low grade fever and respiratory distress that may slowly or quickly develop. </w:t>
      </w:r>
      <w:r w:rsidR="007F272E">
        <w:t>T</w:t>
      </w:r>
      <w:r w:rsidRPr="007E7EC7">
        <w:t>he variably pitched noise of breathing associated with a partially obstructed upper airway</w:t>
      </w:r>
      <w:r w:rsidR="007F272E">
        <w:t xml:space="preserve"> defines stridor</w:t>
      </w:r>
      <w:r w:rsidRPr="007E7EC7">
        <w:t>. Inspiratory stridor occurs primarily with obstruction of the glottis but also with subglottic edema.</w:t>
      </w:r>
      <w:r w:rsidRPr="007E7EC7">
        <w:rPr>
          <w:vertAlign w:val="superscript"/>
        </w:rPr>
        <w:t>9</w:t>
      </w:r>
      <w:r w:rsidRPr="007E7EC7">
        <w:t xml:space="preserve"> The characteristic symptoms of croup fluctuate in severity depending on whether the patient is agitated or calm. </w:t>
      </w:r>
      <w:r w:rsidR="00697361">
        <w:t>One</w:t>
      </w:r>
      <w:r w:rsidR="00697361" w:rsidRPr="007E7EC7">
        <w:t xml:space="preserve"> </w:t>
      </w:r>
      <w:r w:rsidRPr="007E7EC7">
        <w:t xml:space="preserve">to </w:t>
      </w:r>
      <w:r w:rsidR="00697361">
        <w:t>two</w:t>
      </w:r>
      <w:r w:rsidR="00697361" w:rsidRPr="007E7EC7">
        <w:t xml:space="preserve"> </w:t>
      </w:r>
      <w:r w:rsidRPr="007E7EC7">
        <w:t>days of upper respiratory tract symptoms</w:t>
      </w:r>
      <w:r w:rsidR="00697361">
        <w:t xml:space="preserve"> </w:t>
      </w:r>
      <w:r w:rsidRPr="007E7EC7">
        <w:t>that may or may not include fever</w:t>
      </w:r>
      <w:r w:rsidR="00697361">
        <w:t xml:space="preserve"> usually precede croup</w:t>
      </w:r>
      <w:r w:rsidRPr="007E7EC7">
        <w:t>.</w:t>
      </w:r>
      <w:r w:rsidRPr="007E7EC7">
        <w:rPr>
          <w:vertAlign w:val="superscript"/>
        </w:rPr>
        <w:t xml:space="preserve">7,15 </w:t>
      </w:r>
      <w:r w:rsidRPr="007E7EC7">
        <w:t>The</w:t>
      </w:r>
      <w:r w:rsidR="00697361">
        <w:t>se</w:t>
      </w:r>
      <w:r w:rsidRPr="007E7EC7">
        <w:t xml:space="preserve"> generally </w:t>
      </w:r>
      <w:r w:rsidR="00697361" w:rsidRPr="007E7EC7">
        <w:t>short-lived</w:t>
      </w:r>
      <w:r w:rsidR="00697361">
        <w:t xml:space="preserve"> symptoms resolve</w:t>
      </w:r>
      <w:r w:rsidRPr="007E7EC7">
        <w:t xml:space="preserve"> the barky cough within 48 h in about 60% of children.</w:t>
      </w:r>
      <w:r w:rsidRPr="007E7EC7">
        <w:rPr>
          <w:vertAlign w:val="superscript"/>
        </w:rPr>
        <w:t>7,9</w:t>
      </w:r>
      <w:r w:rsidRPr="007E7EC7">
        <w:t xml:space="preserve"> </w:t>
      </w:r>
      <w:r w:rsidR="00697361">
        <w:t>Assessing t</w:t>
      </w:r>
      <w:r w:rsidRPr="007E7EC7">
        <w:t xml:space="preserve">he severity of croup can be based on clinical features such as increased respiratory rate; increased heart rate; altered mental state – anxiety, agitation, confusion; work of breathing with the use of accessory muscles; and stridor. Hypoxia is a late sign in croup as this reflects gas exchange at the alveolar level, while the disease in croup involves the </w:t>
      </w:r>
      <w:r w:rsidR="009B6F8A">
        <w:t xml:space="preserve">upper </w:t>
      </w:r>
      <w:r w:rsidRPr="007E7EC7">
        <w:t>airway. Thus, measuring oxygen saturations is of no clinical benefit</w:t>
      </w:r>
      <w:r w:rsidR="007512B8">
        <w:t xml:space="preserve"> </w:t>
      </w:r>
      <w:r w:rsidR="00697361">
        <w:t xml:space="preserve">absent </w:t>
      </w:r>
      <w:r w:rsidR="007512B8">
        <w:t>issues such as concurrent pneumonia</w:t>
      </w:r>
      <w:r w:rsidRPr="007E7EC7">
        <w:t>.</w:t>
      </w:r>
      <w:r w:rsidRPr="007E7EC7">
        <w:rPr>
          <w:vertAlign w:val="superscript"/>
        </w:rPr>
        <w:t>18</w:t>
      </w:r>
    </w:p>
    <w:p w14:paraId="3066AC5E" w14:textId="77777777" w:rsidR="007A4A3A" w:rsidRPr="00203D44" w:rsidRDefault="007A4A3A" w:rsidP="0048040B">
      <w:pPr>
        <w:pStyle w:val="Heading2"/>
      </w:pPr>
      <w:r w:rsidRPr="00203D44">
        <w:t>Diagnosis</w:t>
      </w:r>
    </w:p>
    <w:p w14:paraId="6DEF5E20" w14:textId="77777777" w:rsidR="007A4A3A" w:rsidRPr="007E7EC7" w:rsidRDefault="007A4A3A" w:rsidP="007A4A3A">
      <w:pPr>
        <w:spacing w:line="360" w:lineRule="auto"/>
        <w:jc w:val="both"/>
      </w:pPr>
      <w:r w:rsidRPr="007E7EC7">
        <w:t xml:space="preserve">Croup is a clinical diagnosis. In the child with classic signs and symptoms, the diagnosis of croup is straightforward </w:t>
      </w:r>
      <w:r w:rsidR="00697361">
        <w:t>often</w:t>
      </w:r>
      <w:r w:rsidRPr="007E7EC7">
        <w:t xml:space="preserve"> based on history and physical examination alone. However, </w:t>
      </w:r>
      <w:r w:rsidR="00697361" w:rsidRPr="007E7EC7">
        <w:t xml:space="preserve">laryngoscopic examination </w:t>
      </w:r>
      <w:r w:rsidR="00697361">
        <w:t xml:space="preserve">may observe </w:t>
      </w:r>
      <w:r w:rsidRPr="007E7EC7">
        <w:t>erythema and swelling of the lateral walls of the trachea.</w:t>
      </w:r>
      <w:r w:rsidRPr="007E7EC7">
        <w:rPr>
          <w:vertAlign w:val="superscript"/>
        </w:rPr>
        <w:t>7,17</w:t>
      </w:r>
      <w:r w:rsidRPr="007E7EC7">
        <w:t xml:space="preserve"> </w:t>
      </w:r>
      <w:r w:rsidR="00676274" w:rsidRPr="007E7EC7">
        <w:t>immunofluorescence and culture of a nasopharyngeal aspirate (NPA)</w:t>
      </w:r>
      <w:r w:rsidR="00676274">
        <w:t xml:space="preserve"> can confirm t</w:t>
      </w:r>
      <w:r w:rsidRPr="007E7EC7">
        <w:t>he specific cause of croup. However, this does not alter croup management in any way and is likely to cause unnecessary distress to the child.</w:t>
      </w:r>
      <w:r w:rsidRPr="007E7EC7">
        <w:rPr>
          <w:vertAlign w:val="superscript"/>
        </w:rPr>
        <w:t>18</w:t>
      </w:r>
      <w:r w:rsidRPr="007E7EC7">
        <w:t xml:space="preserve"> </w:t>
      </w:r>
    </w:p>
    <w:p w14:paraId="12FAD283" w14:textId="77777777" w:rsidR="007A4A3A" w:rsidRPr="007E7EC7" w:rsidRDefault="00676274" w:rsidP="007A4A3A">
      <w:pPr>
        <w:spacing w:line="360" w:lineRule="auto"/>
        <w:jc w:val="both"/>
      </w:pPr>
      <w:r>
        <w:lastRenderedPageBreak/>
        <w:t>B</w:t>
      </w:r>
      <w:r w:rsidRPr="007E7EC7">
        <w:t xml:space="preserve">oth direct and indirect measures </w:t>
      </w:r>
      <w:r>
        <w:t>can determine the c</w:t>
      </w:r>
      <w:r w:rsidR="007A4A3A" w:rsidRPr="007E7EC7">
        <w:t xml:space="preserve">linical severity in children. Direct measures </w:t>
      </w:r>
      <w:r w:rsidR="007A4A3A">
        <w:t>include</w:t>
      </w:r>
      <w:r w:rsidR="007A4A3A" w:rsidRPr="007E7EC7">
        <w:t xml:space="preserve"> clinical scores, transcutaneous carbon dioxide concentrations, pulsus paradoxus, impedance plethysmography, and radiographic measurement of tracheal diameter.</w:t>
      </w:r>
      <w:r w:rsidR="007A4A3A" w:rsidRPr="007E7EC7">
        <w:rPr>
          <w:vertAlign w:val="superscript"/>
        </w:rPr>
        <w:t>2</w:t>
      </w:r>
      <w:r w:rsidR="007A4A3A" w:rsidRPr="007E7EC7">
        <w:t xml:space="preserve"> </w:t>
      </w:r>
      <w:r w:rsidR="00120F11">
        <w:t>I</w:t>
      </w:r>
      <w:r w:rsidR="007A4A3A" w:rsidRPr="007E7EC7">
        <w:t>ndirect measures</w:t>
      </w:r>
      <w:r w:rsidR="00E579AD">
        <w:t xml:space="preserve"> on the other hand</w:t>
      </w:r>
      <w:r w:rsidR="007A4A3A" w:rsidRPr="007E7EC7">
        <w:t xml:space="preserve"> </w:t>
      </w:r>
      <w:r w:rsidR="007A4A3A">
        <w:t>include</w:t>
      </w:r>
      <w:r w:rsidR="007A4A3A" w:rsidRPr="007E7EC7">
        <w:t xml:space="preserve"> the rate and duration of intubation, the rate and duration of hospitalization, the rate of return to seek medical care for ongoing croup symptoms,</w:t>
      </w:r>
      <w:r w:rsidR="000028AD">
        <w:t xml:space="preserve"> and other subjective </w:t>
      </w:r>
      <w:r w:rsidR="00B0495D">
        <w:t>measures such as</w:t>
      </w:r>
      <w:r w:rsidR="007A4A3A" w:rsidRPr="007E7EC7">
        <w:t xml:space="preserve"> sleep lost by parents, and parental stress. Routine laboratory tests do not help in establishing the diagnosis, and ancillary testing </w:t>
      </w:r>
      <w:r>
        <w:t>is for</w:t>
      </w:r>
      <w:r w:rsidRPr="007E7EC7">
        <w:t xml:space="preserve"> </w:t>
      </w:r>
      <w:r w:rsidR="007A4A3A" w:rsidRPr="007E7EC7">
        <w:t>rare atypical presentations. Radiographic studies are rarely indicated and should be considered in a child in whom the diagnosis is unclear or who does not respond as expected to treatment.</w:t>
      </w:r>
      <w:r w:rsidR="007A4A3A" w:rsidRPr="007E7EC7">
        <w:rPr>
          <w:vertAlign w:val="superscript"/>
        </w:rPr>
        <w:t>9</w:t>
      </w:r>
      <w:r w:rsidR="007A4A3A" w:rsidRPr="007E7EC7">
        <w:t xml:space="preserve"> Moreover, manipulations of the child’s neck to acquire appropriate radiologic views of the airway may pose a risk to airway patency in a patient with moderate-to-severe upper airway obstruction.</w:t>
      </w:r>
      <w:r w:rsidR="007A4A3A" w:rsidRPr="007E7EC7">
        <w:rPr>
          <w:vertAlign w:val="superscript"/>
        </w:rPr>
        <w:t>15</w:t>
      </w:r>
      <w:r w:rsidR="007A4A3A" w:rsidRPr="007E7EC7">
        <w:t xml:space="preserve"> So, radiographs should be considered only after airway stabilization. Anteroposterior radiographs of the neck can show the diagnostic subglottic narrowing of croup known as the ‘steeple sign’. The most important assessment being the initial evaluation of croup severity, which is based on assessment of respiratory status and rate, chest wall retractions, stridor, heart rate, use of accessory muscles and mental status. The Westley croup score (WCS) is the most widely used system by which to evaluate the severity of this disorder.</w:t>
      </w:r>
      <w:r w:rsidR="007A4A3A" w:rsidRPr="007E7EC7">
        <w:rPr>
          <w:vertAlign w:val="superscript"/>
        </w:rPr>
        <w:t>9</w:t>
      </w:r>
      <w:r w:rsidR="007A4A3A" w:rsidRPr="007E7EC7">
        <w:t xml:space="preserve"> </w:t>
      </w:r>
    </w:p>
    <w:p w14:paraId="3B6A99D2" w14:textId="77777777" w:rsidR="007A4A3A" w:rsidRPr="00203D44" w:rsidRDefault="007A4A3A" w:rsidP="0048040B">
      <w:pPr>
        <w:pStyle w:val="Heading2"/>
      </w:pPr>
      <w:r w:rsidRPr="00203D44">
        <w:t>Differential Diagnosis</w:t>
      </w:r>
    </w:p>
    <w:p w14:paraId="039BE9E8" w14:textId="77777777" w:rsidR="007A4A3A" w:rsidRPr="007E7EC7" w:rsidRDefault="007A4A3A" w:rsidP="007A4A3A">
      <w:pPr>
        <w:spacing w:line="360" w:lineRule="auto"/>
        <w:jc w:val="both"/>
      </w:pPr>
      <w:r w:rsidRPr="007E7EC7">
        <w:t>There are often clues in the history of croup management or clinical features of that illness that suggest the possibility of alternative diagnos</w:t>
      </w:r>
      <w:r>
        <w:t>e</w:t>
      </w:r>
      <w:r w:rsidRPr="007E7EC7">
        <w:t>s. Physician</w:t>
      </w:r>
      <w:r>
        <w:t>s</w:t>
      </w:r>
      <w:r w:rsidRPr="007E7EC7">
        <w:t xml:space="preserve"> must be aware of conditions that may manifest like croup, namely, ailments with symptoms of stridor and respiratory distress. Generally, it helps to distinguish between infectious (bacterial tracheitis, epiglottitis, and parapharyngeal abscess) and noninfectious causes of stridor (foreign body aspiration, allergic reaction, laryngomalacia, subglottic stenosis, hemangioma, vascular </w:t>
      </w:r>
      <w:r w:rsidR="00676274" w:rsidRPr="007E7EC7">
        <w:t>ring,</w:t>
      </w:r>
      <w:r w:rsidRPr="007E7EC7">
        <w:t xml:space="preserve"> and vocal cord paralysis).</w:t>
      </w:r>
      <w:r w:rsidRPr="007E7EC7">
        <w:rPr>
          <w:vertAlign w:val="superscript"/>
        </w:rPr>
        <w:t>9</w:t>
      </w:r>
      <w:r w:rsidRPr="007E7EC7">
        <w:t xml:space="preserve"> Bacterial tracheitis is a serious, life-threatening bacterial infection that can arise after an acute, viral respiratory-tract infection. Patients usually have a mild-to-moderate illness for 2–7 days but then become acutely worse. If they are febrile, have a toxic appearance (i.e., look unwell and have reduced interaction with their environment), and do not respond favorably to treatment with nebulized epinephrine, bacterial tracheitis should be considered.</w:t>
      </w:r>
      <w:r w:rsidRPr="007E7EC7">
        <w:rPr>
          <w:vertAlign w:val="superscript"/>
        </w:rPr>
        <w:t xml:space="preserve">15 </w:t>
      </w:r>
    </w:p>
    <w:p w14:paraId="0F6909E1" w14:textId="77777777" w:rsidR="007A4A3A" w:rsidRPr="007E7EC7" w:rsidRDefault="007A4A3A" w:rsidP="007A4A3A">
      <w:pPr>
        <w:spacing w:line="360" w:lineRule="auto"/>
        <w:jc w:val="both"/>
      </w:pPr>
      <w:r w:rsidRPr="007E7EC7">
        <w:t xml:space="preserve">A second potentially life-threatening alternate diagnosis is epiglottitis. It is particularly important to differentiate a presentation of croup from acute epiglottitis, which is a medical emergency due to the risk of sudden airway obstruction, </w:t>
      </w:r>
      <w:r>
        <w:t xml:space="preserve">from </w:t>
      </w:r>
      <w:r w:rsidRPr="007E7EC7">
        <w:t>other stridor related issues such as foreign-body aspiration.</w:t>
      </w:r>
      <w:r w:rsidRPr="007E7EC7">
        <w:rPr>
          <w:vertAlign w:val="superscript"/>
        </w:rPr>
        <w:t>9,15</w:t>
      </w:r>
      <w:r w:rsidRPr="007E7EC7">
        <w:t xml:space="preserve"> A child </w:t>
      </w:r>
      <w:r w:rsidRPr="007E7EC7">
        <w:lastRenderedPageBreak/>
        <w:t>may appear more toxic and obviously unwell. Epiglottitis</w:t>
      </w:r>
      <w:r w:rsidRPr="007E7EC7" w:rsidDel="004C10C9">
        <w:t xml:space="preserve"> </w:t>
      </w:r>
      <w:r w:rsidRPr="007E7EC7">
        <w:t xml:space="preserve">is now seen rarely </w:t>
      </w:r>
      <w:r w:rsidR="00AB5A2F">
        <w:t>due</w:t>
      </w:r>
      <w:r w:rsidR="00AB5A2F" w:rsidRPr="007E7EC7">
        <w:t xml:space="preserve"> </w:t>
      </w:r>
      <w:r w:rsidRPr="007E7EC7">
        <w:t xml:space="preserve">to widespread immunization against </w:t>
      </w:r>
      <w:r w:rsidRPr="00682343">
        <w:rPr>
          <w:i/>
        </w:rPr>
        <w:t>H. influenzae</w:t>
      </w:r>
      <w:r w:rsidRPr="007E7EC7">
        <w:t xml:space="preserve"> B. The sudden onset of high fever, drooling, dysphagia, anxiety, and a preference to sit upright and in the so-called sniffing position (i.e., sitting forward with head extended) to open the airway should prompt consideration of epiglottitis, as should a cough that does not have the characteristic barking sound of croup.</w:t>
      </w:r>
      <w:r w:rsidRPr="007E7EC7">
        <w:rPr>
          <w:vertAlign w:val="superscript"/>
        </w:rPr>
        <w:t>15</w:t>
      </w:r>
      <w:r w:rsidRPr="007E7EC7">
        <w:t xml:space="preserve"> Other very rare causes of stridor that should be considered in children presenting with atypical croup symptoms include foreign-body aspiration in the upper airway or esophagus, peritonsillar or retropharyngeal abscess, angioedema, and laryngeal diphtheria. In the case of foreign-body aspiration, onset is usually sudden with no prodrome or fever (unless secondary infection occurs). Hoarseness and barking cough are usually absent.</w:t>
      </w:r>
      <w:r w:rsidRPr="007E7EC7">
        <w:rPr>
          <w:vertAlign w:val="superscript"/>
        </w:rPr>
        <w:t xml:space="preserve">15 </w:t>
      </w:r>
    </w:p>
    <w:p w14:paraId="4BACB0BD" w14:textId="77777777" w:rsidR="007A4A3A" w:rsidRPr="007E7EC7" w:rsidRDefault="007A4A3A" w:rsidP="007A4A3A">
      <w:pPr>
        <w:spacing w:line="360" w:lineRule="auto"/>
        <w:jc w:val="both"/>
      </w:pPr>
      <w:r w:rsidRPr="007E7EC7">
        <w:t>Foreign body aspiration (FBA) can be a fatal problem in all age groups. In the specific case of the pediatric age group, diagnosis can be delayed because of various challenges.</w:t>
      </w:r>
      <w:r w:rsidRPr="007E7EC7">
        <w:rPr>
          <w:vertAlign w:val="superscript"/>
        </w:rPr>
        <w:t>19</w:t>
      </w:r>
      <w:r w:rsidRPr="007E7EC7">
        <w:t xml:space="preserve"> A foreign body causing incomplete laryngeal obstruction may present with less severe symptoms, which are hard to differentiate from infectious causes. Symptoms of FBA chang</w:t>
      </w:r>
      <w:r>
        <w:t>e</w:t>
      </w:r>
      <w:r w:rsidRPr="007E7EC7">
        <w:t xml:space="preserve"> with the level of obstruction. Symptoms such as hoarse cry, stridor, neck pain, or acute respiratory distress suggest impaction of a foreign body in the larynx. Foreign bodies tend to settle in the larynx because they are too large or have an irregular shape and sharp edges. Any combination of prolonged wheezing, cough, hoarseness, stridor, and dyspnea should always raise an index of suspicion for FBA, particularly in children.</w:t>
      </w:r>
      <w:r w:rsidRPr="007E7EC7">
        <w:rPr>
          <w:vertAlign w:val="superscript"/>
        </w:rPr>
        <w:t>19</w:t>
      </w:r>
      <w:r w:rsidRPr="007E7EC7">
        <w:t xml:space="preserve"> </w:t>
      </w:r>
    </w:p>
    <w:p w14:paraId="3B051EBF" w14:textId="77777777" w:rsidR="007A4A3A" w:rsidRPr="007E7EC7" w:rsidRDefault="007A4A3A" w:rsidP="007A4A3A">
      <w:pPr>
        <w:spacing w:line="360" w:lineRule="auto"/>
        <w:jc w:val="both"/>
      </w:pPr>
      <w:r w:rsidRPr="007E7EC7">
        <w:t xml:space="preserve">Peritonsillar or retropharyngeal abscess are also </w:t>
      </w:r>
      <w:r>
        <w:t xml:space="preserve">in the </w:t>
      </w:r>
      <w:r w:rsidRPr="007E7EC7">
        <w:t>differential diagnos</w:t>
      </w:r>
      <w:r>
        <w:t>i</w:t>
      </w:r>
      <w:r w:rsidRPr="007E7EC7">
        <w:t>s of croup. They could present with dysphagia, drooling, stridor, dyspnea, tachypnea, neck stiffness, and unilateral cervical adenopathy, and a lateral neck radiograph can show posterior pharyngeal edema and retroflexed cervical vertebrae. Acute angioneurotic edema or allergic reaction can present at any age and with rapid onset of dysphagia and stridor and possible cutaneous allergic signs such as urticarial rash. Always check if the patient has a history of allergy or previous attack.</w:t>
      </w:r>
      <w:r w:rsidRPr="007E7EC7">
        <w:rPr>
          <w:vertAlign w:val="superscript"/>
        </w:rPr>
        <w:t>15</w:t>
      </w:r>
      <w:r w:rsidRPr="007E7EC7">
        <w:t xml:space="preserve"> </w:t>
      </w:r>
    </w:p>
    <w:p w14:paraId="4E79684B" w14:textId="77777777" w:rsidR="007A4A3A" w:rsidRPr="00203D44" w:rsidRDefault="007A4A3A" w:rsidP="0048040B">
      <w:pPr>
        <w:pStyle w:val="Heading1"/>
      </w:pPr>
      <w:r w:rsidRPr="00203D44">
        <w:t>Management and Treatment of Croup</w:t>
      </w:r>
    </w:p>
    <w:p w14:paraId="22A2D619" w14:textId="77777777" w:rsidR="007A4A3A" w:rsidRPr="00AC60D2" w:rsidRDefault="007A4A3A" w:rsidP="0048040B">
      <w:pPr>
        <w:pStyle w:val="Heading2"/>
      </w:pPr>
      <w:r w:rsidRPr="00AC60D2">
        <w:t>General Measures</w:t>
      </w:r>
    </w:p>
    <w:p w14:paraId="5BFC302F" w14:textId="77777777" w:rsidR="007A4A3A" w:rsidRPr="007E7EC7" w:rsidRDefault="007A4A3A" w:rsidP="007A4A3A">
      <w:pPr>
        <w:spacing w:line="360" w:lineRule="auto"/>
        <w:jc w:val="both"/>
      </w:pPr>
      <w:r w:rsidRPr="007E7EC7">
        <w:t xml:space="preserve">Croup management is a condition </w:t>
      </w:r>
      <w:r>
        <w:t>in which</w:t>
      </w:r>
      <w:r w:rsidRPr="007E7EC7">
        <w:t xml:space="preserve"> controversies in management lend themselves to further research. In search </w:t>
      </w:r>
      <w:r w:rsidR="00E93203">
        <w:t xml:space="preserve">of </w:t>
      </w:r>
      <w:r w:rsidRPr="007E7EC7">
        <w:t>the right therapy over decades, antibiotics were common, since they would prevent more difficult bacterial infections of the laryngotracheal area, and because epiglottitis could not be ruled out.</w:t>
      </w:r>
      <w:r w:rsidRPr="007E7EC7">
        <w:rPr>
          <w:vertAlign w:val="superscript"/>
        </w:rPr>
        <w:t>10</w:t>
      </w:r>
      <w:r w:rsidRPr="007E7EC7">
        <w:t xml:space="preserve"> Major changes were subsequently made in the symptomatic treatment of croup, producing a significant decrease in admission rates to both hospital and intensive care unit.</w:t>
      </w:r>
      <w:r w:rsidRPr="007E7EC7">
        <w:rPr>
          <w:vertAlign w:val="superscript"/>
        </w:rPr>
        <w:t>20</w:t>
      </w:r>
    </w:p>
    <w:p w14:paraId="74D15044" w14:textId="77777777" w:rsidR="007A4A3A" w:rsidRPr="007E7EC7" w:rsidRDefault="007A4A3A" w:rsidP="007A4A3A">
      <w:pPr>
        <w:spacing w:line="360" w:lineRule="auto"/>
        <w:jc w:val="both"/>
        <w:rPr>
          <w:vertAlign w:val="superscript"/>
        </w:rPr>
      </w:pPr>
      <w:r w:rsidRPr="007E7EC7">
        <w:lastRenderedPageBreak/>
        <w:t>Treatment of croup varies according to the severity of the clinical presentation. Most patients with croup are cared for in outpatient settings in the pediatricians’ office, where diagnosis and treatment are usually based on a history of nighttime croup symptoms rather than office presentation.</w:t>
      </w:r>
      <w:r w:rsidRPr="007E7EC7">
        <w:rPr>
          <w:vertAlign w:val="superscript"/>
        </w:rPr>
        <w:t>10</w:t>
      </w:r>
      <w:r w:rsidRPr="007E7EC7">
        <w:t xml:space="preserve"> The consensus is that children with croup should be made as comfortable as possible by ensuring a relaxed and reassuring atmosphere to minimize oxygen demand and respiratory muscle fatigue. Clinicians should therefore take </w:t>
      </w:r>
      <w:proofErr w:type="gramStart"/>
      <w:r w:rsidR="007D5C19" w:rsidRPr="007E7EC7">
        <w:t>particular care</w:t>
      </w:r>
      <w:proofErr w:type="gramEnd"/>
      <w:r w:rsidRPr="007E7EC7">
        <w:t xml:space="preserve"> during assessment and treatment in order not to frighten or upset patients because agitation causes substantial worsening of symptoms. Sitting the child comfortably on parents’ or caregivers’ laps is usually the best way to lessen agitation.</w:t>
      </w:r>
      <w:r w:rsidRPr="007E7EC7">
        <w:rPr>
          <w:vertAlign w:val="superscript"/>
        </w:rPr>
        <w:t>15</w:t>
      </w:r>
      <w:r w:rsidRPr="007E7EC7">
        <w:t xml:space="preserve"> </w:t>
      </w:r>
      <w:r w:rsidR="007D5C19">
        <w:t>Reserve o</w:t>
      </w:r>
      <w:r w:rsidRPr="007E7EC7">
        <w:t xml:space="preserve">xygen therapy, in conjunction with corticosteroids and adrenaline, for children with hypoxia and significant </w:t>
      </w:r>
      <w:bookmarkStart w:id="6" w:name="_Hlk510286047"/>
      <w:r w:rsidRPr="007E7EC7">
        <w:t xml:space="preserve">respiratory distress. </w:t>
      </w:r>
      <w:r w:rsidR="007D5C19">
        <w:t>Never force o</w:t>
      </w:r>
      <w:r w:rsidRPr="007E7EC7">
        <w:t xml:space="preserve">xygen therapy </w:t>
      </w:r>
      <w:bookmarkEnd w:id="6"/>
      <w:r w:rsidRPr="007E7EC7">
        <w:t xml:space="preserve">on a child, especially if it results in significant agitation. ‘Blow-by’ administration of oxygen through a plastic hose with the end opening held within a few centimeters of the child’s nose and mouth is often the most beneficial </w:t>
      </w:r>
      <w:r>
        <w:t>means</w:t>
      </w:r>
      <w:r w:rsidRPr="007E7EC7">
        <w:t xml:space="preserve"> of administration.</w:t>
      </w:r>
      <w:r w:rsidRPr="007E7EC7">
        <w:rPr>
          <w:vertAlign w:val="superscript"/>
        </w:rPr>
        <w:t xml:space="preserve">21 </w:t>
      </w:r>
    </w:p>
    <w:p w14:paraId="1D012EB3" w14:textId="77777777" w:rsidR="007A4A3A" w:rsidRDefault="007A4A3A" w:rsidP="007A4A3A">
      <w:pPr>
        <w:pStyle w:val="Heading1"/>
        <w:rPr>
          <w:color w:val="660066"/>
        </w:rPr>
      </w:pPr>
      <w:r w:rsidRPr="00AC60D2">
        <w:t>Pharmacologic Treatments</w:t>
      </w:r>
    </w:p>
    <w:p w14:paraId="51695561" w14:textId="77777777" w:rsidR="007A4A3A" w:rsidRPr="00222641" w:rsidRDefault="007A4A3A" w:rsidP="007A4A3A">
      <w:pPr>
        <w:pStyle w:val="Heading2"/>
      </w:pPr>
      <w:r>
        <w:t>Glucocorticoids</w:t>
      </w:r>
    </w:p>
    <w:p w14:paraId="50FD4799" w14:textId="77777777" w:rsidR="007A4A3A" w:rsidRPr="007E7EC7" w:rsidRDefault="007A4A3A" w:rsidP="007A4A3A">
      <w:pPr>
        <w:spacing w:line="360" w:lineRule="auto"/>
        <w:jc w:val="both"/>
      </w:pPr>
      <w:r w:rsidRPr="007E7EC7">
        <w:t>Glucocorticoids have been shown to be an effective adjunct in the outpatient management of croup, improving the rate of symptom relief, decreasing hospital admission rate, and decreasing return visits to the emergency department for additional care during the 7–10 days after the initial visit.</w:t>
      </w:r>
      <w:r w:rsidRPr="007E7EC7">
        <w:rPr>
          <w:vertAlign w:val="superscript"/>
        </w:rPr>
        <w:t>15,22</w:t>
      </w:r>
      <w:r w:rsidRPr="007E7EC7">
        <w:t xml:space="preserve"> The use of steroids in the treatment of all children with croup presenting to ED is now widely recommended.</w:t>
      </w:r>
      <w:r w:rsidRPr="00203D44">
        <w:rPr>
          <w:vertAlign w:val="superscript"/>
        </w:rPr>
        <w:t>8</w:t>
      </w:r>
      <w:r w:rsidRPr="007E7EC7">
        <w:t xml:space="preserve"> </w:t>
      </w:r>
      <w:r w:rsidR="000B4E54" w:rsidRPr="007E7EC7">
        <w:t xml:space="preserve">Glucocorticoid </w:t>
      </w:r>
      <w:r w:rsidR="00D22168" w:rsidRPr="007E7EC7">
        <w:t>therapy has been shown to benefit patients with croup by decreasing edema in the laryngeal mucosa and play</w:t>
      </w:r>
      <w:r w:rsidR="00E93203">
        <w:t>s</w:t>
      </w:r>
      <w:r w:rsidR="00D22168" w:rsidRPr="007E7EC7">
        <w:t xml:space="preserve"> a part in the management of croup regardless of severity</w:t>
      </w:r>
      <w:r w:rsidR="00D22168">
        <w:t xml:space="preserve">. </w:t>
      </w:r>
      <w:r w:rsidRPr="007E7EC7">
        <w:t>In this class of medications, dexamethasone and prednisolone are the most commonly used glucocorticoids and are the most effective for mild-to-moderate croup.</w:t>
      </w:r>
      <w:r w:rsidRPr="007E7EC7">
        <w:rPr>
          <w:vertAlign w:val="superscript"/>
        </w:rPr>
        <w:t>9</w:t>
      </w:r>
      <w:r w:rsidRPr="007E7EC7">
        <w:t xml:space="preserve"> There is general agreement that oral dexamethasone is the preferred drug of choice based on its efficacy, </w:t>
      </w:r>
      <w:r w:rsidR="009C41CE" w:rsidRPr="007E7EC7">
        <w:t>cost,</w:t>
      </w:r>
      <w:r w:rsidRPr="007E7EC7">
        <w:t xml:space="preserve"> and ease of administration,</w:t>
      </w:r>
      <w:r w:rsidRPr="007E7EC7">
        <w:rPr>
          <w:vertAlign w:val="superscript"/>
        </w:rPr>
        <w:t>8</w:t>
      </w:r>
      <w:r w:rsidRPr="007E7EC7">
        <w:t xml:space="preserve"> </w:t>
      </w:r>
      <w:bookmarkStart w:id="7" w:name="_Hlk509753014"/>
      <w:r w:rsidRPr="007E7EC7">
        <w:t>with numerous studies assessing indication, route of administration, dosage, safety, and efficacy of glucocorticoids in the management of croup.</w:t>
      </w:r>
    </w:p>
    <w:p w14:paraId="1FB09EDD" w14:textId="77777777" w:rsidR="007A4A3A" w:rsidRPr="007E7EC7" w:rsidRDefault="007A4A3A" w:rsidP="007A4A3A">
      <w:pPr>
        <w:spacing w:line="360" w:lineRule="auto"/>
        <w:jc w:val="both"/>
      </w:pPr>
      <w:r w:rsidRPr="007E7EC7">
        <w:t>It is now widely accepted that a single dose of systemically administered dexamethasone is sufficient, and is indicated in all children with viral croup, irrespective of severity (mild, moderate, or severe).</w:t>
      </w:r>
      <w:bookmarkEnd w:id="7"/>
      <w:r w:rsidRPr="007E7EC7">
        <w:t xml:space="preserve"> One dose of oral dexamethasone 0.15–0.6 mg/kg should be given even to children with mild croup</w:t>
      </w:r>
      <w:r>
        <w:t>,</w:t>
      </w:r>
      <w:r w:rsidR="0059775A">
        <w:t xml:space="preserve"> </w:t>
      </w:r>
      <w:r>
        <w:t xml:space="preserve">i.e., with </w:t>
      </w:r>
      <w:r w:rsidRPr="007E7EC7">
        <w:t>no increased work of breathing</w:t>
      </w:r>
      <w:r>
        <w:t>,</w:t>
      </w:r>
      <w:r w:rsidRPr="007E7EC7">
        <w:t xml:space="preserve"> because it reduces the risk of returning to the emergency department for additional care during the 7–10 days after the initial visit. The oral route is more convenient than the parenteral route for both the child and the staff.</w:t>
      </w:r>
      <w:r w:rsidRPr="007E7EC7">
        <w:rPr>
          <w:vertAlign w:val="superscript"/>
        </w:rPr>
        <w:t>11</w:t>
      </w:r>
      <w:r w:rsidRPr="007E7EC7">
        <w:t xml:space="preserve"> However, orally and intramuscularly administered </w:t>
      </w:r>
      <w:r w:rsidRPr="007E7EC7">
        <w:lastRenderedPageBreak/>
        <w:t xml:space="preserve">dexamethasone have comparable efficacy, as well as the use of systemic versus nebulized dexamethasone. </w:t>
      </w:r>
      <w:r>
        <w:t>A</w:t>
      </w:r>
      <w:r w:rsidRPr="007E7EC7">
        <w:t xml:space="preserve"> single oral dose of prednisolone at 1 mg/kg has also been used</w:t>
      </w:r>
      <w:r>
        <w:t>,</w:t>
      </w:r>
      <w:r w:rsidRPr="007E7EC7">
        <w:t xml:space="preserve"> and its efficacy in mild-to moderate croup does not differ from 0.15 mg/kg or 0.6 mg/kg of dexamethasone. </w:t>
      </w:r>
      <w:r w:rsidR="00E93203">
        <w:t>However</w:t>
      </w:r>
      <w:r w:rsidRPr="007E7EC7">
        <w:t>, comparing a single oral dose of prednisolone 1 mg/kg to oral dexamethasone 0.15 mg/kg, one study found that subjects with mild-to-moderate croup who received prednisolone, return more frequently to the emergency department for additional medical care.</w:t>
      </w:r>
      <w:r w:rsidRPr="007E7EC7">
        <w:rPr>
          <w:vertAlign w:val="superscript"/>
        </w:rPr>
        <w:t>11</w:t>
      </w:r>
      <w:r w:rsidRPr="007E7EC7">
        <w:t xml:space="preserve"> </w:t>
      </w:r>
      <w:r>
        <w:t>In addition</w:t>
      </w:r>
      <w:r w:rsidRPr="007E7EC7">
        <w:t xml:space="preserve">, </w:t>
      </w:r>
      <w:r w:rsidR="007D5C19" w:rsidRPr="007E7EC7">
        <w:t xml:space="preserve">recent studies found </w:t>
      </w:r>
      <w:r w:rsidRPr="007E7EC7">
        <w:t>no differences in the efficacy of dexamethasone</w:t>
      </w:r>
      <w:r w:rsidR="00E93203">
        <w:t xml:space="preserve"> at</w:t>
      </w:r>
      <w:r w:rsidRPr="007E7EC7">
        <w:t xml:space="preserve"> </w:t>
      </w:r>
      <w:r w:rsidR="00E93203">
        <w:t xml:space="preserve">doses </w:t>
      </w:r>
      <w:r w:rsidR="004D20BA">
        <w:t xml:space="preserve">of </w:t>
      </w:r>
      <w:r w:rsidR="004D20BA" w:rsidRPr="007E7EC7">
        <w:t>0.6</w:t>
      </w:r>
      <w:r w:rsidRPr="007E7EC7">
        <w:t>, 0.3 and 0.15 mg/</w:t>
      </w:r>
      <w:r w:rsidR="001C27EB" w:rsidRPr="007E7EC7">
        <w:t>kg.</w:t>
      </w:r>
      <w:r w:rsidRPr="007E7EC7">
        <w:t xml:space="preserve"> The peak onset of action is 1 to 2 hours after oral administration, with a half-life of 4.3 hours.</w:t>
      </w:r>
      <w:r w:rsidRPr="007E7EC7">
        <w:rPr>
          <w:vertAlign w:val="superscript"/>
        </w:rPr>
        <w:t>10,11</w:t>
      </w:r>
      <w:r w:rsidRPr="007E7EC7">
        <w:t xml:space="preserve"> The beneficial effects of systemic corticosteroids in croup include but are not limited to the reduction in the intensity of symptoms related to upper airway obstruction (at 6, 12, and 24 hr. after treatment);  the decreased use of nebulized epinephrine; the reduced length of stay in the emergency department;  fewer hospital admissions or return visits to the emergency department; and decrease in the need for intubation. </w:t>
      </w:r>
      <w:r>
        <w:t>T</w:t>
      </w:r>
      <w:r w:rsidRPr="007E7EC7">
        <w:t xml:space="preserve">he onset of action of dexamethasone clinically apparent </w:t>
      </w:r>
      <w:r>
        <w:t xml:space="preserve">is </w:t>
      </w:r>
      <w:r w:rsidRPr="007E7EC7">
        <w:t>as soon as 30 min</w:t>
      </w:r>
      <w:r w:rsidR="00E93203">
        <w:t>utes</w:t>
      </w:r>
      <w:r w:rsidRPr="007E7EC7">
        <w:t xml:space="preserve"> after its administration. Thus, corticosteroids improve croup symptoms, but it takes time </w:t>
      </w:r>
      <w:r w:rsidR="007D5C19">
        <w:t>to achieve</w:t>
      </w:r>
      <w:r w:rsidR="007D5C19" w:rsidRPr="007E7EC7">
        <w:t xml:space="preserve"> </w:t>
      </w:r>
      <w:r w:rsidRPr="007E7EC7">
        <w:t>their full effect. Therefore, finding a safe and effective treatment to bridge the gap between the administration and effectiveness of the corticosteroids is important in clinical practice.</w:t>
      </w:r>
      <w:r w:rsidRPr="007E7EC7">
        <w:rPr>
          <w:vertAlign w:val="superscript"/>
        </w:rPr>
        <w:t>6,11</w:t>
      </w:r>
      <w:r w:rsidRPr="007E7EC7">
        <w:t xml:space="preserve"> </w:t>
      </w:r>
    </w:p>
    <w:p w14:paraId="55CB3570" w14:textId="77777777" w:rsidR="007A4A3A" w:rsidRPr="00222641" w:rsidRDefault="007A4A3A" w:rsidP="007A4A3A">
      <w:pPr>
        <w:pStyle w:val="Heading2"/>
      </w:pPr>
      <w:r w:rsidRPr="00222641">
        <w:t>Epinephrine</w:t>
      </w:r>
    </w:p>
    <w:p w14:paraId="6FCDE985" w14:textId="77777777" w:rsidR="007A4A3A" w:rsidRPr="007E7EC7" w:rsidRDefault="007A4A3A" w:rsidP="007A4A3A">
      <w:pPr>
        <w:spacing w:line="360" w:lineRule="auto"/>
        <w:jc w:val="both"/>
      </w:pPr>
      <w:r w:rsidRPr="007E7EC7">
        <w:t>Historically, nebulized epinephrine has seen</w:t>
      </w:r>
      <w:r w:rsidR="00E93203">
        <w:t xml:space="preserve"> </w:t>
      </w:r>
      <w:r w:rsidRPr="007E7EC7">
        <w:t>wide adoption after the first report of its effectiveness in a 1971 study.</w:t>
      </w:r>
      <w:r w:rsidRPr="00203D44">
        <w:rPr>
          <w:vertAlign w:val="superscript"/>
        </w:rPr>
        <w:t>2</w:t>
      </w:r>
      <w:r w:rsidRPr="007E7EC7">
        <w:t xml:space="preserve"> Just as with the use of corticosteroids, several studies have also assessed indication, route of administration, dosage, safety, and efficacy of epinephrine in the management of croup.</w:t>
      </w:r>
      <w:r w:rsidR="003E5C4E">
        <w:t xml:space="preserve"> </w:t>
      </w:r>
      <w:r w:rsidR="003E5C4E" w:rsidRPr="007E7EC7">
        <w:t xml:space="preserve">Epinephrine most likely causes vasoconstriction in the mucosa of the subglottic area and reduces airway edema, providing symptomatic relief for the duration of its action (&lt;2 hr.). </w:t>
      </w:r>
      <w:r w:rsidRPr="007E7EC7">
        <w:t>L-epinephrine and racemic</w:t>
      </w:r>
      <w:r w:rsidR="00BA363A">
        <w:t xml:space="preserve"> </w:t>
      </w:r>
      <w:r w:rsidRPr="007E7EC7">
        <w:t xml:space="preserve">epinephrine (RE) were shown to be effective in short-term treatments for croup complicated by stridor. </w:t>
      </w:r>
      <w:bookmarkStart w:id="8" w:name="_Hlk509754363"/>
      <w:r w:rsidRPr="007E7EC7">
        <w:t>Racemic epinephrine (2.25%) is not available in all countries, but</w:t>
      </w:r>
      <w:r w:rsidR="00E93203">
        <w:t xml:space="preserve"> </w:t>
      </w:r>
      <w:r w:rsidR="00527881">
        <w:t xml:space="preserve">a </w:t>
      </w:r>
      <w:r w:rsidR="00527881" w:rsidRPr="007E7EC7">
        <w:t>standard</w:t>
      </w:r>
      <w:r w:rsidRPr="007E7EC7">
        <w:t xml:space="preserve"> L-epinephrine preparation (1:1,000) is equally effective, less expensive and widely available. Various doses have been </w:t>
      </w:r>
      <w:r w:rsidR="00E93203">
        <w:t>reported</w:t>
      </w:r>
      <w:r w:rsidR="00E93203" w:rsidRPr="007E7EC7">
        <w:t xml:space="preserve"> </w:t>
      </w:r>
      <w:r w:rsidRPr="007E7EC7">
        <w:t xml:space="preserve">in the literature. For racemic epinephrine </w:t>
      </w:r>
      <w:r>
        <w:t>dosage has</w:t>
      </w:r>
      <w:r w:rsidRPr="007E7EC7">
        <w:t xml:space="preserve"> ranged between 0.25 and 0.75 ml or 0.05 ml/kg and for </w:t>
      </w:r>
      <w:r w:rsidR="00E93203">
        <w:t xml:space="preserve">the standard 1:1000 preparation of </w:t>
      </w:r>
      <w:r w:rsidRPr="007E7EC7">
        <w:t>L-epinephrine from 3 to 5 ml.</w:t>
      </w:r>
      <w:bookmarkEnd w:id="8"/>
      <w:r w:rsidRPr="007E7EC7">
        <w:rPr>
          <w:vertAlign w:val="superscript"/>
        </w:rPr>
        <w:t>11</w:t>
      </w:r>
      <w:r w:rsidRPr="007E7EC7">
        <w:t xml:space="preserve"> A single study has demonstrated that nebulized L-epinephrine for post-extubation stridor at doses of 0.5, 2.5, and 5</w:t>
      </w:r>
      <w:r>
        <w:t xml:space="preserve"> </w:t>
      </w:r>
      <w:r w:rsidRPr="007E7EC7">
        <w:t xml:space="preserve">ml demonstrated a lack of dose response in effect and modest increases in heart rate and blood pressure at higher doses. Thus, the proposed action was to use the lowest dose of 3 ml of L-epinephrine 1:1,000 solutions for children with moderate croup which is less likely to cause tachycardia and blood pressure elevation. In such cases, the </w:t>
      </w:r>
      <w:r w:rsidRPr="007E7EC7">
        <w:lastRenderedPageBreak/>
        <w:t>treatment can be repeated every 2 h</w:t>
      </w:r>
      <w:r w:rsidR="005E4D83">
        <w:t>ours</w:t>
      </w:r>
      <w:r w:rsidRPr="007E7EC7">
        <w:t xml:space="preserve"> if intercostal retractions are present or even more frequently in cases of severe upper airway obstruction.</w:t>
      </w:r>
      <w:r w:rsidRPr="007E7EC7">
        <w:rPr>
          <w:vertAlign w:val="superscript"/>
        </w:rPr>
        <w:t>11</w:t>
      </w:r>
    </w:p>
    <w:p w14:paraId="4984795E" w14:textId="77777777" w:rsidR="007A4A3A" w:rsidRPr="007E7EC7" w:rsidRDefault="005E4D83" w:rsidP="007A4A3A">
      <w:pPr>
        <w:spacing w:line="360" w:lineRule="auto"/>
        <w:jc w:val="both"/>
      </w:pPr>
      <w:r>
        <w:t>Extensive studies indicate r</w:t>
      </w:r>
      <w:r w:rsidR="007A4A3A" w:rsidRPr="007E7EC7">
        <w:t xml:space="preserve">acemic epinephrine in patients with moderate to severe croup </w:t>
      </w:r>
      <w:r>
        <w:t>show</w:t>
      </w:r>
      <w:r w:rsidRPr="007E7EC7">
        <w:t xml:space="preserve"> </w:t>
      </w:r>
      <w:r w:rsidR="007A4A3A" w:rsidRPr="007E7EC7">
        <w:t>documented improvement in croup symptoms up to 120 minutes after administration, with a peak impact at 30 minutes. This timing suggests that RE provides up to 120 minutes of effect.</w:t>
      </w:r>
      <w:r w:rsidR="007A4A3A" w:rsidRPr="007E7EC7">
        <w:rPr>
          <w:vertAlign w:val="superscript"/>
        </w:rPr>
        <w:t>10</w:t>
      </w:r>
      <w:r w:rsidR="007A4A3A" w:rsidRPr="007E7EC7">
        <w:t xml:space="preserve"> Since nebulized epinephrine decreases upper airway resistance temporarily, its role in croup is like that of bronchodilators in asthma exacerbation, allowing time for slow</w:t>
      </w:r>
      <w:r w:rsidR="007A4A3A">
        <w:t>er</w:t>
      </w:r>
      <w:r w:rsidR="007A4A3A" w:rsidRPr="007E7EC7">
        <w:t xml:space="preserve"> anti-inflammatory action of systemic corticosteroids.</w:t>
      </w:r>
      <w:r w:rsidR="007A4A3A" w:rsidRPr="007E7EC7">
        <w:rPr>
          <w:vertAlign w:val="superscript"/>
        </w:rPr>
        <w:t>11</w:t>
      </w:r>
      <w:r w:rsidR="007A4A3A" w:rsidRPr="007E7EC7">
        <w:t xml:space="preserve"> It is also believed that epinephrine-induced vasoconstriction decreases upper airway edema. The clinical effect of is obvious at 30 min after nebulization, with the caveat that there is no difference with untreated children at 2 hr. post-treatment. Observation for 3–4 hr. is therefore recommended after the administration of nebulized epinephrine prior to discharge from the emergency department because croup symptoms may recur due to the limited duration of action of the medication.</w:t>
      </w:r>
      <w:r w:rsidR="007A4A3A" w:rsidRPr="007E7EC7">
        <w:rPr>
          <w:vertAlign w:val="superscript"/>
        </w:rPr>
        <w:t>11</w:t>
      </w:r>
      <w:r w:rsidR="007A4A3A" w:rsidRPr="007E7EC7">
        <w:t xml:space="preserve"> Although often known as effective and safe, epinephrine can also have undesired effects such as increased heart rate and anxiety, </w:t>
      </w:r>
      <w:r w:rsidR="007A4A3A">
        <w:t>so</w:t>
      </w:r>
      <w:r w:rsidR="007A4A3A" w:rsidRPr="007E7EC7">
        <w:t xml:space="preserve"> that its use for the treatment of croup at home should be contraindicated due to the possible recurrence of symptoms. However, the only relative contraindication for nebulized epinephrine is ventricular outflow tract obstruction, such as Tetralogy of Fallot</w:t>
      </w:r>
      <w:r w:rsidR="007A4A3A">
        <w:t>.</w:t>
      </w:r>
      <w:r w:rsidR="007A4A3A" w:rsidRPr="007E7EC7">
        <w:rPr>
          <w:vertAlign w:val="superscript"/>
        </w:rPr>
        <w:t>6,11</w:t>
      </w:r>
    </w:p>
    <w:p w14:paraId="7A30F445" w14:textId="77777777" w:rsidR="007A4A3A" w:rsidRPr="00203D44" w:rsidRDefault="007A4A3A" w:rsidP="007A4A3A">
      <w:pPr>
        <w:pStyle w:val="Heading2"/>
      </w:pPr>
      <w:r w:rsidRPr="00203D44">
        <w:t xml:space="preserve">Heliox </w:t>
      </w:r>
    </w:p>
    <w:p w14:paraId="4317F533" w14:textId="77777777" w:rsidR="007A4A3A" w:rsidRPr="007E7EC7" w:rsidRDefault="007A4A3A" w:rsidP="007A4A3A">
      <w:pPr>
        <w:spacing w:line="360" w:lineRule="auto"/>
        <w:jc w:val="both"/>
      </w:pPr>
      <w:r w:rsidRPr="007E7EC7">
        <w:t>Another recent modality is heliox</w:t>
      </w:r>
      <w:r w:rsidR="008410DB">
        <w:t xml:space="preserve"> (</w:t>
      </w:r>
      <w:r w:rsidR="008410DB" w:rsidRPr="007E7EC7">
        <w:t>blended helium and oxygen</w:t>
      </w:r>
      <w:r w:rsidR="008410DB">
        <w:t>)</w:t>
      </w:r>
      <w:r w:rsidRPr="007E7EC7">
        <w:t xml:space="preserve"> which shows short-term benefits when administered together with oral or intramuscular dexamethasone in children with moderate to severe croup.</w:t>
      </w:r>
      <w:r w:rsidRPr="007E7EC7">
        <w:rPr>
          <w:vertAlign w:val="superscript"/>
        </w:rPr>
        <w:t>10</w:t>
      </w:r>
      <w:r w:rsidRPr="007E7EC7">
        <w:t xml:space="preserve"> </w:t>
      </w:r>
      <w:r w:rsidR="00132C9E" w:rsidRPr="007E7EC7">
        <w:t xml:space="preserve">Heliox is a mixture of helium and oxygen (at 70:30 or 80:20 ratio) with lower density than oxygen or air. </w:t>
      </w:r>
      <w:r w:rsidRPr="007E7EC7">
        <w:t>The initial proposal to use heliox was based on the concept that a less dense gas mixture could overcome physiologic airway resistance, thus easing ventilation.</w:t>
      </w:r>
      <w:r w:rsidRPr="007E7EC7">
        <w:rPr>
          <w:vertAlign w:val="superscript"/>
        </w:rPr>
        <w:t>23</w:t>
      </w:r>
      <w:r w:rsidRPr="007E7EC7">
        <w:t xml:space="preserve"> It improves airflow in cases of airway obstruction when airflow is turbulent. Although the evidence for the use of heliox in various clinical scenarios is mixed, most agree </w:t>
      </w:r>
      <w:r w:rsidR="007D5C19">
        <w:t>with its use</w:t>
      </w:r>
      <w:r w:rsidRPr="007E7EC7">
        <w:t xml:space="preserve"> as a rescue therapy in children with upper airway obstruction.</w:t>
      </w:r>
      <w:r w:rsidRPr="007E7EC7">
        <w:rPr>
          <w:vertAlign w:val="superscript"/>
        </w:rPr>
        <w:t>11,23</w:t>
      </w:r>
      <w:r w:rsidRPr="007E7EC7">
        <w:t xml:space="preserve"> An important limitation for the use of heliox in cases of laryngotracheitis accompanied by hypoxia is the low fractional concentration of inspired oxygen in the gas mixture.</w:t>
      </w:r>
      <w:r w:rsidRPr="007E7EC7">
        <w:rPr>
          <w:vertAlign w:val="superscript"/>
        </w:rPr>
        <w:t>11</w:t>
      </w:r>
      <w:r w:rsidRPr="007E7EC7">
        <w:t xml:space="preserve"> </w:t>
      </w:r>
    </w:p>
    <w:p w14:paraId="0926825E" w14:textId="77777777" w:rsidR="007A4A3A" w:rsidRPr="007E7EC7" w:rsidRDefault="007A4A3A" w:rsidP="007A4A3A">
      <w:pPr>
        <w:spacing w:line="360" w:lineRule="auto"/>
        <w:jc w:val="both"/>
      </w:pPr>
      <w:r w:rsidRPr="007E7EC7">
        <w:t xml:space="preserve">Croup treatment has come a long way </w:t>
      </w:r>
      <w:r w:rsidR="008470CC">
        <w:t>f</w:t>
      </w:r>
      <w:r w:rsidRPr="007E7EC7">
        <w:t>rom humidified air</w:t>
      </w:r>
      <w:r w:rsidR="008470CC">
        <w:t>.</w:t>
      </w:r>
      <w:r w:rsidRPr="007E7EC7">
        <w:t xml:space="preserve"> </w:t>
      </w:r>
      <w:r w:rsidR="008470CC">
        <w:t>T</w:t>
      </w:r>
      <w:r w:rsidRPr="007E7EC7">
        <w:t xml:space="preserve">oday’s “standard management of croup” </w:t>
      </w:r>
      <w:r w:rsidR="008470CC">
        <w:t xml:space="preserve">can safely discharge home croup </w:t>
      </w:r>
      <w:r w:rsidRPr="007E7EC7">
        <w:t xml:space="preserve">patients </w:t>
      </w:r>
      <w:r w:rsidR="008470CC" w:rsidRPr="007E7EC7">
        <w:t>after three hours of observation</w:t>
      </w:r>
      <w:r w:rsidR="008470CC" w:rsidRPr="007E7EC7" w:rsidDel="008470CC">
        <w:t xml:space="preserve"> </w:t>
      </w:r>
      <w:r w:rsidR="008470CC">
        <w:t>with a</w:t>
      </w:r>
      <w:r w:rsidR="008470CC" w:rsidRPr="007E7EC7">
        <w:t xml:space="preserve"> </w:t>
      </w:r>
      <w:r w:rsidRPr="007E7EC7">
        <w:t xml:space="preserve">treatment </w:t>
      </w:r>
      <w:r w:rsidR="008470CC">
        <w:t>of</w:t>
      </w:r>
      <w:r w:rsidR="008470CC" w:rsidRPr="007E7EC7">
        <w:t xml:space="preserve"> </w:t>
      </w:r>
      <w:r w:rsidRPr="007E7EC7">
        <w:t>racemic epinephrine</w:t>
      </w:r>
      <w:r w:rsidR="007D5C19">
        <w:t xml:space="preserve"> and</w:t>
      </w:r>
      <w:r w:rsidRPr="007E7EC7">
        <w:t xml:space="preserve"> dexamethasone</w:t>
      </w:r>
      <w:r w:rsidR="008470CC">
        <w:t>.</w:t>
      </w:r>
    </w:p>
    <w:p w14:paraId="256405A6" w14:textId="77777777" w:rsidR="007A4A3A" w:rsidRPr="002B313A" w:rsidRDefault="007A4A3A" w:rsidP="007A4A3A">
      <w:pPr>
        <w:spacing w:line="240" w:lineRule="auto"/>
        <w:jc w:val="both"/>
        <w:rPr>
          <w:color w:val="833C0B" w:themeColor="accent2" w:themeShade="80"/>
        </w:rPr>
      </w:pPr>
    </w:p>
    <w:p w14:paraId="09397F4F" w14:textId="77777777" w:rsidR="007A4A3A" w:rsidRPr="00203D44" w:rsidRDefault="007A4A3A" w:rsidP="0048040B">
      <w:pPr>
        <w:pStyle w:val="Heading1"/>
      </w:pPr>
      <w:r w:rsidRPr="00203D44">
        <w:lastRenderedPageBreak/>
        <w:t>Objectives, Aims</w:t>
      </w:r>
      <w:r w:rsidR="001C27EB">
        <w:t>,</w:t>
      </w:r>
      <w:r w:rsidRPr="00203D44">
        <w:t xml:space="preserve"> and Hypothesis</w:t>
      </w:r>
    </w:p>
    <w:p w14:paraId="7DD5B08B" w14:textId="77777777" w:rsidR="007A4A3A" w:rsidRPr="007E7EC7" w:rsidRDefault="007A4A3A" w:rsidP="007A4A3A">
      <w:pPr>
        <w:spacing w:line="360" w:lineRule="auto"/>
        <w:jc w:val="both"/>
      </w:pPr>
      <w:r w:rsidRPr="007E7EC7">
        <w:t xml:space="preserve">The use of glucocorticoids for the treatment of viral croup has been controversial until recent studies have concluded that there is a reduction in the length and severity of illness </w:t>
      </w:r>
      <w:r>
        <w:t>resulting from</w:t>
      </w:r>
      <w:r w:rsidRPr="007E7EC7">
        <w:t xml:space="preserve"> their use. There </w:t>
      </w:r>
      <w:r>
        <w:t>is</w:t>
      </w:r>
      <w:r w:rsidRPr="007E7EC7">
        <w:t xml:space="preserve"> indeed </w:t>
      </w:r>
      <w:r w:rsidR="007D5C19" w:rsidRPr="007E7EC7">
        <w:t>unambiguous evidence</w:t>
      </w:r>
      <w:r w:rsidRPr="007E7EC7">
        <w:t xml:space="preserve"> of a decline in hospital admission rates, fewer intensive care unit admissions, and shorter length of stay with the use of glucocorticoids. </w:t>
      </w:r>
    </w:p>
    <w:p w14:paraId="09E2C334" w14:textId="77777777" w:rsidR="007A4A3A" w:rsidRPr="007E7EC7" w:rsidRDefault="007A4A3A" w:rsidP="007A4A3A">
      <w:pPr>
        <w:spacing w:line="360" w:lineRule="auto"/>
        <w:jc w:val="both"/>
      </w:pPr>
      <w:r w:rsidRPr="007E7EC7">
        <w:t xml:space="preserve">Readmission rates </w:t>
      </w:r>
      <w:r w:rsidR="008470CC">
        <w:t>are</w:t>
      </w:r>
      <w:r w:rsidRPr="007E7EC7">
        <w:t xml:space="preserve"> proposed as a marker of the quality of hospital care</w:t>
      </w:r>
      <w:r w:rsidR="0059775A">
        <w:t>. S</w:t>
      </w:r>
      <w:r w:rsidRPr="007E7EC7">
        <w:t>tate and federal agencies have imposed financial penalties on institutions with high rates of readmission</w:t>
      </w:r>
      <w:r w:rsidR="0059775A">
        <w:t>.</w:t>
      </w:r>
      <w:r w:rsidRPr="007E7EC7">
        <w:t xml:space="preserve"> </w:t>
      </w:r>
      <w:r w:rsidR="0059775A">
        <w:t>Those penalties stem from the fact that</w:t>
      </w:r>
      <w:r w:rsidRPr="007E7EC7">
        <w:t xml:space="preserve"> readmission</w:t>
      </w:r>
      <w:r>
        <w:t>s</w:t>
      </w:r>
      <w:r w:rsidRPr="007E7EC7">
        <w:t xml:space="preserve"> account for </w:t>
      </w:r>
      <w:r w:rsidR="008470CC" w:rsidRPr="007E7EC7">
        <w:t>a substantial proportion</w:t>
      </w:r>
      <w:r w:rsidRPr="007E7EC7">
        <w:t xml:space="preserve"> of health care expenditures</w:t>
      </w:r>
      <w:r>
        <w:t>. Readmissions have become</w:t>
      </w:r>
      <w:r w:rsidRPr="007E7EC7">
        <w:t xml:space="preserve"> a standard measure of the quality of the US health care system. Reducing </w:t>
      </w:r>
      <w:r w:rsidR="00B43C4A">
        <w:t>croup readmission</w:t>
      </w:r>
      <w:r w:rsidRPr="007E7EC7">
        <w:t xml:space="preserve"> rates </w:t>
      </w:r>
      <w:r>
        <w:t>requires</w:t>
      </w:r>
      <w:r w:rsidRPr="007E7EC7">
        <w:t xml:space="preserve"> </w:t>
      </w:r>
      <w:r w:rsidR="008470CC" w:rsidRPr="007E7EC7">
        <w:t>improve</w:t>
      </w:r>
      <w:r w:rsidR="008470CC">
        <w:t>d</w:t>
      </w:r>
      <w:r w:rsidR="008470CC" w:rsidRPr="007E7EC7">
        <w:t xml:space="preserve"> clinical decision making </w:t>
      </w:r>
      <w:r w:rsidR="008470CC">
        <w:t>through</w:t>
      </w:r>
      <w:r w:rsidR="008470CC" w:rsidRPr="007E7EC7">
        <w:t xml:space="preserve"> </w:t>
      </w:r>
      <w:r w:rsidRPr="007E7EC7">
        <w:t xml:space="preserve">guidelines </w:t>
      </w:r>
      <w:r w:rsidR="008470CC">
        <w:t xml:space="preserve">based </w:t>
      </w:r>
      <w:proofErr w:type="gramStart"/>
      <w:r w:rsidR="008470CC">
        <w:t xml:space="preserve">on </w:t>
      </w:r>
      <w:r w:rsidR="008470CC" w:rsidRPr="007E7EC7">
        <w:t xml:space="preserve"> </w:t>
      </w:r>
      <w:r w:rsidRPr="007E7EC7">
        <w:t>“</w:t>
      </w:r>
      <w:bookmarkStart w:id="9" w:name="_Hlk510822121"/>
      <w:proofErr w:type="gramEnd"/>
      <w:r w:rsidRPr="007E7EC7">
        <w:t>systematically developed evidence</w:t>
      </w:r>
      <w:bookmarkEnd w:id="9"/>
      <w:r w:rsidRPr="007E7EC7">
        <w:t xml:space="preserve">-based statements”. Understanding the impact of those guidelines on physician behavior can be an important determining factor for directing resources toward better croup management. </w:t>
      </w:r>
    </w:p>
    <w:p w14:paraId="5B675B5C" w14:textId="5D760D56" w:rsidR="007A4A3A" w:rsidRPr="007E7EC7" w:rsidRDefault="007A4A3A" w:rsidP="007A4A3A">
      <w:pPr>
        <w:spacing w:line="360" w:lineRule="auto"/>
        <w:jc w:val="both"/>
      </w:pPr>
      <w:bookmarkStart w:id="10" w:name="_Hlk510822348"/>
      <w:bookmarkStart w:id="11" w:name="_Hlk510822138"/>
      <w:r w:rsidRPr="007E7EC7">
        <w:rPr>
          <w:rFonts w:eastAsia="Times New Roman" w:cstheme="minorHAnsi"/>
        </w:rPr>
        <w:t xml:space="preserve">The purpose of the </w:t>
      </w:r>
      <w:r>
        <w:rPr>
          <w:rFonts w:eastAsia="Times New Roman" w:cstheme="minorHAnsi"/>
        </w:rPr>
        <w:t xml:space="preserve">current </w:t>
      </w:r>
      <w:r w:rsidRPr="007E7EC7">
        <w:rPr>
          <w:rFonts w:eastAsia="Times New Roman" w:cstheme="minorHAnsi"/>
        </w:rPr>
        <w:t xml:space="preserve">study is to determine the impact of the implementation of the Croup Clinical Standard Work (CSW) pathway in a pediatric </w:t>
      </w:r>
      <w:r>
        <w:rPr>
          <w:rFonts w:eastAsia="Times New Roman" w:cstheme="minorHAnsi"/>
        </w:rPr>
        <w:t>hospital</w:t>
      </w:r>
      <w:r w:rsidRPr="007E7EC7">
        <w:rPr>
          <w:rFonts w:eastAsia="Times New Roman" w:cstheme="minorHAnsi"/>
        </w:rPr>
        <w:t xml:space="preserve">, with the overarching goal of standardizing delivery of care </w:t>
      </w:r>
      <w:r>
        <w:rPr>
          <w:rFonts w:eastAsia="Times New Roman" w:cstheme="minorHAnsi"/>
        </w:rPr>
        <w:t>for</w:t>
      </w:r>
      <w:r w:rsidRPr="007E7EC7">
        <w:rPr>
          <w:rFonts w:eastAsia="Times New Roman" w:cstheme="minorHAnsi"/>
        </w:rPr>
        <w:t xml:space="preserve"> croup. </w:t>
      </w:r>
      <w:r w:rsidRPr="007E7EC7">
        <w:t xml:space="preserve">This study </w:t>
      </w:r>
      <w:r>
        <w:t>analyzes</w:t>
      </w:r>
      <w:r w:rsidRPr="007E7EC7">
        <w:t xml:space="preserve"> the variations in the use of resources such </w:t>
      </w:r>
      <w:r w:rsidR="00BA01AA">
        <w:t>d</w:t>
      </w:r>
      <w:r w:rsidRPr="007E7EC7">
        <w:t xml:space="preserve">examethasone, </w:t>
      </w:r>
      <w:r w:rsidR="00BA01AA">
        <w:t>r</w:t>
      </w:r>
      <w:r w:rsidRPr="007E7EC7">
        <w:t xml:space="preserve">acemic </w:t>
      </w:r>
      <w:r w:rsidR="00B31DF0">
        <w:t>e</w:t>
      </w:r>
      <w:r w:rsidRPr="007E7EC7">
        <w:t xml:space="preserve">pinephrine, </w:t>
      </w:r>
      <w:r>
        <w:t xml:space="preserve">and </w:t>
      </w:r>
      <w:r w:rsidRPr="007E7EC7">
        <w:t>chest and neck radiographs in the management of croup in Urgent Care (UC) and Emergency Department (ED) before and after the implementation of the Croup CSW Pathway</w:t>
      </w:r>
      <w:bookmarkEnd w:id="10"/>
      <w:r w:rsidRPr="007E7EC7">
        <w:t xml:space="preserve">. </w:t>
      </w:r>
      <w:bookmarkEnd w:id="11"/>
      <w:r w:rsidRPr="007E7EC7">
        <w:t>Our secondary aim was to describe the relationship between resource utilization and patient outcomes including the following: admission rates, inpatient length</w:t>
      </w:r>
      <w:r w:rsidR="00773AE2">
        <w:t xml:space="preserve"> </w:t>
      </w:r>
      <w:r w:rsidRPr="007E7EC7">
        <w:t xml:space="preserve">of stay (LOS), </w:t>
      </w:r>
      <w:r w:rsidR="00814C32">
        <w:t xml:space="preserve">hospital </w:t>
      </w:r>
      <w:r w:rsidRPr="007E7EC7">
        <w:t xml:space="preserve">readmission rates for croup within 7, 14, 21, and 30 days, and return to the emergency department within 7 days. We hypothesize that, given the implementation of the Croup CSW Pathway and practice guidelines, there would be significant variation in the evaluation and management of patients with croup. We further hypothesize that patient outcomes would not vary significantly between the Urgent Care and the Emergency Department, nor by the </w:t>
      </w:r>
      <w:r w:rsidR="00F36E57">
        <w:t>amount</w:t>
      </w:r>
      <w:r w:rsidR="00F36E57" w:rsidRPr="007E7EC7">
        <w:t xml:space="preserve"> </w:t>
      </w:r>
      <w:r w:rsidRPr="007E7EC7">
        <w:t xml:space="preserve">of resources used. </w:t>
      </w:r>
    </w:p>
    <w:p w14:paraId="2728BE7A" w14:textId="77777777" w:rsidR="007A4A3A" w:rsidRPr="006E0193" w:rsidRDefault="007A4A3A" w:rsidP="0048040B">
      <w:pPr>
        <w:pStyle w:val="Heading1"/>
      </w:pPr>
      <w:r w:rsidRPr="006E0193">
        <w:t>Data Analysis</w:t>
      </w:r>
    </w:p>
    <w:p w14:paraId="612010EE" w14:textId="77777777" w:rsidR="007A4A3A" w:rsidRDefault="007A4A3A" w:rsidP="0048040B">
      <w:pPr>
        <w:pStyle w:val="Heading2"/>
      </w:pPr>
      <w:r w:rsidRPr="006E0193">
        <w:t>Methods</w:t>
      </w:r>
    </w:p>
    <w:p w14:paraId="263666A9" w14:textId="77777777" w:rsidR="002A46F8" w:rsidRDefault="002A46F8" w:rsidP="005D213E">
      <w:pPr>
        <w:spacing w:line="360" w:lineRule="auto"/>
        <w:jc w:val="both"/>
      </w:pPr>
      <w:r>
        <w:t>This</w:t>
      </w:r>
      <w:r w:rsidRPr="00461905">
        <w:t xml:space="preserve"> study </w:t>
      </w:r>
      <w:r>
        <w:t>is</w:t>
      </w:r>
      <w:r w:rsidRPr="00461905">
        <w:t xml:space="preserve"> a retrospective analysis of inpatients</w:t>
      </w:r>
      <w:r>
        <w:t xml:space="preserve"> </w:t>
      </w:r>
      <w:r w:rsidRPr="00461905">
        <w:t xml:space="preserve">diagnosed with croup </w:t>
      </w:r>
      <w:r>
        <w:t xml:space="preserve">in </w:t>
      </w:r>
      <w:r w:rsidRPr="00461905">
        <w:t>Emergency Department (ED) and Urgent Care (UC)</w:t>
      </w:r>
      <w:r>
        <w:t xml:space="preserve"> setting</w:t>
      </w:r>
      <w:r w:rsidR="00E21004">
        <w:t>s</w:t>
      </w:r>
      <w:r w:rsidRPr="00461905">
        <w:t>.</w:t>
      </w:r>
      <w:r w:rsidR="008410DB">
        <w:t xml:space="preserve"> </w:t>
      </w:r>
      <w:r w:rsidR="008410DB" w:rsidRPr="00461905">
        <w:t>The study population consist</w:t>
      </w:r>
      <w:r w:rsidR="008410DB">
        <w:t>s</w:t>
      </w:r>
      <w:r w:rsidR="008410DB" w:rsidRPr="00461905">
        <w:t xml:space="preserve"> of patients aged 6 months to 6 years diagnosed with </w:t>
      </w:r>
      <w:r w:rsidR="008410DB">
        <w:t>c</w:t>
      </w:r>
      <w:r w:rsidR="008410DB" w:rsidRPr="00461905">
        <w:t xml:space="preserve">roup and admitted </w:t>
      </w:r>
      <w:r w:rsidR="008410DB">
        <w:t>at</w:t>
      </w:r>
      <w:r w:rsidR="008410DB" w:rsidRPr="00461905">
        <w:t xml:space="preserve"> Seattle Children</w:t>
      </w:r>
      <w:r w:rsidR="008410DB">
        <w:t>’s Hospital (Seattle, WA), a</w:t>
      </w:r>
      <w:r w:rsidR="008410DB" w:rsidRPr="00461905">
        <w:t xml:space="preserve"> tertiary care pediatric hospital between </w:t>
      </w:r>
      <w:r w:rsidR="004F685A" w:rsidRPr="00461905">
        <w:t>January</w:t>
      </w:r>
      <w:r w:rsidR="00037B43">
        <w:t xml:space="preserve"> 1,</w:t>
      </w:r>
      <w:r w:rsidR="008410DB" w:rsidRPr="00461905">
        <w:t xml:space="preserve"> 2010 and December 31, 2017.</w:t>
      </w:r>
      <w:r>
        <w:t xml:space="preserve"> </w:t>
      </w:r>
      <w:r w:rsidRPr="00461905">
        <w:t>Seattle Children’s Hospital had an annual census of 205,748 patient visits recorded in 2017</w:t>
      </w:r>
      <w:r>
        <w:t>,</w:t>
      </w:r>
      <w:r w:rsidRPr="00461905">
        <w:t xml:space="preserve"> with 45,462 received in the ED, and 36,773 visits in UC. </w:t>
      </w:r>
      <w:r w:rsidRPr="00461905">
        <w:lastRenderedPageBreak/>
        <w:t>Seattle Children’s Hospital and the University of Washington Institutional Review Boards (IRB) approved the protocol</w:t>
      </w:r>
      <w:r>
        <w:t xml:space="preserve"> for this study</w:t>
      </w:r>
      <w:r w:rsidRPr="00461905">
        <w:t xml:space="preserve"> with a waiver of informed consent because it did not involve human subjects.</w:t>
      </w:r>
    </w:p>
    <w:p w14:paraId="100D1FF7" w14:textId="77777777" w:rsidR="002A46F8" w:rsidRDefault="005E4D83" w:rsidP="005D213E">
      <w:pPr>
        <w:spacing w:line="360" w:lineRule="auto"/>
        <w:jc w:val="both"/>
      </w:pPr>
      <w:r>
        <w:t>We obtained d</w:t>
      </w:r>
      <w:r w:rsidR="002A46F8" w:rsidRPr="00461905">
        <w:t>emographic data on gender</w:t>
      </w:r>
      <w:r w:rsidR="002A46F8">
        <w:t xml:space="preserve">, </w:t>
      </w:r>
      <w:r w:rsidR="002A46F8" w:rsidRPr="00461905">
        <w:t xml:space="preserve">age, </w:t>
      </w:r>
      <w:r w:rsidR="002A46F8">
        <w:t xml:space="preserve">and </w:t>
      </w:r>
      <w:r w:rsidR="002A46F8" w:rsidRPr="00461905">
        <w:t>race</w:t>
      </w:r>
      <w:r w:rsidR="00881B01">
        <w:t xml:space="preserve"> (</w:t>
      </w:r>
      <w:r>
        <w:t>c</w:t>
      </w:r>
      <w:r w:rsidR="00881B01">
        <w:t xml:space="preserve">f. </w:t>
      </w:r>
      <w:r w:rsidR="006A54CA">
        <w:t>“</w:t>
      </w:r>
      <w:r w:rsidR="001B7EC5">
        <w:fldChar w:fldCharType="begin"/>
      </w:r>
      <w:r w:rsidR="00881B01">
        <w:instrText xml:space="preserve"> REF _Ref512776694 \h </w:instrText>
      </w:r>
      <w:r w:rsidR="001B7EC5">
        <w:fldChar w:fldCharType="separate"/>
      </w:r>
      <w:r w:rsidR="00881B01">
        <w:t xml:space="preserve">Table </w:t>
      </w:r>
      <w:r w:rsidR="00881B01">
        <w:rPr>
          <w:noProof/>
        </w:rPr>
        <w:t>1</w:t>
      </w:r>
      <w:r w:rsidR="00881B01">
        <w:t>: Patients Demographic Characteristics</w:t>
      </w:r>
      <w:r w:rsidR="001B7EC5">
        <w:fldChar w:fldCharType="end"/>
      </w:r>
      <w:r w:rsidR="006A54CA">
        <w:t>”</w:t>
      </w:r>
      <w:r w:rsidR="00881B01">
        <w:t>)</w:t>
      </w:r>
      <w:r w:rsidR="002A46F8">
        <w:t>.</w:t>
      </w:r>
      <w:r w:rsidR="002A46F8" w:rsidRPr="00461905">
        <w:t xml:space="preserve"> </w:t>
      </w:r>
      <w:r>
        <w:t>We evaluated p</w:t>
      </w:r>
      <w:r w:rsidR="002A46F8" w:rsidRPr="00461905">
        <w:t xml:space="preserve">atients with respect to age, sex, and resources used (racemic epinephrine, dexamethasone, radiology). </w:t>
      </w:r>
      <w:r w:rsidR="002A46F8">
        <w:t xml:space="preserve"> Length of stay (</w:t>
      </w:r>
      <w:r w:rsidR="002A46F8" w:rsidRPr="00461905">
        <w:t>LOS</w:t>
      </w:r>
      <w:r w:rsidR="002A46F8">
        <w:t>)</w:t>
      </w:r>
      <w:r w:rsidR="002A46F8" w:rsidRPr="00461905">
        <w:t>, return to the ED within</w:t>
      </w:r>
      <w:r w:rsidR="00AE18D6">
        <w:t xml:space="preserve"> </w:t>
      </w:r>
      <w:r w:rsidR="002A46F8" w:rsidRPr="00461905">
        <w:t>7, 14, 21, 30 days, and readmission rates</w:t>
      </w:r>
      <w:r w:rsidR="002A46F8">
        <w:t xml:space="preserve"> </w:t>
      </w:r>
      <w:r>
        <w:t>can</w:t>
      </w:r>
      <w:r w:rsidR="002A46F8">
        <w:t xml:space="preserve"> evaluate p</w:t>
      </w:r>
      <w:r w:rsidR="002A46F8" w:rsidRPr="00461905">
        <w:t>atients</w:t>
      </w:r>
      <w:r w:rsidR="002A46F8">
        <w:t>’</w:t>
      </w:r>
      <w:r w:rsidR="002A46F8" w:rsidRPr="00461905">
        <w:t xml:space="preserve"> outcomes</w:t>
      </w:r>
      <w:r w:rsidR="00103BAF">
        <w:t xml:space="preserve"> (</w:t>
      </w:r>
      <w:r>
        <w:t>c</w:t>
      </w:r>
      <w:r w:rsidR="00103BAF">
        <w:t xml:space="preserve">f. </w:t>
      </w:r>
      <w:r w:rsidR="00AF7A7F">
        <w:t>“</w:t>
      </w:r>
      <w:r w:rsidR="001B7EC5">
        <w:fldChar w:fldCharType="begin"/>
      </w:r>
      <w:r w:rsidR="00103BAF">
        <w:instrText xml:space="preserve"> REF _Ref512777098 \h </w:instrText>
      </w:r>
      <w:r w:rsidR="001B7EC5">
        <w:fldChar w:fldCharType="separate"/>
      </w:r>
      <w:r w:rsidR="00103BAF">
        <w:t xml:space="preserve">Table </w:t>
      </w:r>
      <w:r w:rsidR="00103BAF">
        <w:rPr>
          <w:noProof/>
        </w:rPr>
        <w:t>3</w:t>
      </w:r>
      <w:r w:rsidR="00103BAF">
        <w:t>: Patients' Outcomes</w:t>
      </w:r>
      <w:r w:rsidR="001B7EC5">
        <w:fldChar w:fldCharType="end"/>
      </w:r>
      <w:r w:rsidR="00AF7A7F">
        <w:t>”</w:t>
      </w:r>
      <w:r w:rsidR="00150C48">
        <w:t xml:space="preserve"> and </w:t>
      </w:r>
      <w:r w:rsidR="00AF7A7F">
        <w:t>“</w:t>
      </w:r>
      <w:r w:rsidR="001B7EC5">
        <w:fldChar w:fldCharType="begin"/>
      </w:r>
      <w:r w:rsidR="00150C48">
        <w:instrText xml:space="preserve"> REF _Ref512800064 \h </w:instrText>
      </w:r>
      <w:r w:rsidR="001B7EC5">
        <w:fldChar w:fldCharType="separate"/>
      </w:r>
      <w:r w:rsidR="00150C48">
        <w:t xml:space="preserve">Table </w:t>
      </w:r>
      <w:r w:rsidR="00150C48">
        <w:rPr>
          <w:noProof/>
        </w:rPr>
        <w:t>6</w:t>
      </w:r>
      <w:r w:rsidR="00150C48">
        <w:t>: Summary of outcomes statistics</w:t>
      </w:r>
      <w:r w:rsidR="001B7EC5">
        <w:fldChar w:fldCharType="end"/>
      </w:r>
      <w:r w:rsidR="00AF7A7F">
        <w:t>”</w:t>
      </w:r>
      <w:r w:rsidR="00103BAF">
        <w:t>)</w:t>
      </w:r>
      <w:r w:rsidR="007B2DB3">
        <w:t>.</w:t>
      </w:r>
      <w:r w:rsidR="00AE18D6">
        <w:t xml:space="preserve"> </w:t>
      </w:r>
      <w:r w:rsidR="002A46F8">
        <w:t>W</w:t>
      </w:r>
      <w:r w:rsidR="002A46F8" w:rsidRPr="00461905">
        <w:t xml:space="preserve">e compare the </w:t>
      </w:r>
      <w:r>
        <w:t>Pre-CSW</w:t>
      </w:r>
      <w:r w:rsidR="002A46F8" w:rsidRPr="00461905">
        <w:t xml:space="preserve"> period to the </w:t>
      </w:r>
      <w:r>
        <w:t>Post-CSW</w:t>
      </w:r>
      <w:r w:rsidR="002A46F8" w:rsidRPr="00461905">
        <w:t xml:space="preserve"> period </w:t>
      </w:r>
      <w:r w:rsidR="002A46F8">
        <w:t>based on</w:t>
      </w:r>
      <w:r w:rsidR="002A46F8" w:rsidRPr="00461905">
        <w:t xml:space="preserve"> resources use</w:t>
      </w:r>
      <w:r w:rsidR="00513AE1">
        <w:t xml:space="preserve"> (Cf. </w:t>
      </w:r>
      <w:r w:rsidR="00AF7A7F">
        <w:t>“</w:t>
      </w:r>
      <w:r w:rsidR="001B7EC5">
        <w:fldChar w:fldCharType="begin"/>
      </w:r>
      <w:r w:rsidR="00513AE1">
        <w:instrText xml:space="preserve"> REF _Ref512776904 \h </w:instrText>
      </w:r>
      <w:r w:rsidR="001B7EC5">
        <w:fldChar w:fldCharType="separate"/>
      </w:r>
      <w:r w:rsidR="00513AE1">
        <w:t xml:space="preserve">Table </w:t>
      </w:r>
      <w:r w:rsidR="00513AE1">
        <w:rPr>
          <w:noProof/>
        </w:rPr>
        <w:t>2</w:t>
      </w:r>
      <w:r w:rsidR="00513AE1">
        <w:t>: Resource Use</w:t>
      </w:r>
      <w:r w:rsidR="001B7EC5">
        <w:fldChar w:fldCharType="end"/>
      </w:r>
      <w:r w:rsidR="00AF7A7F">
        <w:t>”</w:t>
      </w:r>
      <w:r w:rsidR="00513AE1">
        <w:t>)</w:t>
      </w:r>
      <w:r w:rsidR="002A46F8" w:rsidRPr="00461905">
        <w:t xml:space="preserve"> and patients’ outcomes</w:t>
      </w:r>
      <w:r w:rsidR="00755C96">
        <w:t>.</w:t>
      </w:r>
    </w:p>
    <w:p w14:paraId="628FED8B" w14:textId="77777777" w:rsidR="00060B3C" w:rsidRDefault="00EC538D" w:rsidP="00F9087D">
      <w:pPr>
        <w:spacing w:line="240" w:lineRule="auto"/>
        <w:jc w:val="both"/>
      </w:pPr>
      <w:r>
        <w:rPr>
          <w:noProof/>
        </w:rPr>
        <w:drawing>
          <wp:inline distT="0" distB="0" distL="0" distR="0" wp14:anchorId="45913924" wp14:editId="6F49FAF5">
            <wp:extent cx="5457825" cy="29241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5457825" cy="2924175"/>
                    </a:xfrm>
                    <a:prstGeom prst="rect">
                      <a:avLst/>
                    </a:prstGeom>
                  </pic:spPr>
                </pic:pic>
              </a:graphicData>
            </a:graphic>
          </wp:inline>
        </w:drawing>
      </w:r>
    </w:p>
    <w:p w14:paraId="4698CAC8" w14:textId="77777777" w:rsidR="005D6D78" w:rsidRPr="0024445D" w:rsidRDefault="005D6D78" w:rsidP="0024445D">
      <w:pPr>
        <w:pStyle w:val="Caption"/>
        <w:rPr>
          <w:sz w:val="24"/>
        </w:rPr>
      </w:pPr>
      <w:bookmarkStart w:id="12" w:name="_Toc515706940"/>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w:t>
      </w:r>
      <w:r w:rsidR="001B7EC5">
        <w:rPr>
          <w:sz w:val="24"/>
        </w:rPr>
        <w:fldChar w:fldCharType="end"/>
      </w:r>
      <w:r w:rsidRPr="0024445D">
        <w:rPr>
          <w:sz w:val="24"/>
        </w:rPr>
        <w:t>: Patients Demographic Characteristics</w:t>
      </w:r>
      <w:bookmarkEnd w:id="12"/>
    </w:p>
    <w:p w14:paraId="6EA839F6" w14:textId="77777777" w:rsidR="00F4493B" w:rsidRPr="00C37345" w:rsidRDefault="00F4493B" w:rsidP="00F9087D"/>
    <w:p w14:paraId="46C4945E" w14:textId="067C1D2C" w:rsidR="00881B01" w:rsidRDefault="003D1F90" w:rsidP="00F9087D">
      <w:pPr>
        <w:spacing w:line="240" w:lineRule="auto"/>
        <w:jc w:val="both"/>
      </w:pPr>
      <w:r w:rsidRPr="003D1F90">
        <w:rPr>
          <w:noProof/>
        </w:rPr>
        <w:lastRenderedPageBreak/>
        <w:t xml:space="preserve"> </w:t>
      </w:r>
      <w:r>
        <w:rPr>
          <w:noProof/>
        </w:rPr>
        <w:drawing>
          <wp:inline distT="0" distB="0" distL="0" distR="0" wp14:anchorId="0602F6F1" wp14:editId="3AC83B77">
            <wp:extent cx="5372100" cy="24098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72100" cy="2409825"/>
                    </a:xfrm>
                    <a:prstGeom prst="rect">
                      <a:avLst/>
                    </a:prstGeom>
                  </pic:spPr>
                </pic:pic>
              </a:graphicData>
            </a:graphic>
          </wp:inline>
        </w:drawing>
      </w:r>
    </w:p>
    <w:p w14:paraId="7E7CB9AE" w14:textId="77777777" w:rsidR="005D6D78" w:rsidRPr="0024445D" w:rsidRDefault="005D6D78" w:rsidP="0024445D">
      <w:pPr>
        <w:pStyle w:val="Caption"/>
        <w:rPr>
          <w:sz w:val="24"/>
        </w:rPr>
      </w:pPr>
      <w:bookmarkStart w:id="13" w:name="_Toc515706941"/>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2</w:t>
      </w:r>
      <w:r w:rsidR="001B7EC5">
        <w:rPr>
          <w:sz w:val="24"/>
        </w:rPr>
        <w:fldChar w:fldCharType="end"/>
      </w:r>
      <w:r w:rsidRPr="0024445D">
        <w:rPr>
          <w:sz w:val="24"/>
        </w:rPr>
        <w:t>: Resource Use</w:t>
      </w:r>
      <w:bookmarkEnd w:id="13"/>
    </w:p>
    <w:p w14:paraId="11EC38C2" w14:textId="77777777" w:rsidR="00881B01" w:rsidRDefault="00881B01" w:rsidP="005D213E">
      <w:pPr>
        <w:spacing w:line="360" w:lineRule="auto"/>
        <w:jc w:val="both"/>
      </w:pPr>
    </w:p>
    <w:p w14:paraId="2E4A175C" w14:textId="77777777" w:rsidR="00AE18D6" w:rsidRDefault="009248ED" w:rsidP="00F9087D">
      <w:pPr>
        <w:spacing w:line="240" w:lineRule="auto"/>
        <w:jc w:val="both"/>
      </w:pPr>
      <w:r>
        <w:rPr>
          <w:noProof/>
        </w:rPr>
        <w:drawing>
          <wp:inline distT="0" distB="0" distL="0" distR="0" wp14:anchorId="0DE50A41" wp14:editId="26C7133E">
            <wp:extent cx="5572125" cy="41243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572125" cy="4124325"/>
                    </a:xfrm>
                    <a:prstGeom prst="rect">
                      <a:avLst/>
                    </a:prstGeom>
                  </pic:spPr>
                </pic:pic>
              </a:graphicData>
            </a:graphic>
          </wp:inline>
        </w:drawing>
      </w:r>
    </w:p>
    <w:p w14:paraId="6B6EF6B1" w14:textId="77777777" w:rsidR="003E4A90" w:rsidRPr="0024445D" w:rsidRDefault="003E4A90" w:rsidP="0024445D">
      <w:pPr>
        <w:pStyle w:val="Caption"/>
        <w:rPr>
          <w:sz w:val="24"/>
        </w:rPr>
      </w:pPr>
      <w:bookmarkStart w:id="14" w:name="_Toc515706942"/>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3</w:t>
      </w:r>
      <w:r w:rsidR="001B7EC5">
        <w:rPr>
          <w:sz w:val="24"/>
        </w:rPr>
        <w:fldChar w:fldCharType="end"/>
      </w:r>
      <w:r w:rsidRPr="0024445D">
        <w:rPr>
          <w:sz w:val="24"/>
        </w:rPr>
        <w:t>: Patients' Outcomes</w:t>
      </w:r>
      <w:bookmarkEnd w:id="14"/>
    </w:p>
    <w:p w14:paraId="1AFACF14" w14:textId="77777777" w:rsidR="002A46F8" w:rsidRPr="00461905" w:rsidRDefault="002A46F8" w:rsidP="005D213E">
      <w:pPr>
        <w:spacing w:line="360" w:lineRule="auto"/>
        <w:jc w:val="both"/>
      </w:pPr>
      <w:r w:rsidRPr="00DB4C6D">
        <w:t>Study variables were defined a priori, and complete data</w:t>
      </w:r>
      <w:r>
        <w:t xml:space="preserve"> </w:t>
      </w:r>
      <w:r w:rsidRPr="00DB4C6D">
        <w:t>were available</w:t>
      </w:r>
      <w:r>
        <w:t xml:space="preserve"> for our use. </w:t>
      </w:r>
      <w:r w:rsidRPr="00DB4C6D">
        <w:t xml:space="preserve">Patient-level characteristics include the following: demographic characteristics (sex, age in </w:t>
      </w:r>
      <w:r>
        <w:t>years</w:t>
      </w:r>
      <w:r w:rsidRPr="00DB4C6D">
        <w:t xml:space="preserve">, </w:t>
      </w:r>
      <w:r>
        <w:t xml:space="preserve">and </w:t>
      </w:r>
      <w:r w:rsidRPr="00DB4C6D">
        <w:t>race</w:t>
      </w:r>
      <w:r>
        <w:t xml:space="preserve">). </w:t>
      </w:r>
      <w:r w:rsidRPr="00DB4C6D">
        <w:t xml:space="preserve">Hospital </w:t>
      </w:r>
      <w:r w:rsidRPr="00DB4C6D">
        <w:lastRenderedPageBreak/>
        <w:t xml:space="preserve">level variables </w:t>
      </w:r>
      <w:r>
        <w:t xml:space="preserve">include </w:t>
      </w:r>
      <w:r w:rsidRPr="00DB4C6D">
        <w:t>admission rate for croup from the ED</w:t>
      </w:r>
      <w:r>
        <w:t xml:space="preserve"> and UC </w:t>
      </w:r>
      <w:r w:rsidRPr="00DB4C6D">
        <w:t xml:space="preserve">calculated as the number of patients admitted through the ED </w:t>
      </w:r>
      <w:r>
        <w:t xml:space="preserve">and UC </w:t>
      </w:r>
      <w:r w:rsidRPr="00DB4C6D">
        <w:t>with croup</w:t>
      </w:r>
      <w:r>
        <w:t>,</w:t>
      </w:r>
      <w:r w:rsidRPr="00DB4C6D">
        <w:t xml:space="preserve"> over the total number of patients seen with croup in the ED </w:t>
      </w:r>
      <w:r>
        <w:t xml:space="preserve">and UC. Additional hospital-level variables include use of resources (dexamethasone, racemic epinephrine, radiography) and </w:t>
      </w:r>
      <w:r w:rsidRPr="00DB4C6D">
        <w:t>LOS</w:t>
      </w:r>
      <w:r>
        <w:t>.</w:t>
      </w:r>
    </w:p>
    <w:p w14:paraId="22E6DF99" w14:textId="77777777" w:rsidR="002A46F8" w:rsidRDefault="002A46F8" w:rsidP="005D213E">
      <w:pPr>
        <w:spacing w:line="360" w:lineRule="auto"/>
        <w:jc w:val="both"/>
      </w:pPr>
      <w:r w:rsidRPr="00461905">
        <w:t xml:space="preserve">Standard statistics </w:t>
      </w:r>
      <w:r>
        <w:t>are</w:t>
      </w:r>
      <w:r w:rsidRPr="00461905">
        <w:t xml:space="preserve"> used, including</w:t>
      </w:r>
      <w:r>
        <w:t xml:space="preserve"> the</w:t>
      </w:r>
      <w:r w:rsidRPr="00461905">
        <w:t xml:space="preserve"> </w:t>
      </w:r>
      <w:r w:rsidRPr="006E196E">
        <w:t>Welch's t-test</w:t>
      </w:r>
      <w:r>
        <w:t xml:space="preserve"> to compare the means of the study quantitative variables </w:t>
      </w:r>
      <w:r w:rsidR="005E4D83">
        <w:t>Pre-CSW</w:t>
      </w:r>
      <w:r>
        <w:t xml:space="preserve"> </w:t>
      </w:r>
      <w:r w:rsidR="00E97DB5">
        <w:t>[</w:t>
      </w:r>
      <w:r>
        <w:t>LOS</w:t>
      </w:r>
      <w:r w:rsidR="00E97DB5">
        <w:t xml:space="preserve"> (</w:t>
      </w:r>
      <w:r w:rsidR="0042447B">
        <w:t xml:space="preserve">cf. </w:t>
      </w:r>
      <w:r w:rsidR="007F2F91">
        <w:t>“</w:t>
      </w:r>
      <w:r w:rsidR="001B7EC5">
        <w:fldChar w:fldCharType="begin"/>
      </w:r>
      <w:r w:rsidR="0042447B">
        <w:instrText xml:space="preserve"> REF _Ref512799668 \h </w:instrText>
      </w:r>
      <w:r w:rsidR="001B7EC5">
        <w:fldChar w:fldCharType="separate"/>
      </w:r>
      <w:r w:rsidR="0042447B">
        <w:t xml:space="preserve">Table </w:t>
      </w:r>
      <w:r w:rsidR="0042447B">
        <w:rPr>
          <w:noProof/>
        </w:rPr>
        <w:t>4</w:t>
      </w:r>
      <w:r w:rsidR="0042447B">
        <w:t>: Welch's test for LOS</w:t>
      </w:r>
      <w:r w:rsidR="0042447B">
        <w:rPr>
          <w:noProof/>
        </w:rPr>
        <w:t xml:space="preserve"> in UC</w:t>
      </w:r>
      <w:r w:rsidR="001B7EC5">
        <w:fldChar w:fldCharType="end"/>
      </w:r>
      <w:r w:rsidR="007F2F91">
        <w:t>”</w:t>
      </w:r>
      <w:r w:rsidR="00573F36">
        <w:t xml:space="preserve">,  </w:t>
      </w:r>
      <w:r w:rsidR="007F2F91">
        <w:t>“</w:t>
      </w:r>
      <w:r w:rsidR="001B7EC5">
        <w:fldChar w:fldCharType="begin"/>
      </w:r>
      <w:r w:rsidR="0042447B">
        <w:instrText xml:space="preserve"> REF _Ref512799672 \h </w:instrText>
      </w:r>
      <w:r w:rsidR="001B7EC5">
        <w:fldChar w:fldCharType="separate"/>
      </w:r>
      <w:r w:rsidR="0042447B">
        <w:t xml:space="preserve">Table </w:t>
      </w:r>
      <w:r w:rsidR="0042447B">
        <w:rPr>
          <w:noProof/>
        </w:rPr>
        <w:t>5</w:t>
      </w:r>
      <w:r w:rsidR="0042447B">
        <w:t>:</w:t>
      </w:r>
      <w:r w:rsidR="0042447B" w:rsidRPr="00C02B3D">
        <w:t xml:space="preserve"> Welch's test for LOS in </w:t>
      </w:r>
      <w:r w:rsidR="0042447B">
        <w:t>ED</w:t>
      </w:r>
      <w:r w:rsidR="001B7EC5">
        <w:fldChar w:fldCharType="end"/>
      </w:r>
      <w:r w:rsidR="007F2F91">
        <w:t>”</w:t>
      </w:r>
      <w:r w:rsidR="00E97DB5">
        <w:t>)</w:t>
      </w:r>
      <w:r>
        <w:t>, mean number of days of return to the ED, mean LOS after readmission, and age of patients</w:t>
      </w:r>
      <w:r w:rsidR="00E97DB5">
        <w:t>]</w:t>
      </w:r>
      <w:r>
        <w:t xml:space="preserve"> with their </w:t>
      </w:r>
      <w:r w:rsidR="005E4D83">
        <w:t>Post-CSW</w:t>
      </w:r>
      <w:r>
        <w:t xml:space="preserve"> values. The chi-square test was used to compare </w:t>
      </w:r>
      <w:r w:rsidR="005E4D83">
        <w:t>Pre-CSW</w:t>
      </w:r>
      <w:r w:rsidR="009C63DD">
        <w:t xml:space="preserve"> and </w:t>
      </w:r>
      <w:r w:rsidR="005E4D83">
        <w:t>Post-CSW</w:t>
      </w:r>
      <w:r w:rsidR="009C63DD">
        <w:t xml:space="preserve"> </w:t>
      </w:r>
      <w:r>
        <w:t xml:space="preserve"> proportions for the study qualitative variables which include:  gender, age category, race, units in which the patients were seen, ED transfers, admissions, dexamethasone use, racemic epinephrine use, radiography use, ED return within 7, 14, 21, and 30 days, and readmissions</w:t>
      </w:r>
      <w:r w:rsidR="000F039E">
        <w:t xml:space="preserve"> (cf. </w:t>
      </w:r>
      <w:r w:rsidR="007F2F91">
        <w:t>“</w:t>
      </w:r>
      <w:r w:rsidR="001B7EC5">
        <w:fldChar w:fldCharType="begin"/>
      </w:r>
      <w:r w:rsidR="000F039E">
        <w:instrText xml:space="preserve"> REF _Ref512800064 \h </w:instrText>
      </w:r>
      <w:r w:rsidR="001B7EC5">
        <w:fldChar w:fldCharType="separate"/>
      </w:r>
      <w:r w:rsidR="000F039E">
        <w:t xml:space="preserve">Table </w:t>
      </w:r>
      <w:r w:rsidR="000F039E">
        <w:rPr>
          <w:noProof/>
        </w:rPr>
        <w:t>6</w:t>
      </w:r>
      <w:r w:rsidR="000F039E">
        <w:t>: Summary of outcomes statistics</w:t>
      </w:r>
      <w:r w:rsidR="001B7EC5">
        <w:fldChar w:fldCharType="end"/>
      </w:r>
      <w:r w:rsidR="007F2F91">
        <w:t>”</w:t>
      </w:r>
      <w:r w:rsidR="000F039E">
        <w:t>)</w:t>
      </w:r>
      <w:r>
        <w:t xml:space="preserve">. </w:t>
      </w:r>
      <w:r w:rsidR="005E4D83">
        <w:t>We ran a</w:t>
      </w:r>
      <w:r>
        <w:t>ll those statistical tests at 5% confidence level (p &lt; 0.05).</w:t>
      </w:r>
    </w:p>
    <w:p w14:paraId="0E1CC64E" w14:textId="77777777" w:rsidR="00367D30" w:rsidRDefault="005E4D83" w:rsidP="005D213E">
      <w:pPr>
        <w:spacing w:line="360" w:lineRule="auto"/>
        <w:jc w:val="both"/>
      </w:pPr>
      <w:r>
        <w:t>We performed s</w:t>
      </w:r>
      <w:r w:rsidRPr="00461905">
        <w:t xml:space="preserve">tatistical </w:t>
      </w:r>
      <w:r w:rsidR="002A46F8" w:rsidRPr="00461905">
        <w:t xml:space="preserve">analysis using </w:t>
      </w:r>
      <w:r w:rsidR="002A46F8">
        <w:t>STATA</w:t>
      </w:r>
      <w:r w:rsidR="002A46F8" w:rsidRPr="00461905">
        <w:t xml:space="preserve"> (</w:t>
      </w:r>
      <w:r w:rsidR="002A46F8">
        <w:t xml:space="preserve">Intercooled Stata 15.1 for Windows; </w:t>
      </w:r>
      <w:r w:rsidR="002A46F8" w:rsidRPr="00461905">
        <w:t>StataCorp</w:t>
      </w:r>
      <w:r w:rsidR="002A46F8">
        <w:t xml:space="preserve"> LP</w:t>
      </w:r>
      <w:r w:rsidR="002A46F8" w:rsidRPr="00461905">
        <w:t>, College Station, TX)</w:t>
      </w:r>
      <w:r w:rsidR="002A46F8">
        <w:t>,</w:t>
      </w:r>
      <w:r w:rsidR="002A46F8" w:rsidRPr="00461905">
        <w:t xml:space="preserve"> </w:t>
      </w:r>
      <w:r w:rsidR="002A46F8" w:rsidRPr="004E4E05">
        <w:t>MedCalc Software</w:t>
      </w:r>
      <w:r w:rsidR="002A46F8">
        <w:t>, S</w:t>
      </w:r>
      <w:r w:rsidR="002A46F8" w:rsidRPr="004E4E05">
        <w:t>ocscistatistics.com</w:t>
      </w:r>
      <w:r w:rsidR="002A46F8">
        <w:t xml:space="preserve">, and </w:t>
      </w:r>
      <w:r w:rsidR="002A46F8" w:rsidRPr="004E4E05">
        <w:t>GraphPad Software</w:t>
      </w:r>
      <w:r w:rsidR="00597916">
        <w:t>.</w:t>
      </w:r>
    </w:p>
    <w:p w14:paraId="00F04A06" w14:textId="77777777" w:rsidR="000B3E6B" w:rsidRDefault="00DA7E5F" w:rsidP="00F9087D">
      <w:pPr>
        <w:spacing w:line="240" w:lineRule="auto"/>
        <w:jc w:val="both"/>
        <w:rPr>
          <w:rFonts w:asciiTheme="majorHAnsi" w:eastAsiaTheme="majorEastAsia" w:hAnsiTheme="majorHAnsi" w:cstheme="majorBidi"/>
          <w:color w:val="2F5496" w:themeColor="accent1" w:themeShade="BF"/>
          <w:sz w:val="32"/>
          <w:szCs w:val="32"/>
        </w:rPr>
      </w:pPr>
      <w:r>
        <w:rPr>
          <w:noProof/>
        </w:rPr>
        <w:drawing>
          <wp:inline distT="0" distB="0" distL="0" distR="0" wp14:anchorId="3E39EAC5" wp14:editId="4EF058B7">
            <wp:extent cx="3971925" cy="7524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3971925" cy="752475"/>
                    </a:xfrm>
                    <a:prstGeom prst="rect">
                      <a:avLst/>
                    </a:prstGeom>
                  </pic:spPr>
                </pic:pic>
              </a:graphicData>
            </a:graphic>
          </wp:inline>
        </w:drawing>
      </w:r>
    </w:p>
    <w:p w14:paraId="1D5477B0" w14:textId="77777777" w:rsidR="001F2AE2" w:rsidRPr="0024445D" w:rsidRDefault="001F2AE2" w:rsidP="0024445D">
      <w:pPr>
        <w:pStyle w:val="Caption"/>
        <w:rPr>
          <w:sz w:val="24"/>
        </w:rPr>
      </w:pPr>
      <w:bookmarkStart w:id="15" w:name="_Ref512799668"/>
      <w:bookmarkStart w:id="16" w:name="_Toc515706943"/>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4</w:t>
      </w:r>
      <w:r w:rsidR="001B7EC5">
        <w:rPr>
          <w:sz w:val="24"/>
        </w:rPr>
        <w:fldChar w:fldCharType="end"/>
      </w:r>
      <w:r w:rsidRPr="0024445D">
        <w:rPr>
          <w:sz w:val="24"/>
        </w:rPr>
        <w:t>: Welch's test for L</w:t>
      </w:r>
      <w:r w:rsidR="00CF2DF3">
        <w:rPr>
          <w:sz w:val="24"/>
        </w:rPr>
        <w:t>ength of Stay</w:t>
      </w:r>
      <w:r w:rsidRPr="0024445D">
        <w:rPr>
          <w:sz w:val="24"/>
        </w:rPr>
        <w:t xml:space="preserve"> in UC</w:t>
      </w:r>
      <w:bookmarkEnd w:id="15"/>
      <w:bookmarkEnd w:id="16"/>
    </w:p>
    <w:p w14:paraId="4C80548F" w14:textId="77777777" w:rsidR="00DB2354" w:rsidRPr="00C37345" w:rsidRDefault="00DB2354" w:rsidP="00F9087D"/>
    <w:p w14:paraId="7238CB13" w14:textId="77777777" w:rsidR="00243745" w:rsidRDefault="00035C2A" w:rsidP="00F9087D">
      <w:pPr>
        <w:spacing w:line="240" w:lineRule="auto"/>
        <w:jc w:val="both"/>
        <w:rPr>
          <w:rFonts w:asciiTheme="majorHAnsi" w:eastAsiaTheme="majorEastAsia" w:hAnsiTheme="majorHAnsi" w:cstheme="majorBidi"/>
          <w:color w:val="2F5496" w:themeColor="accent1" w:themeShade="BF"/>
          <w:sz w:val="32"/>
          <w:szCs w:val="32"/>
        </w:rPr>
      </w:pPr>
      <w:r>
        <w:rPr>
          <w:noProof/>
        </w:rPr>
        <w:drawing>
          <wp:inline distT="0" distB="0" distL="0" distR="0" wp14:anchorId="75883374" wp14:editId="052AD438">
            <wp:extent cx="3987209" cy="735505"/>
            <wp:effectExtent l="0" t="0" r="0"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4121401" cy="760259"/>
                    </a:xfrm>
                    <a:prstGeom prst="rect">
                      <a:avLst/>
                    </a:prstGeom>
                  </pic:spPr>
                </pic:pic>
              </a:graphicData>
            </a:graphic>
          </wp:inline>
        </w:drawing>
      </w:r>
    </w:p>
    <w:p w14:paraId="07D38740" w14:textId="77777777" w:rsidR="001F2AE2" w:rsidRPr="0024445D" w:rsidRDefault="001F2AE2" w:rsidP="0024445D">
      <w:pPr>
        <w:pStyle w:val="Caption"/>
        <w:rPr>
          <w:sz w:val="24"/>
        </w:rPr>
      </w:pPr>
      <w:bookmarkStart w:id="17" w:name="_Ref512799672"/>
      <w:bookmarkStart w:id="18" w:name="_Toc515706944"/>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5</w:t>
      </w:r>
      <w:r w:rsidR="001B7EC5">
        <w:rPr>
          <w:sz w:val="24"/>
        </w:rPr>
        <w:fldChar w:fldCharType="end"/>
      </w:r>
      <w:r w:rsidRPr="0024445D">
        <w:rPr>
          <w:sz w:val="24"/>
        </w:rPr>
        <w:t>: Welch's test for L</w:t>
      </w:r>
      <w:r w:rsidR="005852F3" w:rsidRPr="0024445D">
        <w:rPr>
          <w:sz w:val="24"/>
        </w:rPr>
        <w:t xml:space="preserve">ength of Stay </w:t>
      </w:r>
      <w:r w:rsidRPr="0024445D">
        <w:rPr>
          <w:sz w:val="24"/>
        </w:rPr>
        <w:t>in ED</w:t>
      </w:r>
      <w:bookmarkEnd w:id="17"/>
      <w:bookmarkEnd w:id="18"/>
    </w:p>
    <w:p w14:paraId="58F852BA" w14:textId="77777777" w:rsidR="007A4A3A" w:rsidRDefault="007A4A3A" w:rsidP="0048040B">
      <w:pPr>
        <w:pStyle w:val="Heading2"/>
      </w:pPr>
      <w:r w:rsidRPr="00052810">
        <w:t>Results</w:t>
      </w:r>
    </w:p>
    <w:p w14:paraId="498A976A" w14:textId="77777777" w:rsidR="00FC3AD7" w:rsidRDefault="00FC3AD7" w:rsidP="0058685C">
      <w:pPr>
        <w:spacing w:line="360" w:lineRule="auto"/>
        <w:jc w:val="both"/>
        <w:rPr>
          <w:rFonts w:eastAsia="Times New Roman" w:cstheme="minorHAnsi"/>
        </w:rPr>
      </w:pPr>
      <w:r w:rsidRPr="00FC3AD7">
        <w:rPr>
          <w:rFonts w:eastAsia="Times New Roman" w:cstheme="minorHAnsi"/>
        </w:rPr>
        <w:t xml:space="preserve">The croup </w:t>
      </w:r>
      <w:r w:rsidR="005E4D83">
        <w:rPr>
          <w:rFonts w:eastAsia="Times New Roman" w:cstheme="minorHAnsi"/>
        </w:rPr>
        <w:t>Pre-CSW</w:t>
      </w:r>
      <w:r w:rsidRPr="00FC3AD7">
        <w:rPr>
          <w:rFonts w:eastAsia="Times New Roman" w:cstheme="minorHAnsi"/>
        </w:rPr>
        <w:t xml:space="preserve"> pathway implementation contributed data from January 1, 2010 to November 30, 2012, while the croup </w:t>
      </w:r>
      <w:r w:rsidR="007A4613">
        <w:rPr>
          <w:rFonts w:eastAsia="Times New Roman" w:cstheme="minorHAnsi"/>
        </w:rPr>
        <w:t>Post-CSW</w:t>
      </w:r>
      <w:r w:rsidRPr="00FC3AD7">
        <w:rPr>
          <w:rFonts w:eastAsia="Times New Roman" w:cstheme="minorHAnsi"/>
        </w:rPr>
        <w:t xml:space="preserve"> pathway contributed data from December 1, 2012 to December 31, 2017. There were 2</w:t>
      </w:r>
      <w:r w:rsidR="005E4D83">
        <w:rPr>
          <w:rFonts w:eastAsia="Times New Roman" w:cstheme="minorHAnsi"/>
        </w:rPr>
        <w:t>,</w:t>
      </w:r>
      <w:r w:rsidRPr="00FC3AD7">
        <w:rPr>
          <w:rFonts w:eastAsia="Times New Roman" w:cstheme="minorHAnsi"/>
        </w:rPr>
        <w:t>101 and 5</w:t>
      </w:r>
      <w:r w:rsidR="005E4D83">
        <w:rPr>
          <w:rFonts w:eastAsia="Times New Roman" w:cstheme="minorHAnsi"/>
        </w:rPr>
        <w:t>,</w:t>
      </w:r>
      <w:r w:rsidRPr="00FC3AD7">
        <w:rPr>
          <w:rFonts w:eastAsia="Times New Roman" w:cstheme="minorHAnsi"/>
        </w:rPr>
        <w:t xml:space="preserve">917 patients with croup in the </w:t>
      </w:r>
      <w:r w:rsidR="005E4D83">
        <w:rPr>
          <w:rFonts w:eastAsia="Times New Roman" w:cstheme="minorHAnsi"/>
        </w:rPr>
        <w:t>Pre-CSW</w:t>
      </w:r>
      <w:r w:rsidRPr="00FC3AD7">
        <w:rPr>
          <w:rFonts w:eastAsia="Times New Roman" w:cstheme="minorHAnsi"/>
        </w:rPr>
        <w:t xml:space="preserve"> pathway and </w:t>
      </w:r>
      <w:r w:rsidR="007A4613">
        <w:rPr>
          <w:rFonts w:eastAsia="Times New Roman" w:cstheme="minorHAnsi"/>
        </w:rPr>
        <w:t>Post-CSW</w:t>
      </w:r>
      <w:r w:rsidRPr="00FC3AD7">
        <w:rPr>
          <w:rFonts w:eastAsia="Times New Roman" w:cstheme="minorHAnsi"/>
        </w:rPr>
        <w:t xml:space="preserve"> pathway groups, respectively</w:t>
      </w:r>
      <w:r>
        <w:rPr>
          <w:rFonts w:eastAsia="Times New Roman" w:cstheme="minorHAnsi"/>
        </w:rPr>
        <w:t>.</w:t>
      </w:r>
    </w:p>
    <w:p w14:paraId="64DFA249" w14:textId="77777777" w:rsidR="00081989" w:rsidRDefault="00081989" w:rsidP="00081989">
      <w:pPr>
        <w:spacing w:line="360" w:lineRule="auto"/>
        <w:jc w:val="both"/>
      </w:pPr>
      <w:r>
        <w:lastRenderedPageBreak/>
        <w:t>At first glance, a</w:t>
      </w:r>
      <w:r w:rsidRPr="00710DB2">
        <w:t xml:space="preserve"> shift in the racial mix of the ED patient population occurred.  </w:t>
      </w:r>
      <w:r>
        <w:t xml:space="preserve">This </w:t>
      </w:r>
      <w:r w:rsidRPr="00710DB2">
        <w:t>change was significant with Chi-squared test with a p-value of 0.000039. Asians and White contributions in the croup ED population have move up 3.37</w:t>
      </w:r>
      <w:r>
        <w:t xml:space="preserve"> percentage points</w:t>
      </w:r>
      <w:r w:rsidRPr="00710DB2">
        <w:t xml:space="preserve"> and 1.26</w:t>
      </w:r>
      <w:r>
        <w:t xml:space="preserve"> percentage points</w:t>
      </w:r>
      <w:r w:rsidRPr="00710DB2">
        <w:t xml:space="preserve"> respectively, while Blacks and other races contributions have gone down 0.59</w:t>
      </w:r>
      <w:r>
        <w:t xml:space="preserve"> </w:t>
      </w:r>
      <w:r w:rsidRPr="00710DB2">
        <w:t>and Others 4.04</w:t>
      </w:r>
      <w:r>
        <w:t xml:space="preserve"> percentage points</w:t>
      </w:r>
      <w:r w:rsidRPr="00710DB2">
        <w:t xml:space="preserve"> respectively (</w:t>
      </w:r>
      <w:r w:rsidR="0071182E">
        <w:t>“</w:t>
      </w:r>
      <w:r w:rsidR="001B7EC5">
        <w:fldChar w:fldCharType="begin"/>
      </w:r>
      <w:r>
        <w:instrText xml:space="preserve"> REF _Ref512804091 \h </w:instrText>
      </w:r>
      <w:r w:rsidR="001B7EC5">
        <w:fldChar w:fldCharType="separate"/>
      </w:r>
      <w:r>
        <w:t xml:space="preserve">Table </w:t>
      </w:r>
      <w:r>
        <w:rPr>
          <w:noProof/>
        </w:rPr>
        <w:t>9</w:t>
      </w:r>
      <w:r>
        <w:t xml:space="preserve">: </w:t>
      </w:r>
      <w:r w:rsidRPr="005F3632">
        <w:t>Race descriptive statistics</w:t>
      </w:r>
      <w:r w:rsidR="001B7EC5">
        <w:fldChar w:fldCharType="end"/>
      </w:r>
      <w:r w:rsidR="0071182E">
        <w:t>”</w:t>
      </w:r>
      <w:r>
        <w:t xml:space="preserve"> and </w:t>
      </w:r>
      <w:r w:rsidR="0071182E">
        <w:t>“</w:t>
      </w:r>
      <w:r w:rsidR="001B7EC5">
        <w:fldChar w:fldCharType="begin"/>
      </w:r>
      <w:r>
        <w:instrText xml:space="preserve"> REF _Ref512804094 \h </w:instrText>
      </w:r>
      <w:r w:rsidR="001B7EC5">
        <w:fldChar w:fldCharType="separate"/>
      </w:r>
      <w:r>
        <w:t xml:space="preserve">Table </w:t>
      </w:r>
      <w:r>
        <w:rPr>
          <w:noProof/>
        </w:rPr>
        <w:t>10</w:t>
      </w:r>
      <w:r>
        <w:t xml:space="preserve">: </w:t>
      </w:r>
      <w:r w:rsidRPr="000E3F90">
        <w:t>Welch's t-test applied to Race</w:t>
      </w:r>
      <w:r w:rsidR="001B7EC5">
        <w:fldChar w:fldCharType="end"/>
      </w:r>
      <w:r w:rsidR="0071182E">
        <w:t>”</w:t>
      </w:r>
      <w:r w:rsidRPr="00710DB2">
        <w:t>) confirmed by a Chi-squared test with a p-value of 0.000039.</w:t>
      </w:r>
    </w:p>
    <w:p w14:paraId="7261B01F" w14:textId="77777777" w:rsidR="006B5A3D" w:rsidRPr="000213A7" w:rsidRDefault="00F958F8" w:rsidP="000213A7">
      <w:pPr>
        <w:pStyle w:val="Heading2"/>
      </w:pPr>
      <w:r>
        <w:t>Variation in the use of resources</w:t>
      </w:r>
    </w:p>
    <w:p w14:paraId="28AE7ACB" w14:textId="77777777" w:rsidR="00F958F8" w:rsidRDefault="00F958F8" w:rsidP="00F958F8">
      <w:pPr>
        <w:pStyle w:val="Heading3"/>
      </w:pPr>
      <w:bookmarkStart w:id="19" w:name="_Hlk510807724"/>
      <w:r w:rsidRPr="007E7EC7">
        <w:t>Dexamethasone</w:t>
      </w:r>
    </w:p>
    <w:bookmarkEnd w:id="19"/>
    <w:p w14:paraId="48A97604" w14:textId="77777777" w:rsidR="00F958F8" w:rsidRPr="00A40D48" w:rsidRDefault="00F958F8" w:rsidP="00A40D48">
      <w:pPr>
        <w:spacing w:line="360" w:lineRule="auto"/>
        <w:jc w:val="both"/>
        <w:rPr>
          <w:rFonts w:eastAsia="Times New Roman" w:cstheme="minorHAnsi"/>
        </w:rPr>
      </w:pPr>
      <w:r w:rsidRPr="00A40D48">
        <w:rPr>
          <w:rFonts w:eastAsia="Times New Roman" w:cstheme="minorHAnsi"/>
        </w:rPr>
        <w:t xml:space="preserve">A chi-square test between </w:t>
      </w:r>
      <w:r w:rsidR="005E4D83">
        <w:rPr>
          <w:rFonts w:eastAsia="Times New Roman" w:cstheme="minorHAnsi"/>
        </w:rPr>
        <w:t>Pre-CSW</w:t>
      </w:r>
      <w:r w:rsidR="009C63DD">
        <w:rPr>
          <w:rFonts w:eastAsia="Times New Roman" w:cstheme="minorHAnsi"/>
        </w:rPr>
        <w:t xml:space="preserve"> and </w:t>
      </w:r>
      <w:r w:rsidR="005E4D83">
        <w:rPr>
          <w:rFonts w:eastAsia="Times New Roman" w:cstheme="minorHAnsi"/>
        </w:rPr>
        <w:t>Post-CSW</w:t>
      </w:r>
      <w:r w:rsidR="009C63DD">
        <w:rPr>
          <w:rFonts w:eastAsia="Times New Roman" w:cstheme="minorHAnsi"/>
        </w:rPr>
        <w:t xml:space="preserve"> </w:t>
      </w:r>
      <w:r w:rsidRPr="00A40D48">
        <w:rPr>
          <w:rFonts w:eastAsia="Times New Roman" w:cstheme="minorHAnsi"/>
        </w:rPr>
        <w:t xml:space="preserve">data usage in Urgent Care (UC) and the Emergency Department (ED) of the </w:t>
      </w:r>
      <w:r w:rsidR="00F229B9">
        <w:rPr>
          <w:rFonts w:eastAsia="Times New Roman" w:cstheme="minorHAnsi"/>
        </w:rPr>
        <w:t xml:space="preserve">Seattle Children’s </w:t>
      </w:r>
      <w:r w:rsidRPr="00A40D48">
        <w:rPr>
          <w:rFonts w:eastAsia="Times New Roman" w:cstheme="minorHAnsi"/>
        </w:rPr>
        <w:t xml:space="preserve">Hospital was performed to determine whether there was a significant difference between </w:t>
      </w:r>
      <w:r w:rsidR="005E4D83">
        <w:rPr>
          <w:rFonts w:eastAsia="Times New Roman" w:cstheme="minorHAnsi"/>
        </w:rPr>
        <w:t>Pre-CSW</w:t>
      </w:r>
      <w:r w:rsidR="009C63DD">
        <w:rPr>
          <w:rFonts w:eastAsia="Times New Roman" w:cstheme="minorHAnsi"/>
        </w:rPr>
        <w:t xml:space="preserve"> and </w:t>
      </w:r>
      <w:r w:rsidR="005E4D83">
        <w:rPr>
          <w:rFonts w:eastAsia="Times New Roman" w:cstheme="minorHAnsi"/>
        </w:rPr>
        <w:t>Post-CSW</w:t>
      </w:r>
      <w:r w:rsidR="009C63DD">
        <w:rPr>
          <w:rFonts w:eastAsia="Times New Roman" w:cstheme="minorHAnsi"/>
        </w:rPr>
        <w:t xml:space="preserve"> </w:t>
      </w:r>
      <w:r w:rsidRPr="00A40D48">
        <w:rPr>
          <w:rFonts w:eastAsia="Times New Roman" w:cstheme="minorHAnsi"/>
        </w:rPr>
        <w:t xml:space="preserve">behaviors in the use of dexamethasone. </w:t>
      </w:r>
      <w:r w:rsidR="002A7895">
        <w:rPr>
          <w:rFonts w:eastAsia="Times New Roman" w:cstheme="minorHAnsi"/>
        </w:rPr>
        <w:t>D</w:t>
      </w:r>
      <w:r w:rsidR="00AF6EFF">
        <w:rPr>
          <w:rFonts w:eastAsia="Times New Roman" w:cstheme="minorHAnsi"/>
        </w:rPr>
        <w:t>examethasone</w:t>
      </w:r>
      <w:r w:rsidR="00AF6EFF" w:rsidRPr="00A40D48">
        <w:rPr>
          <w:rFonts w:eastAsia="Times New Roman" w:cstheme="minorHAnsi"/>
        </w:rPr>
        <w:t xml:space="preserve"> </w:t>
      </w:r>
      <w:r w:rsidR="00AF6EFF">
        <w:rPr>
          <w:rFonts w:eastAsia="Times New Roman" w:cstheme="minorHAnsi"/>
        </w:rPr>
        <w:t xml:space="preserve">administration shows a 3.83 percentage point increase </w:t>
      </w:r>
      <w:r w:rsidR="00AF6EFF" w:rsidRPr="00A40D48">
        <w:rPr>
          <w:rFonts w:eastAsia="Times New Roman" w:cstheme="minorHAnsi"/>
        </w:rPr>
        <w:t>in UC and a 1.97</w:t>
      </w:r>
      <w:r w:rsidR="00AF6EFF">
        <w:rPr>
          <w:rFonts w:eastAsia="Times New Roman" w:cstheme="minorHAnsi"/>
        </w:rPr>
        <w:t xml:space="preserve"> percentage point decrease</w:t>
      </w:r>
      <w:r w:rsidR="00AF6EFF" w:rsidRPr="00A40D48">
        <w:rPr>
          <w:rFonts w:eastAsia="Times New Roman" w:cstheme="minorHAnsi"/>
        </w:rPr>
        <w:t xml:space="preserve"> in ED </w:t>
      </w:r>
      <w:r w:rsidR="00AF6EFF">
        <w:rPr>
          <w:rFonts w:eastAsia="Times New Roman" w:cstheme="minorHAnsi"/>
        </w:rPr>
        <w:t>(</w:t>
      </w:r>
      <w:r w:rsidR="00AF6EFF" w:rsidRPr="00A40D48">
        <w:rPr>
          <w:rFonts w:eastAsia="Times New Roman" w:cstheme="minorHAnsi"/>
        </w:rPr>
        <w:t>with a p-value of 0.0242 and 0.0355 respectively</w:t>
      </w:r>
      <w:r w:rsidR="00AF6EFF">
        <w:rPr>
          <w:rFonts w:eastAsia="Times New Roman" w:cstheme="minorHAnsi"/>
        </w:rPr>
        <w:t xml:space="preserve">). </w:t>
      </w:r>
      <w:r w:rsidR="0048040B">
        <w:rPr>
          <w:rFonts w:eastAsia="Times New Roman" w:cstheme="minorHAnsi"/>
        </w:rPr>
        <w:t xml:space="preserve"> </w:t>
      </w:r>
      <w:r w:rsidR="00204A8A">
        <w:rPr>
          <w:rFonts w:eastAsia="Times New Roman" w:cstheme="minorHAnsi"/>
        </w:rPr>
        <w:t>This</w:t>
      </w:r>
      <w:r w:rsidRPr="00A40D48">
        <w:rPr>
          <w:rFonts w:eastAsia="Times New Roman" w:cstheme="minorHAnsi"/>
        </w:rPr>
        <w:t xml:space="preserve"> indicate</w:t>
      </w:r>
      <w:r w:rsidR="00204A8A">
        <w:rPr>
          <w:rFonts w:eastAsia="Times New Roman" w:cstheme="minorHAnsi"/>
        </w:rPr>
        <w:t>s</w:t>
      </w:r>
      <w:r w:rsidRPr="00A40D48">
        <w:rPr>
          <w:rFonts w:eastAsia="Times New Roman" w:cstheme="minorHAnsi"/>
        </w:rPr>
        <w:t xml:space="preserve"> noticeable changes in the management of croup in the UC and ED at </w:t>
      </w:r>
      <w:r w:rsidR="00F229B9">
        <w:rPr>
          <w:rFonts w:eastAsia="Times New Roman" w:cstheme="minorHAnsi"/>
        </w:rPr>
        <w:t xml:space="preserve">Seattle Children’s </w:t>
      </w:r>
      <w:r w:rsidRPr="00A40D48">
        <w:rPr>
          <w:rFonts w:eastAsia="Times New Roman" w:cstheme="minorHAnsi"/>
        </w:rPr>
        <w:t>(cf.</w:t>
      </w:r>
      <w:r w:rsidR="00C36D65">
        <w:rPr>
          <w:rFonts w:eastAsia="Times New Roman" w:cstheme="minorHAnsi"/>
        </w:rPr>
        <w:t xml:space="preserve"> </w:t>
      </w:r>
      <w:r w:rsidR="000F2101">
        <w:rPr>
          <w:rFonts w:eastAsia="Times New Roman" w:cstheme="minorHAnsi"/>
        </w:rPr>
        <w:t>“</w:t>
      </w:r>
      <w:r w:rsidR="001B7EC5">
        <w:rPr>
          <w:rFonts w:eastAsia="Times New Roman" w:cstheme="minorHAnsi"/>
        </w:rPr>
        <w:fldChar w:fldCharType="begin"/>
      </w:r>
      <w:r w:rsidR="00C36D65">
        <w:rPr>
          <w:rFonts w:eastAsia="Times New Roman" w:cstheme="minorHAnsi"/>
        </w:rPr>
        <w:instrText xml:space="preserve"> REF _Ref512804237 \h </w:instrText>
      </w:r>
      <w:r w:rsidR="001B7EC5">
        <w:rPr>
          <w:rFonts w:eastAsia="Times New Roman" w:cstheme="minorHAnsi"/>
        </w:rPr>
      </w:r>
      <w:r w:rsidR="001B7EC5">
        <w:rPr>
          <w:rFonts w:eastAsia="Times New Roman" w:cstheme="minorHAnsi"/>
        </w:rPr>
        <w:fldChar w:fldCharType="separate"/>
      </w:r>
      <w:r w:rsidR="00C36D65">
        <w:t xml:space="preserve">Table </w:t>
      </w:r>
      <w:r w:rsidR="00C36D65">
        <w:rPr>
          <w:noProof/>
        </w:rPr>
        <w:t>11</w:t>
      </w:r>
      <w:r w:rsidR="00C36D65">
        <w:t xml:space="preserve">: </w:t>
      </w:r>
      <w:r w:rsidR="00C36D65" w:rsidRPr="009C2D39">
        <w:t>Dexamethasone descriptive statistics</w:t>
      </w:r>
      <w:r w:rsidR="001B7EC5">
        <w:rPr>
          <w:rFonts w:eastAsia="Times New Roman" w:cstheme="minorHAnsi"/>
        </w:rPr>
        <w:fldChar w:fldCharType="end"/>
      </w:r>
      <w:r w:rsidR="000F2101">
        <w:rPr>
          <w:rFonts w:eastAsia="Times New Roman" w:cstheme="minorHAnsi"/>
        </w:rPr>
        <w:t>”</w:t>
      </w:r>
      <w:r w:rsidR="00C36D65">
        <w:rPr>
          <w:rFonts w:eastAsia="Times New Roman" w:cstheme="minorHAnsi"/>
        </w:rPr>
        <w:t xml:space="preserve"> and </w:t>
      </w:r>
      <w:r w:rsidR="000F2101">
        <w:rPr>
          <w:rFonts w:eastAsia="Times New Roman" w:cstheme="minorHAnsi"/>
        </w:rPr>
        <w:t>“</w:t>
      </w:r>
      <w:r w:rsidR="001B7EC5">
        <w:rPr>
          <w:rFonts w:eastAsia="Times New Roman" w:cstheme="minorHAnsi"/>
        </w:rPr>
        <w:fldChar w:fldCharType="begin"/>
      </w:r>
      <w:r w:rsidR="00C36D65">
        <w:rPr>
          <w:rFonts w:eastAsia="Times New Roman" w:cstheme="minorHAnsi"/>
        </w:rPr>
        <w:instrText xml:space="preserve"> REF _Ref512804244 \h </w:instrText>
      </w:r>
      <w:r w:rsidR="001B7EC5">
        <w:rPr>
          <w:rFonts w:eastAsia="Times New Roman" w:cstheme="minorHAnsi"/>
        </w:rPr>
      </w:r>
      <w:r w:rsidR="001B7EC5">
        <w:rPr>
          <w:rFonts w:eastAsia="Times New Roman" w:cstheme="minorHAnsi"/>
        </w:rPr>
        <w:fldChar w:fldCharType="separate"/>
      </w:r>
      <w:r w:rsidR="00C36D65">
        <w:t xml:space="preserve">Table </w:t>
      </w:r>
      <w:r w:rsidR="00C36D65">
        <w:rPr>
          <w:noProof/>
        </w:rPr>
        <w:t>12</w:t>
      </w:r>
      <w:r w:rsidR="00C36D65">
        <w:t xml:space="preserve">: </w:t>
      </w:r>
      <w:r w:rsidR="00C36D65" w:rsidRPr="00C753EA">
        <w:t>Welch's t-test applied to Dexamethasone use</w:t>
      </w:r>
      <w:r w:rsidR="001B7EC5">
        <w:rPr>
          <w:rFonts w:eastAsia="Times New Roman" w:cstheme="minorHAnsi"/>
        </w:rPr>
        <w:fldChar w:fldCharType="end"/>
      </w:r>
      <w:r w:rsidR="000F2101">
        <w:rPr>
          <w:rFonts w:eastAsia="Times New Roman" w:cstheme="minorHAnsi"/>
        </w:rPr>
        <w:t>”</w:t>
      </w:r>
      <w:r w:rsidRPr="00A40D48">
        <w:rPr>
          <w:rFonts w:eastAsia="Times New Roman" w:cstheme="minorHAnsi"/>
        </w:rPr>
        <w:t>).</w:t>
      </w:r>
    </w:p>
    <w:p w14:paraId="2821611B" w14:textId="77777777" w:rsidR="00AD463D" w:rsidRDefault="00AD463D" w:rsidP="00AD463D">
      <w:pPr>
        <w:pStyle w:val="Heading3"/>
        <w:rPr>
          <w:rFonts w:eastAsia="Times New Roman"/>
        </w:rPr>
      </w:pPr>
      <w:r>
        <w:rPr>
          <w:rFonts w:eastAsia="Times New Roman"/>
        </w:rPr>
        <w:t>Racemic Epinephrine</w:t>
      </w:r>
    </w:p>
    <w:p w14:paraId="239700A2" w14:textId="6A0C3005" w:rsidR="00AD463D" w:rsidRPr="00AD463D" w:rsidRDefault="00AD463D" w:rsidP="00AD463D">
      <w:pPr>
        <w:spacing w:line="360" w:lineRule="auto"/>
        <w:jc w:val="both"/>
        <w:rPr>
          <w:rFonts w:eastAsia="Times New Roman" w:cstheme="minorHAnsi"/>
        </w:rPr>
      </w:pPr>
      <w:r w:rsidRPr="00AD463D">
        <w:rPr>
          <w:rFonts w:eastAsia="Times New Roman" w:cstheme="minorHAnsi"/>
        </w:rPr>
        <w:t xml:space="preserve">A chi-square test between </w:t>
      </w:r>
      <w:r w:rsidR="005E4D83">
        <w:rPr>
          <w:rFonts w:eastAsia="Times New Roman" w:cstheme="minorHAnsi"/>
        </w:rPr>
        <w:t>Pre-CSW</w:t>
      </w:r>
      <w:r w:rsidRPr="00AD463D">
        <w:rPr>
          <w:rFonts w:eastAsia="Times New Roman" w:cstheme="minorHAnsi"/>
        </w:rPr>
        <w:t xml:space="preserve"> and </w:t>
      </w:r>
      <w:r w:rsidR="005E4D83">
        <w:rPr>
          <w:rFonts w:eastAsia="Times New Roman" w:cstheme="minorHAnsi"/>
        </w:rPr>
        <w:t>Post-CSW</w:t>
      </w:r>
      <w:r w:rsidRPr="00AD463D">
        <w:rPr>
          <w:rFonts w:eastAsia="Times New Roman" w:cstheme="minorHAnsi"/>
        </w:rPr>
        <w:t xml:space="preserve"> data usage in Urgent Care and the Emergency Department of the </w:t>
      </w:r>
      <w:r w:rsidR="00F229B9">
        <w:rPr>
          <w:rFonts w:eastAsia="Times New Roman" w:cstheme="minorHAnsi"/>
        </w:rPr>
        <w:t xml:space="preserve">Seattle Children’s </w:t>
      </w:r>
      <w:r w:rsidRPr="00AD463D">
        <w:rPr>
          <w:rFonts w:eastAsia="Times New Roman" w:cstheme="minorHAnsi"/>
        </w:rPr>
        <w:t xml:space="preserve">Hospital was performed to determine whether there was a significant difference between </w:t>
      </w:r>
      <w:r w:rsidR="005E4D83">
        <w:rPr>
          <w:rFonts w:eastAsia="Times New Roman" w:cstheme="minorHAnsi"/>
        </w:rPr>
        <w:t>Pre-CSW</w:t>
      </w:r>
      <w:r w:rsidR="009C63DD">
        <w:rPr>
          <w:rFonts w:eastAsia="Times New Roman" w:cstheme="minorHAnsi"/>
        </w:rPr>
        <w:t xml:space="preserve"> and </w:t>
      </w:r>
      <w:r w:rsidR="005E4D83">
        <w:rPr>
          <w:rFonts w:eastAsia="Times New Roman" w:cstheme="minorHAnsi"/>
        </w:rPr>
        <w:t>Post-CSW</w:t>
      </w:r>
      <w:r w:rsidRPr="00AD463D">
        <w:rPr>
          <w:rFonts w:eastAsia="Times New Roman" w:cstheme="minorHAnsi"/>
        </w:rPr>
        <w:t xml:space="preserve"> behaviors in the use of Racemic Epinephrine. The only </w:t>
      </w:r>
      <w:r w:rsidR="003E6F73">
        <w:rPr>
          <w:rFonts w:eastAsia="Times New Roman" w:cstheme="minorHAnsi"/>
        </w:rPr>
        <w:t>statistically significant</w:t>
      </w:r>
      <w:r w:rsidRPr="00AD463D">
        <w:rPr>
          <w:rFonts w:eastAsia="Times New Roman" w:cstheme="minorHAnsi"/>
        </w:rPr>
        <w:t xml:space="preserve"> change was seen in UC with a 6.95</w:t>
      </w:r>
      <w:r w:rsidR="002F218E">
        <w:rPr>
          <w:rFonts w:eastAsia="Times New Roman" w:cstheme="minorHAnsi"/>
        </w:rPr>
        <w:t xml:space="preserve"> percentage point </w:t>
      </w:r>
      <w:r w:rsidRPr="00AD463D">
        <w:rPr>
          <w:rFonts w:eastAsia="Times New Roman" w:cstheme="minorHAnsi"/>
        </w:rPr>
        <w:t>decrease in the use of Racemic Epinephrine, with a p-value of 0.0001.</w:t>
      </w:r>
    </w:p>
    <w:p w14:paraId="730006B0" w14:textId="77777777" w:rsidR="00C76463" w:rsidRDefault="00C76463" w:rsidP="00C76463">
      <w:pPr>
        <w:pStyle w:val="Heading3"/>
      </w:pPr>
      <w:r>
        <w:t>C</w:t>
      </w:r>
      <w:r w:rsidRPr="007E7EC7">
        <w:t xml:space="preserve">hest and </w:t>
      </w:r>
      <w:r>
        <w:t>N</w:t>
      </w:r>
      <w:r w:rsidRPr="007E7EC7">
        <w:t xml:space="preserve">eck </w:t>
      </w:r>
      <w:r>
        <w:t>R</w:t>
      </w:r>
      <w:r w:rsidRPr="007E7EC7">
        <w:t>adiographs</w:t>
      </w:r>
    </w:p>
    <w:p w14:paraId="630D84D9" w14:textId="709B290C" w:rsidR="00C76463" w:rsidRPr="00020542" w:rsidRDefault="00C76463" w:rsidP="00020542">
      <w:pPr>
        <w:spacing w:line="360" w:lineRule="auto"/>
        <w:jc w:val="both"/>
        <w:rPr>
          <w:rFonts w:eastAsia="Times New Roman" w:cstheme="minorHAnsi"/>
        </w:rPr>
      </w:pPr>
      <w:r w:rsidRPr="00020542">
        <w:rPr>
          <w:rFonts w:eastAsia="Times New Roman" w:cstheme="minorHAnsi"/>
        </w:rPr>
        <w:t xml:space="preserve">A chi-square test between </w:t>
      </w:r>
      <w:r w:rsidR="000949FA">
        <w:rPr>
          <w:rFonts w:eastAsia="Times New Roman" w:cstheme="minorHAnsi"/>
        </w:rPr>
        <w:t>Pre</w:t>
      </w:r>
      <w:r w:rsidR="000949FA" w:rsidRPr="00020542" w:rsidDel="000949FA">
        <w:rPr>
          <w:rFonts w:eastAsia="Times New Roman" w:cstheme="minorHAnsi"/>
        </w:rPr>
        <w:t xml:space="preserve"> </w:t>
      </w:r>
      <w:r w:rsidRPr="00020542">
        <w:rPr>
          <w:rFonts w:eastAsia="Times New Roman" w:cstheme="minorHAnsi"/>
        </w:rPr>
        <w:t xml:space="preserve">and </w:t>
      </w:r>
      <w:r w:rsidR="000949FA">
        <w:rPr>
          <w:rFonts w:eastAsia="Times New Roman" w:cstheme="minorHAnsi"/>
        </w:rPr>
        <w:t>Post</w:t>
      </w:r>
      <w:r w:rsidR="005E4D83">
        <w:rPr>
          <w:rFonts w:eastAsia="Times New Roman" w:cstheme="minorHAnsi"/>
        </w:rPr>
        <w:t>-CSW</w:t>
      </w:r>
      <w:r w:rsidRPr="00020542">
        <w:rPr>
          <w:rFonts w:eastAsia="Times New Roman" w:cstheme="minorHAnsi"/>
        </w:rPr>
        <w:t xml:space="preserve"> data usage in Urgent Care and the Emergency Department of the </w:t>
      </w:r>
      <w:r w:rsidR="00F229B9">
        <w:rPr>
          <w:rFonts w:eastAsia="Times New Roman" w:cstheme="minorHAnsi"/>
        </w:rPr>
        <w:t xml:space="preserve">Seattle Children’s </w:t>
      </w:r>
      <w:r w:rsidRPr="00020542">
        <w:rPr>
          <w:rFonts w:eastAsia="Times New Roman" w:cstheme="minorHAnsi"/>
        </w:rPr>
        <w:t xml:space="preserve">Hospital was performed to determine whether there was a significant difference between </w:t>
      </w:r>
      <w:r w:rsidR="005E4D83">
        <w:rPr>
          <w:rFonts w:eastAsia="Times New Roman" w:cstheme="minorHAnsi"/>
        </w:rPr>
        <w:t>Pre-CSW</w:t>
      </w:r>
      <w:r w:rsidR="009C63DD">
        <w:rPr>
          <w:rFonts w:eastAsia="Times New Roman" w:cstheme="minorHAnsi"/>
        </w:rPr>
        <w:t xml:space="preserve"> and </w:t>
      </w:r>
      <w:r w:rsidR="005E4D83">
        <w:rPr>
          <w:rFonts w:eastAsia="Times New Roman" w:cstheme="minorHAnsi"/>
        </w:rPr>
        <w:t>Post-CSW</w:t>
      </w:r>
      <w:r w:rsidR="009C63DD">
        <w:rPr>
          <w:rFonts w:eastAsia="Times New Roman" w:cstheme="minorHAnsi"/>
        </w:rPr>
        <w:t xml:space="preserve"> </w:t>
      </w:r>
      <w:r w:rsidRPr="00020542">
        <w:rPr>
          <w:rFonts w:eastAsia="Times New Roman" w:cstheme="minorHAnsi"/>
        </w:rPr>
        <w:t>behaviors in the use of chest and neck radiographs in the management of croup in Urgent Care and Emergency Department before and after the implementation of the Croup CSW Pathway. Analysis shows that the</w:t>
      </w:r>
      <w:r w:rsidR="003E6F73">
        <w:rPr>
          <w:rFonts w:eastAsia="Times New Roman" w:cstheme="minorHAnsi"/>
        </w:rPr>
        <w:t>re</w:t>
      </w:r>
      <w:r w:rsidRPr="00020542">
        <w:rPr>
          <w:rFonts w:eastAsia="Times New Roman" w:cstheme="minorHAnsi"/>
        </w:rPr>
        <w:t xml:space="preserve"> was no </w:t>
      </w:r>
      <w:r w:rsidR="003E6F73">
        <w:rPr>
          <w:rFonts w:eastAsia="Times New Roman" w:cstheme="minorHAnsi"/>
        </w:rPr>
        <w:t xml:space="preserve">statistically significant </w:t>
      </w:r>
      <w:r w:rsidRPr="00020542">
        <w:rPr>
          <w:rFonts w:eastAsia="Times New Roman" w:cstheme="minorHAnsi"/>
        </w:rPr>
        <w:t>change in either UC no ED.</w:t>
      </w:r>
    </w:p>
    <w:p w14:paraId="18AE5CDD" w14:textId="77777777" w:rsidR="00C76463" w:rsidRDefault="00C76463" w:rsidP="00C76463">
      <w:pPr>
        <w:pStyle w:val="Heading2"/>
      </w:pPr>
      <w:r>
        <w:t xml:space="preserve">Other Noticeable Changes in the </w:t>
      </w:r>
      <w:r w:rsidR="005E4D83">
        <w:t>Post-CSW</w:t>
      </w:r>
      <w:r>
        <w:t xml:space="preserve"> environment at Seattle Children</w:t>
      </w:r>
      <w:r w:rsidR="00F471E0">
        <w:t>’s Hospital</w:t>
      </w:r>
    </w:p>
    <w:p w14:paraId="742D5091" w14:textId="77777777" w:rsidR="00C76463" w:rsidRDefault="00C76463" w:rsidP="00C76463">
      <w:pPr>
        <w:pStyle w:val="Heading3"/>
      </w:pPr>
      <w:r>
        <w:t>Length of Stay</w:t>
      </w:r>
    </w:p>
    <w:p w14:paraId="0978B30E" w14:textId="77777777" w:rsidR="00C76463" w:rsidRDefault="00C76463" w:rsidP="00020542">
      <w:pPr>
        <w:spacing w:line="360" w:lineRule="auto"/>
        <w:jc w:val="both"/>
        <w:rPr>
          <w:rFonts w:eastAsia="Times New Roman" w:cstheme="minorHAnsi"/>
        </w:rPr>
      </w:pPr>
      <w:r w:rsidRPr="00020542">
        <w:rPr>
          <w:rFonts w:eastAsia="Times New Roman" w:cstheme="minorHAnsi"/>
        </w:rPr>
        <w:t xml:space="preserve">Statistical analysis using the Welch's t-test has shown that there is a significant change in the LOS in ED with an increase of 10.63 minutes in average with a p-value of 0.0022. This is correlated by an increase of </w:t>
      </w:r>
      <w:r w:rsidRPr="00020542">
        <w:rPr>
          <w:rFonts w:eastAsia="Times New Roman" w:cstheme="minorHAnsi"/>
        </w:rPr>
        <w:lastRenderedPageBreak/>
        <w:t xml:space="preserve">628.41 unit points in kurtosis, and a 18.71 unit points increase in skewness in the LOS distribution which points to the appearance of significant outliers in ED admittance </w:t>
      </w:r>
      <w:r w:rsidR="005E4D83">
        <w:rPr>
          <w:rFonts w:eastAsia="Times New Roman" w:cstheme="minorHAnsi"/>
        </w:rPr>
        <w:t>Post-CSW</w:t>
      </w:r>
      <w:r w:rsidRPr="00020542">
        <w:rPr>
          <w:rFonts w:eastAsia="Times New Roman" w:cstheme="minorHAnsi"/>
        </w:rPr>
        <w:t xml:space="preserve"> (cf. </w:t>
      </w:r>
      <w:r w:rsidR="00C776DB">
        <w:fldChar w:fldCharType="begin"/>
      </w:r>
      <w:r w:rsidR="00C776DB">
        <w:instrText xml:space="preserve"> REF _Ref510809404 \h  \* MERGEFORMAT </w:instrText>
      </w:r>
      <w:r w:rsidR="00C776DB">
        <w:fldChar w:fldCharType="separate"/>
      </w:r>
      <w:r w:rsidR="009856F5" w:rsidRPr="009856F5">
        <w:rPr>
          <w:rFonts w:eastAsia="Times New Roman" w:cstheme="minorHAnsi"/>
        </w:rPr>
        <w:t>Figure 1</w:t>
      </w:r>
      <w:r w:rsidR="00C776DB">
        <w:fldChar w:fldCharType="end"/>
      </w:r>
      <w:r w:rsidRPr="00020542">
        <w:rPr>
          <w:rFonts w:eastAsia="Times New Roman" w:cstheme="minorHAnsi"/>
        </w:rPr>
        <w:t xml:space="preserve">, </w:t>
      </w:r>
      <w:r w:rsidR="000F2101">
        <w:rPr>
          <w:rFonts w:eastAsia="Times New Roman" w:cstheme="minorHAnsi"/>
        </w:rPr>
        <w:t>“</w:t>
      </w:r>
      <w:r w:rsidR="001B7EC5">
        <w:rPr>
          <w:rFonts w:eastAsia="Times New Roman" w:cstheme="minorHAnsi"/>
        </w:rPr>
        <w:fldChar w:fldCharType="begin"/>
      </w:r>
      <w:r w:rsidR="005B65E3">
        <w:rPr>
          <w:rFonts w:eastAsia="Times New Roman" w:cstheme="minorHAnsi"/>
        </w:rPr>
        <w:instrText xml:space="preserve"> REF _Ref512799668 \h </w:instrText>
      </w:r>
      <w:r w:rsidR="001B7EC5">
        <w:rPr>
          <w:rFonts w:eastAsia="Times New Roman" w:cstheme="minorHAnsi"/>
        </w:rPr>
      </w:r>
      <w:r w:rsidR="001B7EC5">
        <w:rPr>
          <w:rFonts w:eastAsia="Times New Roman" w:cstheme="minorHAnsi"/>
        </w:rPr>
        <w:fldChar w:fldCharType="separate"/>
      </w:r>
      <w:r w:rsidR="005B65E3">
        <w:t xml:space="preserve">Table </w:t>
      </w:r>
      <w:r w:rsidR="005B65E3">
        <w:rPr>
          <w:noProof/>
        </w:rPr>
        <w:t>4</w:t>
      </w:r>
      <w:r w:rsidR="005B65E3">
        <w:t>: Welch's test for LOS</w:t>
      </w:r>
      <w:r w:rsidR="005B65E3">
        <w:rPr>
          <w:noProof/>
        </w:rPr>
        <w:t xml:space="preserve"> in UC</w:t>
      </w:r>
      <w:r w:rsidR="001B7EC5">
        <w:rPr>
          <w:rFonts w:eastAsia="Times New Roman" w:cstheme="minorHAnsi"/>
        </w:rPr>
        <w:fldChar w:fldCharType="end"/>
      </w:r>
      <w:r w:rsidR="000F2101">
        <w:rPr>
          <w:rFonts w:eastAsia="Times New Roman" w:cstheme="minorHAnsi"/>
        </w:rPr>
        <w:t>”</w:t>
      </w:r>
      <w:r w:rsidR="003C0E52">
        <w:rPr>
          <w:rFonts w:eastAsia="Times New Roman" w:cstheme="minorHAnsi"/>
        </w:rPr>
        <w:t>,</w:t>
      </w:r>
      <w:r w:rsidR="005B65E3">
        <w:rPr>
          <w:rFonts w:eastAsia="Times New Roman" w:cstheme="minorHAnsi"/>
        </w:rPr>
        <w:t xml:space="preserve"> </w:t>
      </w:r>
      <w:r w:rsidR="000F2101">
        <w:rPr>
          <w:rFonts w:eastAsia="Times New Roman" w:cstheme="minorHAnsi"/>
        </w:rPr>
        <w:t>“</w:t>
      </w:r>
      <w:r w:rsidR="001B7EC5">
        <w:rPr>
          <w:rFonts w:eastAsia="Times New Roman" w:cstheme="minorHAnsi"/>
        </w:rPr>
        <w:fldChar w:fldCharType="begin"/>
      </w:r>
      <w:r w:rsidR="005B65E3">
        <w:rPr>
          <w:rFonts w:eastAsia="Times New Roman" w:cstheme="minorHAnsi"/>
        </w:rPr>
        <w:instrText xml:space="preserve"> REF _Ref512799672 \h </w:instrText>
      </w:r>
      <w:r w:rsidR="001B7EC5">
        <w:rPr>
          <w:rFonts w:eastAsia="Times New Roman" w:cstheme="minorHAnsi"/>
        </w:rPr>
      </w:r>
      <w:r w:rsidR="001B7EC5">
        <w:rPr>
          <w:rFonts w:eastAsia="Times New Roman" w:cstheme="minorHAnsi"/>
        </w:rPr>
        <w:fldChar w:fldCharType="separate"/>
      </w:r>
      <w:r w:rsidR="005B65E3">
        <w:t xml:space="preserve">Table </w:t>
      </w:r>
      <w:r w:rsidR="005B65E3">
        <w:rPr>
          <w:noProof/>
        </w:rPr>
        <w:t>5</w:t>
      </w:r>
      <w:r w:rsidR="005B65E3">
        <w:t>:</w:t>
      </w:r>
      <w:r w:rsidR="005B65E3" w:rsidRPr="00C02B3D">
        <w:t xml:space="preserve"> Welch's test for LOS in </w:t>
      </w:r>
      <w:r w:rsidR="005B65E3">
        <w:t>ED</w:t>
      </w:r>
      <w:r w:rsidR="001B7EC5">
        <w:rPr>
          <w:rFonts w:eastAsia="Times New Roman" w:cstheme="minorHAnsi"/>
        </w:rPr>
        <w:fldChar w:fldCharType="end"/>
      </w:r>
      <w:r w:rsidR="000F2101">
        <w:rPr>
          <w:rFonts w:eastAsia="Times New Roman" w:cstheme="minorHAnsi"/>
        </w:rPr>
        <w:t>”</w:t>
      </w:r>
      <w:r w:rsidR="003C0E52">
        <w:rPr>
          <w:rFonts w:eastAsia="Times New Roman" w:cstheme="minorHAnsi"/>
        </w:rPr>
        <w:t xml:space="preserve"> and </w:t>
      </w:r>
      <w:r w:rsidR="000F2101">
        <w:rPr>
          <w:rFonts w:eastAsia="Times New Roman" w:cstheme="minorHAnsi"/>
        </w:rPr>
        <w:t>“</w:t>
      </w:r>
      <w:r w:rsidR="001B7EC5">
        <w:rPr>
          <w:rFonts w:eastAsia="Times New Roman" w:cstheme="minorHAnsi"/>
        </w:rPr>
        <w:fldChar w:fldCharType="begin"/>
      </w:r>
      <w:r w:rsidR="003C0E52">
        <w:rPr>
          <w:rFonts w:eastAsia="Times New Roman" w:cstheme="minorHAnsi"/>
        </w:rPr>
        <w:instrText xml:space="preserve"> REF _Ref512801107 \h </w:instrText>
      </w:r>
      <w:r w:rsidR="001B7EC5">
        <w:rPr>
          <w:rFonts w:eastAsia="Times New Roman" w:cstheme="minorHAnsi"/>
        </w:rPr>
      </w:r>
      <w:r w:rsidR="001B7EC5">
        <w:rPr>
          <w:rFonts w:eastAsia="Times New Roman" w:cstheme="minorHAnsi"/>
        </w:rPr>
        <w:fldChar w:fldCharType="separate"/>
      </w:r>
      <w:r w:rsidR="003C0E52">
        <w:t xml:space="preserve">Table </w:t>
      </w:r>
      <w:r w:rsidR="003C0E52">
        <w:rPr>
          <w:noProof/>
        </w:rPr>
        <w:t>7</w:t>
      </w:r>
      <w:r w:rsidR="003C0E52">
        <w:t xml:space="preserve">: </w:t>
      </w:r>
      <w:r w:rsidR="003C0E52" w:rsidRPr="00160A5A">
        <w:t>Length of Stay descriptive statistics</w:t>
      </w:r>
      <w:r w:rsidR="001B7EC5">
        <w:rPr>
          <w:rFonts w:eastAsia="Times New Roman" w:cstheme="minorHAnsi"/>
        </w:rPr>
        <w:fldChar w:fldCharType="end"/>
      </w:r>
      <w:r w:rsidR="000F2101">
        <w:rPr>
          <w:rFonts w:eastAsia="Times New Roman" w:cstheme="minorHAnsi"/>
        </w:rPr>
        <w:t>”</w:t>
      </w:r>
      <w:r w:rsidR="001B7EC5" w:rsidRPr="00020542">
        <w:rPr>
          <w:rFonts w:eastAsia="Times New Roman" w:cstheme="minorHAnsi"/>
        </w:rPr>
        <w:fldChar w:fldCharType="begin"/>
      </w:r>
      <w:r w:rsidR="003C0E52" w:rsidRPr="00020542">
        <w:rPr>
          <w:rFonts w:eastAsia="Times New Roman" w:cstheme="minorHAnsi"/>
        </w:rPr>
        <w:instrText xml:space="preserve"> REF _Ref510813997 \h </w:instrText>
      </w:r>
      <w:r w:rsidR="003C0E52">
        <w:rPr>
          <w:rFonts w:eastAsia="Times New Roman" w:cstheme="minorHAnsi"/>
        </w:rPr>
        <w:instrText xml:space="preserve"> \* MERGEFORMAT </w:instrText>
      </w:r>
      <w:r w:rsidR="001B7EC5" w:rsidRPr="00020542">
        <w:rPr>
          <w:rFonts w:eastAsia="Times New Roman" w:cstheme="minorHAnsi"/>
        </w:rPr>
      </w:r>
      <w:r w:rsidR="001B7EC5" w:rsidRPr="00020542">
        <w:rPr>
          <w:rFonts w:eastAsia="Times New Roman" w:cstheme="minorHAnsi"/>
        </w:rPr>
        <w:fldChar w:fldCharType="end"/>
      </w:r>
      <w:r w:rsidRPr="00020542">
        <w:rPr>
          <w:rFonts w:eastAsia="Times New Roman" w:cstheme="minorHAnsi"/>
        </w:rPr>
        <w:t>).</w:t>
      </w:r>
      <w:r w:rsidR="00675F00">
        <w:rPr>
          <w:rFonts w:eastAsia="Times New Roman" w:cstheme="minorHAnsi"/>
        </w:rPr>
        <w:t xml:space="preserve"> </w:t>
      </w:r>
    </w:p>
    <w:p w14:paraId="7679D49C" w14:textId="77777777" w:rsidR="00675F00" w:rsidRPr="00020542" w:rsidRDefault="00675F00" w:rsidP="00020542">
      <w:pPr>
        <w:spacing w:line="360" w:lineRule="auto"/>
        <w:jc w:val="both"/>
        <w:rPr>
          <w:rFonts w:eastAsia="Times New Roman" w:cstheme="minorHAnsi"/>
        </w:rPr>
      </w:pPr>
      <w:r>
        <w:rPr>
          <w:rFonts w:eastAsia="Times New Roman" w:cstheme="minorHAnsi"/>
        </w:rPr>
        <w:t xml:space="preserve">Comparing </w:t>
      </w:r>
      <w:r w:rsidR="00BD2873">
        <w:rPr>
          <w:rFonts w:eastAsia="Times New Roman" w:cstheme="minorHAnsi"/>
        </w:rPr>
        <w:t>inpatient length of stay between UC</w:t>
      </w:r>
      <w:r w:rsidR="007618B8">
        <w:rPr>
          <w:rFonts w:eastAsia="Times New Roman" w:cstheme="minorHAnsi"/>
        </w:rPr>
        <w:t xml:space="preserve"> </w:t>
      </w:r>
      <w:r w:rsidR="005E4D83">
        <w:rPr>
          <w:rFonts w:eastAsia="Times New Roman" w:cstheme="minorHAnsi"/>
        </w:rPr>
        <w:t>Pre-CSW</w:t>
      </w:r>
      <w:r w:rsidR="00BD2873">
        <w:rPr>
          <w:rFonts w:eastAsia="Times New Roman" w:cstheme="minorHAnsi"/>
        </w:rPr>
        <w:t xml:space="preserve"> vs. ED</w:t>
      </w:r>
      <w:r w:rsidR="00C124FE">
        <w:rPr>
          <w:rFonts w:eastAsia="Times New Roman" w:cstheme="minorHAnsi"/>
        </w:rPr>
        <w:t xml:space="preserve"> </w:t>
      </w:r>
      <w:r w:rsidR="005E4D83">
        <w:rPr>
          <w:rFonts w:eastAsia="Times New Roman" w:cstheme="minorHAnsi"/>
        </w:rPr>
        <w:t>Pre-CSW</w:t>
      </w:r>
      <w:r w:rsidR="00BD2873">
        <w:rPr>
          <w:rFonts w:eastAsia="Times New Roman" w:cstheme="minorHAnsi"/>
        </w:rPr>
        <w:t xml:space="preserve"> and UC</w:t>
      </w:r>
      <w:r w:rsidR="00085335">
        <w:rPr>
          <w:rFonts w:eastAsia="Times New Roman" w:cstheme="minorHAnsi"/>
        </w:rPr>
        <w:t xml:space="preserve"> </w:t>
      </w:r>
      <w:r w:rsidR="005E4D83">
        <w:rPr>
          <w:rFonts w:eastAsia="Times New Roman" w:cstheme="minorHAnsi"/>
        </w:rPr>
        <w:t>Post-CSW</w:t>
      </w:r>
      <w:r w:rsidR="00BD2873">
        <w:rPr>
          <w:rFonts w:eastAsia="Times New Roman" w:cstheme="minorHAnsi"/>
        </w:rPr>
        <w:t xml:space="preserve"> and ED</w:t>
      </w:r>
      <w:r w:rsidR="007D2F7B">
        <w:rPr>
          <w:rFonts w:eastAsia="Times New Roman" w:cstheme="minorHAnsi"/>
        </w:rPr>
        <w:t xml:space="preserve"> </w:t>
      </w:r>
      <w:r w:rsidR="005E4D83">
        <w:rPr>
          <w:rFonts w:eastAsia="Times New Roman" w:cstheme="minorHAnsi"/>
        </w:rPr>
        <w:t>Post-CSW</w:t>
      </w:r>
      <w:r w:rsidR="00BD2873">
        <w:rPr>
          <w:rFonts w:eastAsia="Times New Roman" w:cstheme="minorHAnsi"/>
        </w:rPr>
        <w:t xml:space="preserve">, we noticed a </w:t>
      </w:r>
      <w:r w:rsidR="003E6F73">
        <w:rPr>
          <w:rFonts w:eastAsia="Times New Roman" w:cstheme="minorHAnsi"/>
        </w:rPr>
        <w:t xml:space="preserve">statistically significant </w:t>
      </w:r>
      <w:r w:rsidR="00BD2873">
        <w:rPr>
          <w:rFonts w:eastAsia="Times New Roman" w:cstheme="minorHAnsi"/>
        </w:rPr>
        <w:t>difference, suggesting that there is a significant variation in patient outcomes in both settings (cf.</w:t>
      </w:r>
      <w:r w:rsidR="00BF4429">
        <w:rPr>
          <w:rFonts w:eastAsia="Times New Roman" w:cstheme="minorHAnsi"/>
        </w:rPr>
        <w:t xml:space="preserve"> </w:t>
      </w:r>
      <w:r w:rsidR="000F2101">
        <w:rPr>
          <w:rFonts w:eastAsia="Times New Roman" w:cstheme="minorHAnsi"/>
        </w:rPr>
        <w:t>“</w:t>
      </w:r>
      <w:r w:rsidR="001B7EC5">
        <w:rPr>
          <w:rFonts w:eastAsia="Times New Roman" w:cstheme="minorHAnsi"/>
        </w:rPr>
        <w:fldChar w:fldCharType="begin"/>
      </w:r>
      <w:r w:rsidR="00166028">
        <w:rPr>
          <w:rFonts w:eastAsia="Times New Roman" w:cstheme="minorHAnsi"/>
        </w:rPr>
        <w:instrText xml:space="preserve"> REF _Ref512801107 \h </w:instrText>
      </w:r>
      <w:r w:rsidR="001B7EC5">
        <w:rPr>
          <w:rFonts w:eastAsia="Times New Roman" w:cstheme="minorHAnsi"/>
        </w:rPr>
      </w:r>
      <w:r w:rsidR="001B7EC5">
        <w:rPr>
          <w:rFonts w:eastAsia="Times New Roman" w:cstheme="minorHAnsi"/>
        </w:rPr>
        <w:fldChar w:fldCharType="separate"/>
      </w:r>
      <w:r w:rsidR="00166028">
        <w:t xml:space="preserve">Table </w:t>
      </w:r>
      <w:r w:rsidR="00166028">
        <w:rPr>
          <w:noProof/>
        </w:rPr>
        <w:t>7</w:t>
      </w:r>
      <w:r w:rsidR="00166028">
        <w:t xml:space="preserve">: </w:t>
      </w:r>
      <w:r w:rsidR="00166028" w:rsidRPr="00160A5A">
        <w:t>Length of Stay descriptive statistics</w:t>
      </w:r>
      <w:r w:rsidR="001B7EC5">
        <w:rPr>
          <w:rFonts w:eastAsia="Times New Roman" w:cstheme="minorHAnsi"/>
        </w:rPr>
        <w:fldChar w:fldCharType="end"/>
      </w:r>
      <w:r w:rsidR="000F2101">
        <w:rPr>
          <w:rFonts w:eastAsia="Times New Roman" w:cstheme="minorHAnsi"/>
        </w:rPr>
        <w:t>”</w:t>
      </w:r>
      <w:r w:rsidR="00BD2873">
        <w:rPr>
          <w:rFonts w:eastAsia="Times New Roman" w:cstheme="minorHAnsi"/>
        </w:rPr>
        <w:t>)</w:t>
      </w:r>
    </w:p>
    <w:p w14:paraId="3ADE4B2D" w14:textId="77777777" w:rsidR="00C76463" w:rsidRDefault="00C76463" w:rsidP="00C76463">
      <w:pPr>
        <w:keepNext/>
        <w:spacing w:line="240" w:lineRule="auto"/>
        <w:jc w:val="both"/>
      </w:pPr>
      <w:r w:rsidRPr="00ED60AA">
        <w:rPr>
          <w:noProof/>
        </w:rPr>
        <w:drawing>
          <wp:inline distT="0" distB="0" distL="0" distR="0" wp14:anchorId="571C0B2F" wp14:editId="69E5F5AB">
            <wp:extent cx="3332136" cy="2256312"/>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344088" cy="2264405"/>
                    </a:xfrm>
                    <a:prstGeom prst="rect">
                      <a:avLst/>
                    </a:prstGeom>
                  </pic:spPr>
                </pic:pic>
              </a:graphicData>
            </a:graphic>
          </wp:inline>
        </w:drawing>
      </w:r>
    </w:p>
    <w:p w14:paraId="7CF6C367" w14:textId="604CEF77" w:rsidR="00C76463" w:rsidRPr="0024445D" w:rsidRDefault="00C76463" w:rsidP="0024445D">
      <w:pPr>
        <w:pStyle w:val="Caption"/>
        <w:rPr>
          <w:sz w:val="24"/>
        </w:rPr>
      </w:pPr>
      <w:bookmarkStart w:id="20" w:name="_Ref510809404"/>
      <w:r w:rsidRPr="0024445D">
        <w:rPr>
          <w:sz w:val="24"/>
        </w:rPr>
        <w:t xml:space="preserve">Figure </w:t>
      </w:r>
      <w:r w:rsidR="001B7EC5" w:rsidRPr="0024445D">
        <w:rPr>
          <w:sz w:val="24"/>
        </w:rPr>
        <w:fldChar w:fldCharType="begin"/>
      </w:r>
      <w:r w:rsidR="00D42C77" w:rsidRPr="0024445D">
        <w:rPr>
          <w:sz w:val="24"/>
        </w:rPr>
        <w:instrText xml:space="preserve"> SEQ Figure \* ARABIC </w:instrText>
      </w:r>
      <w:r w:rsidR="001B7EC5" w:rsidRPr="0024445D">
        <w:rPr>
          <w:sz w:val="24"/>
        </w:rPr>
        <w:fldChar w:fldCharType="separate"/>
      </w:r>
      <w:r w:rsidR="00CC18BE" w:rsidRPr="0024445D">
        <w:rPr>
          <w:sz w:val="24"/>
        </w:rPr>
        <w:t>1</w:t>
      </w:r>
      <w:r w:rsidR="001B7EC5" w:rsidRPr="0024445D">
        <w:rPr>
          <w:sz w:val="24"/>
        </w:rPr>
        <w:fldChar w:fldCharType="end"/>
      </w:r>
      <w:bookmarkEnd w:id="20"/>
      <w:r w:rsidRPr="0024445D">
        <w:rPr>
          <w:sz w:val="24"/>
        </w:rPr>
        <w:t>: Length of Stay distribution in ED vs UC</w:t>
      </w:r>
      <w:r w:rsidR="007D404E">
        <w:rPr>
          <w:sz w:val="24"/>
        </w:rPr>
        <w:t xml:space="preserve"> </w:t>
      </w:r>
      <w:r w:rsidR="00F14AB4">
        <w:rPr>
          <w:sz w:val="24"/>
        </w:rPr>
        <w:t>P</w:t>
      </w:r>
      <w:r w:rsidR="007D404E">
        <w:rPr>
          <w:sz w:val="24"/>
        </w:rPr>
        <w:t>ost-CSW</w:t>
      </w:r>
      <w:r w:rsidR="00190CC7">
        <w:rPr>
          <w:sz w:val="24"/>
        </w:rPr>
        <w:t xml:space="preserve"> (min)</w:t>
      </w:r>
    </w:p>
    <w:p w14:paraId="21B34041" w14:textId="77777777" w:rsidR="00826D72" w:rsidRPr="00C37345" w:rsidRDefault="00826D72" w:rsidP="00F9087D"/>
    <w:p w14:paraId="74B4BE93" w14:textId="77777777" w:rsidR="00D40580" w:rsidRPr="00D40580" w:rsidRDefault="00D40580" w:rsidP="00D40580">
      <w:r>
        <w:rPr>
          <w:noProof/>
        </w:rPr>
        <w:lastRenderedPageBreak/>
        <w:drawing>
          <wp:inline distT="0" distB="0" distL="0" distR="0" wp14:anchorId="360E9B08" wp14:editId="695E49AF">
            <wp:extent cx="5415148" cy="462618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418516" cy="4629064"/>
                    </a:xfrm>
                    <a:prstGeom prst="rect">
                      <a:avLst/>
                    </a:prstGeom>
                  </pic:spPr>
                </pic:pic>
              </a:graphicData>
            </a:graphic>
          </wp:inline>
        </w:drawing>
      </w:r>
    </w:p>
    <w:p w14:paraId="54FFF9BF" w14:textId="0E2497E1" w:rsidR="00EA407C" w:rsidRPr="00B44232" w:rsidRDefault="00EA407C" w:rsidP="00B44232">
      <w:pPr>
        <w:pStyle w:val="Caption"/>
        <w:rPr>
          <w:sz w:val="24"/>
        </w:rPr>
      </w:pPr>
      <w:bookmarkStart w:id="21" w:name="_Ref512800064"/>
      <w:bookmarkStart w:id="22" w:name="_Toc515706945"/>
      <w:r w:rsidRPr="00B44232">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6</w:t>
      </w:r>
      <w:r w:rsidR="001B7EC5">
        <w:rPr>
          <w:sz w:val="24"/>
        </w:rPr>
        <w:fldChar w:fldCharType="end"/>
      </w:r>
      <w:r w:rsidRPr="00B44232">
        <w:rPr>
          <w:sz w:val="24"/>
        </w:rPr>
        <w:t>: Summary of outcomes statistics</w:t>
      </w:r>
      <w:bookmarkEnd w:id="21"/>
      <w:bookmarkEnd w:id="22"/>
    </w:p>
    <w:p w14:paraId="7B1D0766" w14:textId="77777777" w:rsidR="00DD6B6F" w:rsidRDefault="00DD6B6F">
      <w:pPr>
        <w:rPr>
          <w:rFonts w:asciiTheme="majorHAnsi" w:eastAsiaTheme="majorEastAsia" w:hAnsiTheme="majorHAnsi" w:cstheme="majorBidi"/>
          <w:color w:val="1F3763" w:themeColor="accent1" w:themeShade="7F"/>
          <w:sz w:val="24"/>
          <w:szCs w:val="24"/>
        </w:rPr>
      </w:pPr>
      <w:r>
        <w:rPr>
          <w:rFonts w:asciiTheme="majorHAnsi" w:eastAsiaTheme="majorEastAsia" w:hAnsiTheme="majorHAnsi" w:cstheme="majorBidi"/>
          <w:color w:val="1F3763" w:themeColor="accent1" w:themeShade="7F"/>
          <w:sz w:val="24"/>
          <w:szCs w:val="24"/>
        </w:rPr>
        <w:br w:type="page"/>
      </w:r>
    </w:p>
    <w:p w14:paraId="23B1CD4A" w14:textId="77777777" w:rsidR="00A551FC" w:rsidRDefault="00A551FC">
      <w:pPr>
        <w:rPr>
          <w:rFonts w:asciiTheme="majorHAnsi" w:eastAsiaTheme="majorEastAsia" w:hAnsiTheme="majorHAnsi" w:cstheme="majorBidi"/>
          <w:color w:val="1F3763" w:themeColor="accent1" w:themeShade="7F"/>
          <w:sz w:val="24"/>
          <w:szCs w:val="24"/>
        </w:rPr>
        <w:sectPr w:rsidR="00A551FC" w:rsidSect="00224B18">
          <w:footerReference w:type="default" r:id="rId15"/>
          <w:pgSz w:w="12240" w:h="15840"/>
          <w:pgMar w:top="1440" w:right="1440" w:bottom="1440" w:left="1440" w:header="720" w:footer="720" w:gutter="0"/>
          <w:cols w:space="720"/>
          <w:docGrid w:linePitch="360"/>
        </w:sectPr>
      </w:pPr>
    </w:p>
    <w:p w14:paraId="771D65D3" w14:textId="77777777" w:rsidR="0004004E" w:rsidRDefault="000E68F8" w:rsidP="0004004E">
      <w:pPr>
        <w:keepNext/>
      </w:pPr>
      <w:r>
        <w:rPr>
          <w:noProof/>
        </w:rPr>
        <w:lastRenderedPageBreak/>
        <w:drawing>
          <wp:inline distT="0" distB="0" distL="0" distR="0" wp14:anchorId="613DBF39" wp14:editId="18DDE931">
            <wp:extent cx="5943600" cy="108839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943600" cy="1088390"/>
                    </a:xfrm>
                    <a:prstGeom prst="rect">
                      <a:avLst/>
                    </a:prstGeom>
                  </pic:spPr>
                </pic:pic>
              </a:graphicData>
            </a:graphic>
          </wp:inline>
        </w:drawing>
      </w:r>
    </w:p>
    <w:p w14:paraId="3DD8369B" w14:textId="2D4C2B24" w:rsidR="0004004E" w:rsidRDefault="0004004E" w:rsidP="0004004E">
      <w:pPr>
        <w:pStyle w:val="Caption"/>
        <w:rPr>
          <w:sz w:val="24"/>
        </w:rPr>
      </w:pPr>
      <w:bookmarkStart w:id="23" w:name="_Toc515706946"/>
      <w:r w:rsidRPr="00880C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7</w:t>
      </w:r>
      <w:r w:rsidR="001B7EC5">
        <w:rPr>
          <w:sz w:val="24"/>
        </w:rPr>
        <w:fldChar w:fldCharType="end"/>
      </w:r>
      <w:r w:rsidRPr="00880C5D">
        <w:rPr>
          <w:sz w:val="24"/>
        </w:rPr>
        <w:t>: Length of Stay descriptive statistics</w:t>
      </w:r>
      <w:bookmarkEnd w:id="23"/>
    </w:p>
    <w:p w14:paraId="2AB3A1F7" w14:textId="77777777" w:rsidR="003F489A" w:rsidRPr="003F489A" w:rsidRDefault="003F489A" w:rsidP="003F489A"/>
    <w:p w14:paraId="48594969" w14:textId="77777777" w:rsidR="0004004E" w:rsidRDefault="00057201" w:rsidP="0004004E">
      <w:pPr>
        <w:keepNext/>
      </w:pPr>
      <w:r>
        <w:rPr>
          <w:noProof/>
        </w:rPr>
        <w:drawing>
          <wp:inline distT="0" distB="0" distL="0" distR="0" wp14:anchorId="1447BD78" wp14:editId="1F3C4EB5">
            <wp:extent cx="5943600" cy="795655"/>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943600" cy="795655"/>
                    </a:xfrm>
                    <a:prstGeom prst="rect">
                      <a:avLst/>
                    </a:prstGeom>
                  </pic:spPr>
                </pic:pic>
              </a:graphicData>
            </a:graphic>
          </wp:inline>
        </w:drawing>
      </w:r>
    </w:p>
    <w:p w14:paraId="24622254" w14:textId="220FCF2F" w:rsidR="0004004E" w:rsidRDefault="0004004E" w:rsidP="0004004E">
      <w:pPr>
        <w:pStyle w:val="Caption"/>
        <w:rPr>
          <w:sz w:val="24"/>
        </w:rPr>
      </w:pPr>
      <w:bookmarkStart w:id="24" w:name="_Toc515706947"/>
      <w:r w:rsidRPr="00852E98">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8</w:t>
      </w:r>
      <w:r w:rsidR="001B7EC5">
        <w:rPr>
          <w:sz w:val="24"/>
        </w:rPr>
        <w:fldChar w:fldCharType="end"/>
      </w:r>
      <w:r w:rsidRPr="00852E98">
        <w:rPr>
          <w:sz w:val="24"/>
        </w:rPr>
        <w:t>: Variations in patients L</w:t>
      </w:r>
      <w:r w:rsidR="003155CA" w:rsidRPr="00852E98">
        <w:rPr>
          <w:sz w:val="24"/>
        </w:rPr>
        <w:t xml:space="preserve">ength of Stay </w:t>
      </w:r>
      <w:r w:rsidRPr="00852E98">
        <w:rPr>
          <w:sz w:val="24"/>
        </w:rPr>
        <w:t>outcomes</w:t>
      </w:r>
      <w:bookmarkEnd w:id="24"/>
    </w:p>
    <w:p w14:paraId="63CBBA8B" w14:textId="77777777" w:rsidR="00D2443F" w:rsidRPr="00D2443F" w:rsidRDefault="00D2443F" w:rsidP="00D2443F"/>
    <w:p w14:paraId="19C05205" w14:textId="77777777" w:rsidR="0004004E" w:rsidRDefault="00DA675C" w:rsidP="0004004E">
      <w:pPr>
        <w:keepNext/>
      </w:pPr>
      <w:r w:rsidRPr="00DA675C">
        <w:t xml:space="preserve"> </w:t>
      </w:r>
      <w:r>
        <w:rPr>
          <w:noProof/>
        </w:rPr>
        <w:drawing>
          <wp:inline distT="0" distB="0" distL="0" distR="0" wp14:anchorId="67A42C60" wp14:editId="33C10B23">
            <wp:extent cx="5943600" cy="3685239"/>
            <wp:effectExtent l="0" t="0" r="0" b="0"/>
            <wp:docPr id="3" name="Picture 3" descr="cid:image003.png@01D3FAC5.6CFA2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3.png@01D3FAC5.6CFA2330"/>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5943600" cy="3685239"/>
                    </a:xfrm>
                    <a:prstGeom prst="rect">
                      <a:avLst/>
                    </a:prstGeom>
                    <a:noFill/>
                    <a:ln>
                      <a:noFill/>
                    </a:ln>
                  </pic:spPr>
                </pic:pic>
              </a:graphicData>
            </a:graphic>
          </wp:inline>
        </w:drawing>
      </w:r>
    </w:p>
    <w:p w14:paraId="02175666" w14:textId="5B3661AE" w:rsidR="0004004E" w:rsidRDefault="0004004E" w:rsidP="0004004E">
      <w:pPr>
        <w:pStyle w:val="Caption"/>
        <w:rPr>
          <w:sz w:val="24"/>
        </w:rPr>
      </w:pPr>
      <w:bookmarkStart w:id="25" w:name="_Toc515706948"/>
      <w:r w:rsidRPr="00C471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9</w:t>
      </w:r>
      <w:r w:rsidR="001B7EC5">
        <w:rPr>
          <w:sz w:val="24"/>
        </w:rPr>
        <w:fldChar w:fldCharType="end"/>
      </w:r>
      <w:r w:rsidRPr="00C4715D">
        <w:rPr>
          <w:sz w:val="24"/>
        </w:rPr>
        <w:t>: Race descriptive statistics</w:t>
      </w:r>
      <w:bookmarkEnd w:id="25"/>
    </w:p>
    <w:p w14:paraId="545A2C98" w14:textId="77777777" w:rsidR="00FB4793" w:rsidRPr="00FB4793" w:rsidRDefault="00FB4793" w:rsidP="00FB4793"/>
    <w:p w14:paraId="226D9D23" w14:textId="77777777" w:rsidR="0004004E" w:rsidRDefault="00F739B8" w:rsidP="0004004E">
      <w:pPr>
        <w:keepNext/>
      </w:pPr>
      <w:r>
        <w:rPr>
          <w:noProof/>
        </w:rPr>
        <w:lastRenderedPageBreak/>
        <w:drawing>
          <wp:inline distT="0" distB="0" distL="0" distR="0" wp14:anchorId="69BBDA9B" wp14:editId="66BE4A44">
            <wp:extent cx="5943600" cy="624205"/>
            <wp:effectExtent l="0" t="0" r="0" b="444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943600" cy="624205"/>
                    </a:xfrm>
                    <a:prstGeom prst="rect">
                      <a:avLst/>
                    </a:prstGeom>
                  </pic:spPr>
                </pic:pic>
              </a:graphicData>
            </a:graphic>
          </wp:inline>
        </w:drawing>
      </w:r>
    </w:p>
    <w:p w14:paraId="623210FE" w14:textId="68F6C7C9" w:rsidR="0004004E" w:rsidRPr="00C93DCE" w:rsidRDefault="0004004E" w:rsidP="0004004E">
      <w:pPr>
        <w:pStyle w:val="Caption"/>
        <w:rPr>
          <w:sz w:val="24"/>
        </w:rPr>
      </w:pPr>
      <w:bookmarkStart w:id="26" w:name="_Toc515706949"/>
      <w:r w:rsidRPr="00C93DCE">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10</w:t>
      </w:r>
      <w:r w:rsidR="001B7EC5">
        <w:rPr>
          <w:sz w:val="24"/>
        </w:rPr>
        <w:fldChar w:fldCharType="end"/>
      </w:r>
      <w:r w:rsidRPr="00C93DCE">
        <w:rPr>
          <w:sz w:val="24"/>
        </w:rPr>
        <w:t>: Welch's t-test applied to Race</w:t>
      </w:r>
      <w:bookmarkEnd w:id="26"/>
    </w:p>
    <w:p w14:paraId="35C2D2D7" w14:textId="77777777" w:rsidR="0004004E" w:rsidRDefault="00DA675C" w:rsidP="0004004E">
      <w:pPr>
        <w:keepNext/>
      </w:pPr>
      <w:r w:rsidRPr="00DA675C">
        <w:t xml:space="preserve"> </w:t>
      </w:r>
      <w:r>
        <w:rPr>
          <w:noProof/>
        </w:rPr>
        <w:drawing>
          <wp:inline distT="0" distB="0" distL="0" distR="0" wp14:anchorId="2D340A5D" wp14:editId="0FD51576">
            <wp:extent cx="5943600" cy="2668068"/>
            <wp:effectExtent l="0" t="0" r="0" b="0"/>
            <wp:docPr id="2" name="Picture 2" descr="cid:image002.png@01D3FAC5.6CFA2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3FAC5.6CFA2330"/>
                    <pic:cNvPicPr>
                      <a:picLocks noChangeAspect="1" noChangeArrowheads="1"/>
                    </pic:cNvPicPr>
                  </pic:nvPicPr>
                  <pic:blipFill>
                    <a:blip r:embed="rId21" r:link="rId22" cstate="print">
                      <a:extLst>
                        <a:ext uri="{28A0092B-C50C-407E-A947-70E740481C1C}">
                          <a14:useLocalDpi xmlns:a14="http://schemas.microsoft.com/office/drawing/2010/main" val="0"/>
                        </a:ext>
                      </a:extLst>
                    </a:blip>
                    <a:srcRect/>
                    <a:stretch>
                      <a:fillRect/>
                    </a:stretch>
                  </pic:blipFill>
                  <pic:spPr bwMode="auto">
                    <a:xfrm>
                      <a:off x="0" y="0"/>
                      <a:ext cx="5943600" cy="2668068"/>
                    </a:xfrm>
                    <a:prstGeom prst="rect">
                      <a:avLst/>
                    </a:prstGeom>
                    <a:noFill/>
                    <a:ln>
                      <a:noFill/>
                    </a:ln>
                  </pic:spPr>
                </pic:pic>
              </a:graphicData>
            </a:graphic>
          </wp:inline>
        </w:drawing>
      </w:r>
    </w:p>
    <w:p w14:paraId="0E1F5188" w14:textId="4ED4319E" w:rsidR="0004004E" w:rsidRDefault="0004004E" w:rsidP="0004004E">
      <w:pPr>
        <w:pStyle w:val="Caption"/>
        <w:rPr>
          <w:sz w:val="24"/>
        </w:rPr>
      </w:pPr>
      <w:bookmarkStart w:id="27" w:name="_Toc515706950"/>
      <w:bookmarkStart w:id="28" w:name="_Ref515710382"/>
      <w:r w:rsidRPr="00C93DCE">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11</w:t>
      </w:r>
      <w:r w:rsidR="001B7EC5">
        <w:rPr>
          <w:sz w:val="24"/>
        </w:rPr>
        <w:fldChar w:fldCharType="end"/>
      </w:r>
      <w:r w:rsidRPr="00C93DCE">
        <w:rPr>
          <w:sz w:val="24"/>
        </w:rPr>
        <w:t>: Dexamethasone descriptive statistics</w:t>
      </w:r>
      <w:bookmarkEnd w:id="27"/>
      <w:bookmarkEnd w:id="28"/>
    </w:p>
    <w:p w14:paraId="6287968F" w14:textId="77777777" w:rsidR="0004792E" w:rsidRPr="0004792E" w:rsidRDefault="0004792E" w:rsidP="0004792E"/>
    <w:p w14:paraId="06A7E915" w14:textId="77777777" w:rsidR="0004004E" w:rsidRDefault="00AE631D" w:rsidP="0004004E">
      <w:pPr>
        <w:keepNext/>
      </w:pPr>
      <w:r>
        <w:rPr>
          <w:noProof/>
        </w:rPr>
        <w:drawing>
          <wp:inline distT="0" distB="0" distL="0" distR="0" wp14:anchorId="4D69857E" wp14:editId="64332304">
            <wp:extent cx="5943600" cy="621665"/>
            <wp:effectExtent l="0" t="0" r="0" b="698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943600" cy="621665"/>
                    </a:xfrm>
                    <a:prstGeom prst="rect">
                      <a:avLst/>
                    </a:prstGeom>
                  </pic:spPr>
                </pic:pic>
              </a:graphicData>
            </a:graphic>
          </wp:inline>
        </w:drawing>
      </w:r>
    </w:p>
    <w:p w14:paraId="72A58B24" w14:textId="76FB9A09" w:rsidR="0004004E" w:rsidRPr="00C93DCE" w:rsidRDefault="0004004E" w:rsidP="0004004E">
      <w:pPr>
        <w:pStyle w:val="Caption"/>
        <w:rPr>
          <w:sz w:val="24"/>
        </w:rPr>
      </w:pPr>
      <w:bookmarkStart w:id="29" w:name="_Toc515706951"/>
      <w:r w:rsidRPr="00C93DCE">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12</w:t>
      </w:r>
      <w:r w:rsidR="001B7EC5">
        <w:rPr>
          <w:sz w:val="24"/>
        </w:rPr>
        <w:fldChar w:fldCharType="end"/>
      </w:r>
      <w:r w:rsidRPr="00C93DCE">
        <w:rPr>
          <w:sz w:val="24"/>
        </w:rPr>
        <w:t>: Welch's t-test applied to Dexamethasone use</w:t>
      </w:r>
      <w:bookmarkEnd w:id="29"/>
    </w:p>
    <w:p w14:paraId="53D7CCFA" w14:textId="77777777" w:rsidR="00EA407C" w:rsidRDefault="00EA407C" w:rsidP="00C93DCE">
      <w:pPr>
        <w:pStyle w:val="Caption"/>
        <w:rPr>
          <w:sz w:val="24"/>
        </w:rPr>
      </w:pPr>
    </w:p>
    <w:p w14:paraId="18DF780D" w14:textId="77777777" w:rsidR="00C76463" w:rsidRPr="006862C5" w:rsidRDefault="00C76463" w:rsidP="00C76463">
      <w:pPr>
        <w:pStyle w:val="Heading3"/>
      </w:pPr>
      <w:r w:rsidRPr="006862C5">
        <w:t>ED Transfer</w:t>
      </w:r>
    </w:p>
    <w:p w14:paraId="500D4D68" w14:textId="77777777" w:rsidR="00C76463" w:rsidRPr="00020542" w:rsidRDefault="00C76463" w:rsidP="00020542">
      <w:pPr>
        <w:spacing w:line="360" w:lineRule="auto"/>
        <w:jc w:val="both"/>
        <w:rPr>
          <w:rFonts w:eastAsia="Times New Roman" w:cstheme="minorHAnsi"/>
        </w:rPr>
      </w:pPr>
      <w:r w:rsidRPr="00020542">
        <w:rPr>
          <w:rFonts w:eastAsia="Times New Roman" w:cstheme="minorHAnsi"/>
        </w:rPr>
        <w:t>UC has seen a statistically significant decrease in ED transfer with a of 6.53</w:t>
      </w:r>
      <w:r w:rsidR="00892FA0">
        <w:rPr>
          <w:rFonts w:eastAsia="Times New Roman" w:cstheme="minorHAnsi"/>
        </w:rPr>
        <w:t xml:space="preserve"> percentage points </w:t>
      </w:r>
      <w:r w:rsidRPr="00020542">
        <w:rPr>
          <w:rFonts w:eastAsia="Times New Roman" w:cstheme="minorHAnsi"/>
        </w:rPr>
        <w:t xml:space="preserve">confirmed by a Chi-squared test with a p-value of 0.0001. </w:t>
      </w:r>
    </w:p>
    <w:p w14:paraId="295F81F3" w14:textId="77777777" w:rsidR="00C76463" w:rsidRPr="00ED197D" w:rsidRDefault="003E6F73" w:rsidP="00C76463">
      <w:pPr>
        <w:pStyle w:val="Heading3"/>
      </w:pPr>
      <w:r>
        <w:t xml:space="preserve">Hospital </w:t>
      </w:r>
      <w:r w:rsidR="00C76463" w:rsidRPr="00ED197D">
        <w:t>Units</w:t>
      </w:r>
    </w:p>
    <w:p w14:paraId="500901B9" w14:textId="77777777" w:rsidR="0055228E" w:rsidRDefault="00C76463" w:rsidP="00020542">
      <w:pPr>
        <w:spacing w:line="360" w:lineRule="auto"/>
        <w:jc w:val="both"/>
        <w:rPr>
          <w:rFonts w:eastAsia="Times New Roman" w:cstheme="minorHAnsi"/>
        </w:rPr>
      </w:pPr>
      <w:r w:rsidRPr="00020542">
        <w:rPr>
          <w:rFonts w:eastAsia="Times New Roman" w:cstheme="minorHAnsi"/>
        </w:rPr>
        <w:t xml:space="preserve">A </w:t>
      </w:r>
      <w:r w:rsidR="00752B0E">
        <w:rPr>
          <w:rFonts w:eastAsia="Times New Roman" w:cstheme="minorHAnsi"/>
        </w:rPr>
        <w:t>shift</w:t>
      </w:r>
      <w:r w:rsidR="00C4069D">
        <w:rPr>
          <w:rFonts w:eastAsia="Times New Roman" w:cstheme="minorHAnsi"/>
        </w:rPr>
        <w:t xml:space="preserve"> in the specific clinical service handling croup took place at SCH. </w:t>
      </w:r>
      <w:r w:rsidRPr="00020542">
        <w:rPr>
          <w:rFonts w:eastAsia="Times New Roman" w:cstheme="minorHAnsi"/>
        </w:rPr>
        <w:t xml:space="preserve"> Emergency and Observation have lost 0.46</w:t>
      </w:r>
      <w:r w:rsidR="00C4069D">
        <w:rPr>
          <w:rFonts w:eastAsia="Times New Roman" w:cstheme="minorHAnsi"/>
        </w:rPr>
        <w:t xml:space="preserve"> </w:t>
      </w:r>
      <w:r w:rsidRPr="00020542">
        <w:rPr>
          <w:rFonts w:eastAsia="Times New Roman" w:cstheme="minorHAnsi"/>
        </w:rPr>
        <w:t>and 1.13</w:t>
      </w:r>
      <w:r w:rsidR="00C4069D">
        <w:rPr>
          <w:rFonts w:eastAsia="Times New Roman" w:cstheme="minorHAnsi"/>
        </w:rPr>
        <w:t xml:space="preserve"> percentage points</w:t>
      </w:r>
      <w:r w:rsidRPr="00020542">
        <w:rPr>
          <w:rFonts w:eastAsia="Times New Roman" w:cstheme="minorHAnsi"/>
        </w:rPr>
        <w:t xml:space="preserve"> </w:t>
      </w:r>
      <w:r w:rsidR="009727F7" w:rsidRPr="00020542">
        <w:rPr>
          <w:rFonts w:eastAsia="Times New Roman" w:cstheme="minorHAnsi"/>
        </w:rPr>
        <w:t xml:space="preserve">respectively </w:t>
      </w:r>
      <w:r w:rsidR="009727F7">
        <w:rPr>
          <w:rFonts w:eastAsia="Times New Roman" w:cstheme="minorHAnsi"/>
        </w:rPr>
        <w:t>while</w:t>
      </w:r>
      <w:r w:rsidR="003E6F73">
        <w:rPr>
          <w:rFonts w:eastAsia="Times New Roman" w:cstheme="minorHAnsi"/>
        </w:rPr>
        <w:t xml:space="preserve"> the</w:t>
      </w:r>
      <w:r w:rsidRPr="00020542">
        <w:rPr>
          <w:rFonts w:eastAsia="Times New Roman" w:cstheme="minorHAnsi"/>
        </w:rPr>
        <w:t xml:space="preserve"> Inpatient </w:t>
      </w:r>
      <w:r w:rsidR="003E6F73">
        <w:rPr>
          <w:rFonts w:eastAsia="Times New Roman" w:cstheme="minorHAnsi"/>
        </w:rPr>
        <w:t xml:space="preserve">service increased by </w:t>
      </w:r>
      <w:r w:rsidRPr="00020542">
        <w:rPr>
          <w:rFonts w:eastAsia="Times New Roman" w:cstheme="minorHAnsi"/>
        </w:rPr>
        <w:t>1.59</w:t>
      </w:r>
      <w:r w:rsidR="00C4069D">
        <w:rPr>
          <w:rFonts w:eastAsia="Times New Roman" w:cstheme="minorHAnsi"/>
        </w:rPr>
        <w:t xml:space="preserve"> percentage points</w:t>
      </w:r>
      <w:r w:rsidRPr="00020542">
        <w:rPr>
          <w:rFonts w:eastAsia="Times New Roman" w:cstheme="minorHAnsi"/>
        </w:rPr>
        <w:t xml:space="preserve"> </w:t>
      </w:r>
      <w:r w:rsidR="00C2012E">
        <w:rPr>
          <w:rFonts w:eastAsia="Times New Roman" w:cstheme="minorHAnsi"/>
        </w:rPr>
        <w:t>(</w:t>
      </w:r>
      <w:r w:rsidRPr="00020542">
        <w:rPr>
          <w:rFonts w:eastAsia="Times New Roman" w:cstheme="minorHAnsi"/>
        </w:rPr>
        <w:t>Chi-squared test with a p-value of 0.002265</w:t>
      </w:r>
      <w:r w:rsidR="00980996">
        <w:rPr>
          <w:rFonts w:eastAsia="Times New Roman" w:cstheme="minorHAnsi"/>
        </w:rPr>
        <w:t>, Table 6</w:t>
      </w:r>
      <w:r w:rsidR="00C2012E">
        <w:rPr>
          <w:rFonts w:eastAsia="Times New Roman" w:cstheme="minorHAnsi"/>
        </w:rPr>
        <w:t>)</w:t>
      </w:r>
      <w:r w:rsidRPr="00020542">
        <w:rPr>
          <w:rFonts w:eastAsia="Times New Roman" w:cstheme="minorHAnsi"/>
        </w:rPr>
        <w:t>. This suggests that more patients are being admitted for a better follow of the Croup CSW Pathway protocol.</w:t>
      </w:r>
    </w:p>
    <w:p w14:paraId="0493E3C3" w14:textId="77777777" w:rsidR="00C76463" w:rsidRDefault="00C76463" w:rsidP="00C76463">
      <w:pPr>
        <w:pStyle w:val="Heading2"/>
      </w:pPr>
      <w:r>
        <w:lastRenderedPageBreak/>
        <w:t xml:space="preserve">Regression Analysis on </w:t>
      </w:r>
      <w:r w:rsidRPr="001E4580">
        <w:t>admission rates</w:t>
      </w:r>
      <w:r w:rsidRPr="007E7EC7">
        <w:t xml:space="preserve">, </w:t>
      </w:r>
      <w:r w:rsidRPr="001E4580">
        <w:t>inpatients length-of stay (LOS)</w:t>
      </w:r>
      <w:r w:rsidRPr="007E7EC7">
        <w:t xml:space="preserve">, </w:t>
      </w:r>
      <w:r w:rsidRPr="001E4580">
        <w:t>return to the emergency department</w:t>
      </w:r>
      <w:r w:rsidR="00F32F80">
        <w:t>, and readmission rates</w:t>
      </w:r>
    </w:p>
    <w:p w14:paraId="3895633E" w14:textId="77777777" w:rsidR="00A82136" w:rsidRDefault="004171AA" w:rsidP="00976C09">
      <w:pPr>
        <w:spacing w:before="240" w:line="360" w:lineRule="auto"/>
        <w:jc w:val="both"/>
        <w:rPr>
          <w:rFonts w:eastAsia="Times New Roman" w:cstheme="minorHAnsi"/>
        </w:rPr>
      </w:pPr>
      <w:r>
        <w:rPr>
          <w:rFonts w:eastAsia="Times New Roman" w:cstheme="minorHAnsi"/>
        </w:rPr>
        <w:t>For finding relationships between</w:t>
      </w:r>
      <w:r w:rsidR="0033206D">
        <w:rPr>
          <w:rFonts w:eastAsia="Times New Roman" w:cstheme="minorHAnsi"/>
        </w:rPr>
        <w:t xml:space="preserve"> outcomes </w:t>
      </w:r>
      <w:r w:rsidR="00EA4A2C">
        <w:rPr>
          <w:rFonts w:eastAsia="Times New Roman" w:cstheme="minorHAnsi"/>
        </w:rPr>
        <w:t>[</w:t>
      </w:r>
      <w:r w:rsidR="00C22D59">
        <w:rPr>
          <w:rFonts w:eastAsia="Times New Roman" w:cstheme="minorHAnsi"/>
        </w:rPr>
        <w:t>admission rates, l</w:t>
      </w:r>
      <w:r w:rsidR="0049568D">
        <w:rPr>
          <w:rFonts w:eastAsia="Times New Roman" w:cstheme="minorHAnsi"/>
        </w:rPr>
        <w:t xml:space="preserve">ength of </w:t>
      </w:r>
      <w:r w:rsidR="00C22D59">
        <w:rPr>
          <w:rFonts w:eastAsia="Times New Roman" w:cstheme="minorHAnsi"/>
        </w:rPr>
        <w:t>s</w:t>
      </w:r>
      <w:r w:rsidR="0049568D">
        <w:rPr>
          <w:rFonts w:eastAsia="Times New Roman" w:cstheme="minorHAnsi"/>
        </w:rPr>
        <w:t>tay (LOS),</w:t>
      </w:r>
      <w:r w:rsidR="00C22D59">
        <w:rPr>
          <w:rFonts w:eastAsia="Times New Roman" w:cstheme="minorHAnsi"/>
        </w:rPr>
        <w:t xml:space="preserve"> return to the ED, and readmission rate</w:t>
      </w:r>
      <w:r w:rsidR="00EA4A2C">
        <w:rPr>
          <w:rFonts w:eastAsia="Times New Roman" w:cstheme="minorHAnsi"/>
        </w:rPr>
        <w:t>]</w:t>
      </w:r>
      <w:r w:rsidR="0033206D">
        <w:rPr>
          <w:rFonts w:eastAsia="Times New Roman" w:cstheme="minorHAnsi"/>
        </w:rPr>
        <w:t xml:space="preserve"> and dependent variables</w:t>
      </w:r>
      <w:r w:rsidR="00AF4742">
        <w:rPr>
          <w:rFonts w:eastAsia="Times New Roman" w:cstheme="minorHAnsi"/>
        </w:rPr>
        <w:t xml:space="preserve"> </w:t>
      </w:r>
      <w:r w:rsidR="00C22D59">
        <w:rPr>
          <w:rFonts w:eastAsia="Times New Roman" w:cstheme="minorHAnsi"/>
        </w:rPr>
        <w:t xml:space="preserve">[gender, race, having a PCP, ED transfer, </w:t>
      </w:r>
      <w:r w:rsidR="006019FB">
        <w:rPr>
          <w:rFonts w:eastAsia="Times New Roman" w:cstheme="minorHAnsi"/>
        </w:rPr>
        <w:t>use of dexamethasone, use of RE, use of  radiology</w:t>
      </w:r>
      <w:r w:rsidR="00C22D59">
        <w:rPr>
          <w:rFonts w:eastAsia="Times New Roman" w:cstheme="minorHAnsi"/>
        </w:rPr>
        <w:t>]</w:t>
      </w:r>
      <w:r w:rsidR="0033206D">
        <w:rPr>
          <w:rFonts w:eastAsia="Times New Roman" w:cstheme="minorHAnsi"/>
        </w:rPr>
        <w:t xml:space="preserve">, </w:t>
      </w:r>
      <w:r>
        <w:rPr>
          <w:rFonts w:eastAsia="Times New Roman" w:cstheme="minorHAnsi"/>
        </w:rPr>
        <w:t xml:space="preserve"> </w:t>
      </w:r>
      <w:r w:rsidR="00973EF7">
        <w:rPr>
          <w:rFonts w:eastAsia="Times New Roman" w:cstheme="minorHAnsi"/>
        </w:rPr>
        <w:t xml:space="preserve">we made use of </w:t>
      </w:r>
      <w:r w:rsidRPr="004171AA">
        <w:rPr>
          <w:rFonts w:eastAsia="Times New Roman" w:cstheme="minorHAnsi"/>
        </w:rPr>
        <w:t>REGO</w:t>
      </w:r>
      <w:r w:rsidR="00DC30C8">
        <w:rPr>
          <w:rFonts w:eastAsia="Times New Roman" w:cstheme="minorHAnsi"/>
        </w:rPr>
        <w:t xml:space="preserve">, </w:t>
      </w:r>
      <w:r w:rsidRPr="004171AA">
        <w:rPr>
          <w:rFonts w:eastAsia="Times New Roman" w:cstheme="minorHAnsi"/>
        </w:rPr>
        <w:t>a </w:t>
      </w:r>
      <w:hyperlink r:id="rId24" w:tgtFrame="_blank" w:history="1">
        <w:r w:rsidRPr="004171AA">
          <w:rPr>
            <w:rFonts w:eastAsia="Times New Roman" w:cstheme="minorHAnsi"/>
          </w:rPr>
          <w:t>Stata</w:t>
        </w:r>
      </w:hyperlink>
      <w:r w:rsidRPr="004171AA">
        <w:rPr>
          <w:rFonts w:eastAsia="Times New Roman" w:cstheme="minorHAnsi"/>
        </w:rPr>
        <w:t> module that decomposes R</w:t>
      </w:r>
      <w:r w:rsidRPr="00111F39">
        <w:rPr>
          <w:rFonts w:eastAsia="Times New Roman" w:cstheme="minorHAnsi"/>
          <w:vertAlign w:val="superscript"/>
        </w:rPr>
        <w:t>2</w:t>
      </w:r>
      <w:r w:rsidRPr="004171AA">
        <w:rPr>
          <w:rFonts w:eastAsia="Times New Roman" w:cstheme="minorHAnsi"/>
        </w:rPr>
        <w:t xml:space="preserve"> (share of explained variance) of an </w:t>
      </w:r>
      <w:r w:rsidR="001C2D44">
        <w:t xml:space="preserve">Ordinary Least Square (OLS) </w:t>
      </w:r>
      <w:r w:rsidRPr="004171AA">
        <w:rPr>
          <w:rFonts w:eastAsia="Times New Roman" w:cstheme="minorHAnsi"/>
        </w:rPr>
        <w:t>model into contributions of</w:t>
      </w:r>
      <w:r w:rsidR="00E13AB2">
        <w:rPr>
          <w:rFonts w:eastAsia="Times New Roman" w:cstheme="minorHAnsi"/>
        </w:rPr>
        <w:t xml:space="preserve"> </w:t>
      </w:r>
      <w:r w:rsidRPr="004171AA">
        <w:rPr>
          <w:rFonts w:eastAsia="Times New Roman" w:cstheme="minorHAnsi"/>
        </w:rPr>
        <w:t>regressor variables with the help of Shapley or Owen values</w:t>
      </w:r>
      <w:r w:rsidR="00C17FB0">
        <w:rPr>
          <w:rFonts w:eastAsia="Times New Roman" w:cstheme="minorHAnsi"/>
        </w:rPr>
        <w:t>.</w:t>
      </w:r>
      <w:r w:rsidR="004A07A8">
        <w:rPr>
          <w:rFonts w:eastAsia="Times New Roman" w:cstheme="minorHAnsi"/>
        </w:rPr>
        <w:t xml:space="preserve"> </w:t>
      </w:r>
      <w:r w:rsidR="00F16556">
        <w:rPr>
          <w:rFonts w:eastAsia="Times New Roman" w:cstheme="minorHAnsi"/>
        </w:rPr>
        <w:t>We assessed g</w:t>
      </w:r>
      <w:r w:rsidR="004A07A8">
        <w:rPr>
          <w:rFonts w:eastAsia="Times New Roman" w:cstheme="minorHAnsi"/>
        </w:rPr>
        <w:t xml:space="preserve">oodness of fit </w:t>
      </w:r>
      <w:r w:rsidR="00CE516C">
        <w:rPr>
          <w:rFonts w:eastAsia="Times New Roman" w:cstheme="minorHAnsi"/>
        </w:rPr>
        <w:t xml:space="preserve">of the regression model </w:t>
      </w:r>
      <w:r w:rsidR="00721AC3">
        <w:rPr>
          <w:rFonts w:eastAsia="Times New Roman" w:cstheme="minorHAnsi"/>
        </w:rPr>
        <w:t xml:space="preserve">using </w:t>
      </w:r>
      <w:r w:rsidR="00D1142E">
        <w:rPr>
          <w:rFonts w:eastAsia="Times New Roman" w:cstheme="minorHAnsi"/>
        </w:rPr>
        <w:t>“</w:t>
      </w:r>
      <w:r w:rsidR="00D1142E" w:rsidRPr="00D1142E">
        <w:rPr>
          <w:rFonts w:eastAsia="Times New Roman" w:cstheme="minorHAnsi"/>
        </w:rPr>
        <w:t>R</w:t>
      </w:r>
      <w:r w:rsidR="00D1142E">
        <w:rPr>
          <w:rFonts w:eastAsia="Times New Roman" w:cstheme="minorHAnsi"/>
        </w:rPr>
        <w:t>-</w:t>
      </w:r>
      <w:r w:rsidR="00D1142E" w:rsidRPr="00D1142E">
        <w:rPr>
          <w:rFonts w:eastAsia="Times New Roman" w:cstheme="minorHAnsi"/>
        </w:rPr>
        <w:t>squared</w:t>
      </w:r>
      <w:r w:rsidR="00976C09">
        <w:rPr>
          <w:rFonts w:eastAsia="Times New Roman" w:cstheme="minorHAnsi"/>
        </w:rPr>
        <w:t xml:space="preserve"> (R</w:t>
      </w:r>
      <w:r w:rsidR="00976C09" w:rsidRPr="00976C09">
        <w:rPr>
          <w:rFonts w:eastAsia="Times New Roman" w:cstheme="minorHAnsi"/>
          <w:vertAlign w:val="superscript"/>
        </w:rPr>
        <w:t>2</w:t>
      </w:r>
      <w:r w:rsidR="00976C09">
        <w:rPr>
          <w:rFonts w:eastAsia="Times New Roman" w:cstheme="minorHAnsi"/>
        </w:rPr>
        <w:t>)</w:t>
      </w:r>
      <w:r w:rsidR="00735BD7">
        <w:rPr>
          <w:rFonts w:eastAsia="Times New Roman" w:cstheme="minorHAnsi"/>
        </w:rPr>
        <w:t>.</w:t>
      </w:r>
      <w:r w:rsidR="00D1142E">
        <w:rPr>
          <w:rFonts w:eastAsia="Times New Roman" w:cstheme="minorHAnsi"/>
        </w:rPr>
        <w:t>”</w:t>
      </w:r>
      <w:r w:rsidR="008D1090">
        <w:rPr>
          <w:rFonts w:eastAsia="Times New Roman" w:cstheme="minorHAnsi"/>
        </w:rPr>
        <w:t xml:space="preserve"> Running </w:t>
      </w:r>
      <w:r w:rsidR="00B715D6">
        <w:rPr>
          <w:rFonts w:eastAsia="Times New Roman" w:cstheme="minorHAnsi"/>
        </w:rPr>
        <w:t xml:space="preserve">REGO on the </w:t>
      </w:r>
      <w:r w:rsidR="005E4D83">
        <w:rPr>
          <w:rFonts w:eastAsia="Times New Roman" w:cstheme="minorHAnsi"/>
        </w:rPr>
        <w:t>Pre-CSW</w:t>
      </w:r>
      <w:r w:rsidR="009C63DD">
        <w:rPr>
          <w:rFonts w:eastAsia="Times New Roman" w:cstheme="minorHAnsi"/>
        </w:rPr>
        <w:t xml:space="preserve"> and </w:t>
      </w:r>
      <w:r w:rsidR="005E4D83">
        <w:rPr>
          <w:rFonts w:eastAsia="Times New Roman" w:cstheme="minorHAnsi"/>
        </w:rPr>
        <w:t>Post-CSW</w:t>
      </w:r>
      <w:r w:rsidR="00B715D6">
        <w:rPr>
          <w:rFonts w:eastAsia="Times New Roman" w:cstheme="minorHAnsi"/>
        </w:rPr>
        <w:t xml:space="preserve"> data </w:t>
      </w:r>
      <w:r w:rsidR="00511884">
        <w:rPr>
          <w:rFonts w:eastAsia="Times New Roman" w:cstheme="minorHAnsi"/>
        </w:rPr>
        <w:t>for each of the outcomes mentioned above</w:t>
      </w:r>
      <w:r w:rsidR="00452A17">
        <w:rPr>
          <w:rFonts w:eastAsia="Times New Roman" w:cstheme="minorHAnsi"/>
        </w:rPr>
        <w:t xml:space="preserve">, we </w:t>
      </w:r>
      <w:r w:rsidR="003E6F73">
        <w:rPr>
          <w:rFonts w:eastAsia="Times New Roman" w:cstheme="minorHAnsi"/>
        </w:rPr>
        <w:t xml:space="preserve">obtained </w:t>
      </w:r>
      <w:r w:rsidR="00452A17">
        <w:rPr>
          <w:rFonts w:eastAsia="Times New Roman" w:cstheme="minorHAnsi"/>
        </w:rPr>
        <w:t>the following results:</w:t>
      </w:r>
    </w:p>
    <w:p w14:paraId="560D0C3A" w14:textId="77777777" w:rsidR="00452A17" w:rsidRDefault="00FD2B6B" w:rsidP="00FD2B6B">
      <w:pPr>
        <w:pStyle w:val="Heading3"/>
      </w:pPr>
      <w:bookmarkStart w:id="30" w:name="_Hlk515658303"/>
      <w:r>
        <w:t>A</w:t>
      </w:r>
      <w:r w:rsidR="00E82CCC" w:rsidRPr="001E4580">
        <w:t xml:space="preserve">dmission </w:t>
      </w:r>
      <w:r>
        <w:t>R</w:t>
      </w:r>
      <w:r w:rsidR="00E82CCC" w:rsidRPr="001E4580">
        <w:t>ates</w:t>
      </w:r>
      <w:r w:rsidR="00A64B07">
        <w:t xml:space="preserve"> </w:t>
      </w:r>
    </w:p>
    <w:p w14:paraId="4D9AEA95" w14:textId="77777777" w:rsidR="00E82CCC" w:rsidRDefault="00EE6244" w:rsidP="00976C09">
      <w:pPr>
        <w:spacing w:before="240" w:line="360" w:lineRule="auto"/>
        <w:jc w:val="both"/>
      </w:pPr>
      <w:r>
        <w:t>“</w:t>
      </w:r>
      <w:r w:rsidR="001B7EC5">
        <w:fldChar w:fldCharType="begin"/>
      </w:r>
      <w:r w:rsidR="004E48F0">
        <w:instrText xml:space="preserve"> REF _Ref512646437 \h </w:instrText>
      </w:r>
      <w:r w:rsidR="001B7EC5">
        <w:fldChar w:fldCharType="separate"/>
      </w:r>
      <w:r w:rsidR="009C63DD" w:rsidRPr="0024445D">
        <w:rPr>
          <w:sz w:val="24"/>
        </w:rPr>
        <w:t>Table 13:</w:t>
      </w:r>
      <w:r w:rsidR="009C63DD">
        <w:rPr>
          <w:sz w:val="24"/>
        </w:rPr>
        <w:t xml:space="preserve"> </w:t>
      </w:r>
      <w:r w:rsidR="009C63DD" w:rsidRPr="0024445D">
        <w:rPr>
          <w:sz w:val="24"/>
        </w:rPr>
        <w:t>Ordinary Least Squares applied to Admission Rate (</w:t>
      </w:r>
      <w:r w:rsidR="005E4D83">
        <w:rPr>
          <w:sz w:val="24"/>
        </w:rPr>
        <w:t>Pre-CSW</w:t>
      </w:r>
      <w:r w:rsidR="009C63DD" w:rsidRPr="0024445D">
        <w:rPr>
          <w:sz w:val="24"/>
        </w:rPr>
        <w:t>)</w:t>
      </w:r>
      <w:r w:rsidR="001B7EC5">
        <w:fldChar w:fldCharType="end"/>
      </w:r>
      <w:r>
        <w:t>”</w:t>
      </w:r>
      <w:r w:rsidR="00367724">
        <w:t xml:space="preserve"> and </w:t>
      </w:r>
      <w:r>
        <w:t>“</w:t>
      </w:r>
      <w:r w:rsidR="001B7EC5">
        <w:fldChar w:fldCharType="begin"/>
      </w:r>
      <w:r w:rsidR="00F209FE">
        <w:instrText xml:space="preserve"> REF _Ref512646409 \h </w:instrText>
      </w:r>
      <w:r w:rsidR="001B7EC5">
        <w:fldChar w:fldCharType="separate"/>
      </w:r>
      <w:r w:rsidR="00F209FE">
        <w:t xml:space="preserve">Table </w:t>
      </w:r>
      <w:r w:rsidR="00F209FE">
        <w:rPr>
          <w:noProof/>
        </w:rPr>
        <w:t>14</w:t>
      </w:r>
      <w:r w:rsidR="00F209FE">
        <w:t xml:space="preserve">: </w:t>
      </w:r>
      <w:r w:rsidR="00F209FE" w:rsidRPr="008C0A26">
        <w:t>OLS applied to Admission Rate (</w:t>
      </w:r>
      <w:r w:rsidR="005E4D83">
        <w:t>Post-CSW</w:t>
      </w:r>
      <w:r w:rsidR="00F209FE" w:rsidRPr="008C0A26">
        <w:t>)</w:t>
      </w:r>
      <w:r w:rsidR="001B7EC5">
        <w:fldChar w:fldCharType="end"/>
      </w:r>
      <w:r>
        <w:t>”</w:t>
      </w:r>
      <w:r w:rsidR="001B7EC5">
        <w:fldChar w:fldCharType="begin"/>
      </w:r>
      <w:r w:rsidR="004E48F0">
        <w:instrText xml:space="preserve"> REF _Ref512646437 \h </w:instrText>
      </w:r>
      <w:r w:rsidR="001B7EC5">
        <w:fldChar w:fldCharType="end"/>
      </w:r>
      <w:r w:rsidR="001A2145">
        <w:t xml:space="preserve"> </w:t>
      </w:r>
      <w:r w:rsidR="00183ED7">
        <w:t>summarize Ordinary Least Square (OLS)</w:t>
      </w:r>
      <w:r w:rsidR="0058413B">
        <w:t xml:space="preserve">, while </w:t>
      </w:r>
      <w:r>
        <w:t>“</w:t>
      </w:r>
      <w:r w:rsidR="001B7EC5">
        <w:fldChar w:fldCharType="begin"/>
      </w:r>
      <w:r w:rsidR="0058413B">
        <w:instrText xml:space="preserve"> REF _Ref512800064 \h </w:instrText>
      </w:r>
      <w:r w:rsidR="001B7EC5">
        <w:fldChar w:fldCharType="separate"/>
      </w:r>
      <w:r w:rsidR="0058413B">
        <w:t xml:space="preserve">Table </w:t>
      </w:r>
      <w:r w:rsidR="0058413B">
        <w:rPr>
          <w:noProof/>
        </w:rPr>
        <w:t>6</w:t>
      </w:r>
      <w:r w:rsidR="0058413B">
        <w:t>: Summary of outcomes statistics</w:t>
      </w:r>
      <w:r w:rsidR="001B7EC5">
        <w:fldChar w:fldCharType="end"/>
      </w:r>
      <w:r>
        <w:t>”</w:t>
      </w:r>
      <w:r w:rsidR="00ED5BBE">
        <w:t xml:space="preserve"> provides descriptive statistics</w:t>
      </w:r>
      <w:r w:rsidR="00183ED7">
        <w:t xml:space="preserve"> on</w:t>
      </w:r>
      <w:r w:rsidR="007E37D3">
        <w:t xml:space="preserve"> </w:t>
      </w:r>
      <w:r w:rsidR="00ED5BBE">
        <w:t>its</w:t>
      </w:r>
      <w:r w:rsidR="007E37D3">
        <w:t xml:space="preserve"> </w:t>
      </w:r>
      <w:r w:rsidR="005E4D83">
        <w:t>Pre-CSW</w:t>
      </w:r>
      <w:r w:rsidR="009C63DD">
        <w:t xml:space="preserve"> and </w:t>
      </w:r>
      <w:r w:rsidR="005E4D83">
        <w:t>Post-CSW</w:t>
      </w:r>
      <w:r w:rsidR="009C63DD">
        <w:t xml:space="preserve"> </w:t>
      </w:r>
      <w:r w:rsidR="00ED5BBE">
        <w:t>values</w:t>
      </w:r>
      <w:r w:rsidR="007E37D3">
        <w:t>.</w:t>
      </w:r>
      <w:r w:rsidR="002518C1">
        <w:t xml:space="preserve"> With a</w:t>
      </w:r>
      <w:r w:rsidR="004D1703">
        <w:t>n R</w:t>
      </w:r>
      <w:r w:rsidR="004D1703" w:rsidRPr="00B3132C">
        <w:rPr>
          <w:vertAlign w:val="superscript"/>
        </w:rPr>
        <w:t>2</w:t>
      </w:r>
      <w:r w:rsidR="004D1703">
        <w:t xml:space="preserve"> value of 32% </w:t>
      </w:r>
      <w:r w:rsidR="005E4D83">
        <w:t>Pre-CSW</w:t>
      </w:r>
      <w:r w:rsidR="009C63DD">
        <w:t xml:space="preserve"> and </w:t>
      </w:r>
      <w:r w:rsidR="005E4D83">
        <w:t>Post-CSW</w:t>
      </w:r>
      <w:r w:rsidR="004D1703">
        <w:t xml:space="preserve">, </w:t>
      </w:r>
      <w:r w:rsidR="00396557">
        <w:t xml:space="preserve">we cannot say that the regressed model </w:t>
      </w:r>
      <w:r w:rsidR="00CE25B6">
        <w:t>is a good fit for this problem</w:t>
      </w:r>
      <w:r w:rsidR="00FA4820">
        <w:t xml:space="preserve">, but the contributions </w:t>
      </w:r>
      <w:r w:rsidR="004A3208">
        <w:t>of</w:t>
      </w:r>
      <w:r w:rsidR="00FA4820">
        <w:t xml:space="preserve"> regressor variables on </w:t>
      </w:r>
      <w:r w:rsidR="00E62CDC">
        <w:t>R</w:t>
      </w:r>
      <w:r w:rsidR="00E62CDC" w:rsidRPr="00DD283E">
        <w:rPr>
          <w:vertAlign w:val="superscript"/>
        </w:rPr>
        <w:t>2</w:t>
      </w:r>
      <w:r w:rsidR="00E62CDC">
        <w:t xml:space="preserve"> gives an indication </w:t>
      </w:r>
      <w:r w:rsidR="00872CDD">
        <w:t xml:space="preserve">of </w:t>
      </w:r>
      <w:r w:rsidR="00E62CDC">
        <w:t>the importance of th</w:t>
      </w:r>
      <w:r w:rsidR="004A2B60">
        <w:t xml:space="preserve">ose variables in predicting </w:t>
      </w:r>
      <w:r w:rsidR="00705822">
        <w:t>the variations and evolution of the admission rates.</w:t>
      </w:r>
      <w:r w:rsidR="00DD283E">
        <w:t xml:space="preserve"> </w:t>
      </w:r>
      <w:r>
        <w:t>“</w:t>
      </w:r>
      <w:r w:rsidR="001B7EC5">
        <w:fldChar w:fldCharType="begin"/>
      </w:r>
      <w:r w:rsidR="00FC5EA2">
        <w:instrText xml:space="preserve"> REF _Ref512646437 \h </w:instrText>
      </w:r>
      <w:r w:rsidR="001B7EC5">
        <w:fldChar w:fldCharType="separate"/>
      </w:r>
      <w:r w:rsidR="009C63DD" w:rsidRPr="0024445D">
        <w:rPr>
          <w:sz w:val="24"/>
        </w:rPr>
        <w:t>Table 13:</w:t>
      </w:r>
      <w:r w:rsidR="009C63DD">
        <w:rPr>
          <w:sz w:val="24"/>
        </w:rPr>
        <w:t xml:space="preserve"> </w:t>
      </w:r>
      <w:r w:rsidR="009C63DD" w:rsidRPr="0024445D">
        <w:rPr>
          <w:sz w:val="24"/>
        </w:rPr>
        <w:t>Ordinary Least Squares applied to Admission Rate (</w:t>
      </w:r>
      <w:r w:rsidR="005E4D83">
        <w:rPr>
          <w:sz w:val="24"/>
        </w:rPr>
        <w:t>Pre-CSW</w:t>
      </w:r>
      <w:r w:rsidR="009C63DD" w:rsidRPr="0024445D">
        <w:rPr>
          <w:sz w:val="24"/>
        </w:rPr>
        <w:t>)</w:t>
      </w:r>
      <w:r w:rsidR="001B7EC5">
        <w:fldChar w:fldCharType="end"/>
      </w:r>
      <w:r>
        <w:t>”</w:t>
      </w:r>
      <w:r w:rsidR="00FC5EA2">
        <w:t xml:space="preserve"> and </w:t>
      </w:r>
      <w:r>
        <w:t>“</w:t>
      </w:r>
      <w:r w:rsidR="001B7EC5">
        <w:fldChar w:fldCharType="begin"/>
      </w:r>
      <w:r w:rsidR="00FC5EA2">
        <w:instrText xml:space="preserve"> REF _Ref512646437 \h </w:instrText>
      </w:r>
      <w:r w:rsidR="001B7EC5">
        <w:fldChar w:fldCharType="separate"/>
      </w:r>
      <w:r w:rsidR="009C63DD" w:rsidRPr="0024445D">
        <w:rPr>
          <w:sz w:val="24"/>
        </w:rPr>
        <w:t>Table 13:</w:t>
      </w:r>
      <w:r w:rsidR="009C63DD">
        <w:rPr>
          <w:sz w:val="24"/>
        </w:rPr>
        <w:t xml:space="preserve"> </w:t>
      </w:r>
      <w:r w:rsidR="009C63DD" w:rsidRPr="0024445D">
        <w:rPr>
          <w:sz w:val="24"/>
        </w:rPr>
        <w:t>Ordinary Least Squares applied to Admission Rate (</w:t>
      </w:r>
      <w:r w:rsidR="005E4D83">
        <w:rPr>
          <w:sz w:val="24"/>
        </w:rPr>
        <w:t>Pre-CSW</w:t>
      </w:r>
      <w:r w:rsidR="009C63DD" w:rsidRPr="0024445D">
        <w:rPr>
          <w:sz w:val="24"/>
        </w:rPr>
        <w:t>)</w:t>
      </w:r>
      <w:r w:rsidR="001B7EC5">
        <w:fldChar w:fldCharType="end"/>
      </w:r>
      <w:r>
        <w:t>”</w:t>
      </w:r>
      <w:r w:rsidR="009C63DD">
        <w:t xml:space="preserve"> show </w:t>
      </w:r>
      <w:r w:rsidR="00472406">
        <w:t>clear</w:t>
      </w:r>
      <w:r w:rsidR="009C63DD">
        <w:t>ly</w:t>
      </w:r>
      <w:r w:rsidR="00472406">
        <w:t xml:space="preserve"> that </w:t>
      </w:r>
      <w:r w:rsidR="00DE7461">
        <w:rPr>
          <w:rFonts w:eastAsia="Times New Roman" w:cstheme="minorHAnsi"/>
        </w:rPr>
        <w:t>r</w:t>
      </w:r>
      <w:r w:rsidR="00EE387F" w:rsidRPr="00AD463D">
        <w:rPr>
          <w:rFonts w:eastAsia="Times New Roman" w:cstheme="minorHAnsi"/>
        </w:rPr>
        <w:t xml:space="preserve">acemic </w:t>
      </w:r>
      <w:r w:rsidR="00DE7461">
        <w:rPr>
          <w:rFonts w:eastAsia="Times New Roman" w:cstheme="minorHAnsi"/>
        </w:rPr>
        <w:t>e</w:t>
      </w:r>
      <w:r w:rsidR="00EE387F" w:rsidRPr="00AD463D">
        <w:rPr>
          <w:rFonts w:eastAsia="Times New Roman" w:cstheme="minorHAnsi"/>
        </w:rPr>
        <w:t>pinephrine</w:t>
      </w:r>
      <w:r w:rsidR="00083BAC">
        <w:t xml:space="preserve"> </w:t>
      </w:r>
      <w:r w:rsidR="009C63DD">
        <w:t xml:space="preserve">is the most influential variable in predicting hospital admission </w:t>
      </w:r>
      <w:r w:rsidR="00083BAC">
        <w:t xml:space="preserve">with 78.9% contribution </w:t>
      </w:r>
      <w:r w:rsidR="005E4D83">
        <w:t>Pre-CSW</w:t>
      </w:r>
      <w:r w:rsidR="004A3208">
        <w:t xml:space="preserve">, and 66.9% contribution </w:t>
      </w:r>
      <w:r w:rsidR="005E4D83">
        <w:t>Post-CSW</w:t>
      </w:r>
      <w:r w:rsidR="003C4F7D">
        <w:t>, with a p-value of 0.0001</w:t>
      </w:r>
      <w:r w:rsidR="00957B01">
        <w:t xml:space="preserve">. One should note that </w:t>
      </w:r>
      <w:r w:rsidR="005C2B2F">
        <w:rPr>
          <w:rFonts w:eastAsia="Times New Roman" w:cstheme="minorHAnsi"/>
        </w:rPr>
        <w:t>r</w:t>
      </w:r>
      <w:r w:rsidR="00957B01" w:rsidRPr="00AD463D">
        <w:rPr>
          <w:rFonts w:eastAsia="Times New Roman" w:cstheme="minorHAnsi"/>
        </w:rPr>
        <w:t xml:space="preserve">acemic </w:t>
      </w:r>
      <w:r w:rsidR="005C2B2F">
        <w:rPr>
          <w:rFonts w:eastAsia="Times New Roman" w:cstheme="minorHAnsi"/>
        </w:rPr>
        <w:t>e</w:t>
      </w:r>
      <w:r w:rsidR="00957B01" w:rsidRPr="00AD463D">
        <w:rPr>
          <w:rFonts w:eastAsia="Times New Roman" w:cstheme="minorHAnsi"/>
        </w:rPr>
        <w:t>pinephrine</w:t>
      </w:r>
      <w:r w:rsidR="00957B01">
        <w:rPr>
          <w:rFonts w:eastAsia="Times New Roman" w:cstheme="minorHAnsi"/>
        </w:rPr>
        <w:t xml:space="preserve"> is seeing a</w:t>
      </w:r>
      <w:r w:rsidR="00947B5E">
        <w:rPr>
          <w:rFonts w:eastAsia="Times New Roman" w:cstheme="minorHAnsi"/>
        </w:rPr>
        <w:t xml:space="preserve"> predictive power drop of</w:t>
      </w:r>
      <w:r w:rsidR="00957B01">
        <w:rPr>
          <w:rFonts w:eastAsia="Times New Roman" w:cstheme="minorHAnsi"/>
        </w:rPr>
        <w:t xml:space="preserve"> 12 percentage points </w:t>
      </w:r>
      <w:r w:rsidR="005E4D83">
        <w:rPr>
          <w:rFonts w:eastAsia="Times New Roman" w:cstheme="minorHAnsi"/>
        </w:rPr>
        <w:t>Post-CSW</w:t>
      </w:r>
      <w:r w:rsidR="00265DF2">
        <w:rPr>
          <w:rFonts w:eastAsia="Times New Roman" w:cstheme="minorHAnsi"/>
        </w:rPr>
        <w:t xml:space="preserve">, </w:t>
      </w:r>
      <w:r w:rsidR="004869EA">
        <w:t xml:space="preserve">while </w:t>
      </w:r>
      <w:r w:rsidR="005C2B2F">
        <w:t>d</w:t>
      </w:r>
      <w:r w:rsidR="008665BA" w:rsidRPr="007E7EC7">
        <w:t>examethasone</w:t>
      </w:r>
      <w:r w:rsidR="006A3D91">
        <w:t>’s</w:t>
      </w:r>
      <w:r w:rsidR="008665BA">
        <w:t xml:space="preserve"> contribution, although modest compared to that of </w:t>
      </w:r>
      <w:r w:rsidR="005C2B2F">
        <w:rPr>
          <w:rFonts w:eastAsia="Times New Roman" w:cstheme="minorHAnsi"/>
        </w:rPr>
        <w:t>r</w:t>
      </w:r>
      <w:r w:rsidR="008665BA" w:rsidRPr="00AD463D">
        <w:rPr>
          <w:rFonts w:eastAsia="Times New Roman" w:cstheme="minorHAnsi"/>
        </w:rPr>
        <w:t xml:space="preserve">acemic </w:t>
      </w:r>
      <w:r w:rsidR="005C2B2F">
        <w:rPr>
          <w:rFonts w:eastAsia="Times New Roman" w:cstheme="minorHAnsi"/>
        </w:rPr>
        <w:t>e</w:t>
      </w:r>
      <w:r w:rsidR="008665BA" w:rsidRPr="00AD463D">
        <w:rPr>
          <w:rFonts w:eastAsia="Times New Roman" w:cstheme="minorHAnsi"/>
        </w:rPr>
        <w:t>pinephrine</w:t>
      </w:r>
      <w:r w:rsidR="008665BA">
        <w:rPr>
          <w:rFonts w:eastAsia="Times New Roman" w:cstheme="minorHAnsi"/>
        </w:rPr>
        <w:t>, has seen an increase of 6 percentage points</w:t>
      </w:r>
      <w:r w:rsidR="00D438DA">
        <w:rPr>
          <w:rFonts w:eastAsia="Times New Roman" w:cstheme="minorHAnsi"/>
        </w:rPr>
        <w:t xml:space="preserve"> in prediction power</w:t>
      </w:r>
      <w:r w:rsidR="00872DCA">
        <w:t xml:space="preserve">. </w:t>
      </w:r>
    </w:p>
    <w:tbl>
      <w:tblPr>
        <w:tblW w:w="9468" w:type="dxa"/>
        <w:tblInd w:w="108" w:type="dxa"/>
        <w:tblLook w:val="04A0" w:firstRow="1" w:lastRow="0" w:firstColumn="1" w:lastColumn="0" w:noHBand="0" w:noVBand="1"/>
      </w:tblPr>
      <w:tblGrid>
        <w:gridCol w:w="1015"/>
        <w:gridCol w:w="2477"/>
        <w:gridCol w:w="2538"/>
        <w:gridCol w:w="3438"/>
      </w:tblGrid>
      <w:tr w:rsidR="000D6335" w:rsidRPr="000D6335" w14:paraId="6E47A520" w14:textId="77777777" w:rsidTr="000D6335">
        <w:trPr>
          <w:trHeight w:val="285"/>
        </w:trPr>
        <w:tc>
          <w:tcPr>
            <w:tcW w:w="1015" w:type="dxa"/>
            <w:tcBorders>
              <w:top w:val="single" w:sz="4" w:space="0" w:color="auto"/>
              <w:left w:val="single" w:sz="4" w:space="0" w:color="auto"/>
              <w:bottom w:val="single" w:sz="4" w:space="0" w:color="auto"/>
              <w:right w:val="nil"/>
            </w:tcBorders>
            <w:shd w:val="clear" w:color="auto" w:fill="auto"/>
            <w:noWrap/>
            <w:vAlign w:val="bottom"/>
            <w:hideMark/>
          </w:tcPr>
          <w:p w14:paraId="4B2623FB"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 </w:t>
            </w:r>
          </w:p>
        </w:tc>
        <w:tc>
          <w:tcPr>
            <w:tcW w:w="2477" w:type="dxa"/>
            <w:tcBorders>
              <w:top w:val="single" w:sz="4" w:space="0" w:color="auto"/>
              <w:left w:val="nil"/>
              <w:bottom w:val="single" w:sz="4" w:space="0" w:color="auto"/>
              <w:right w:val="nil"/>
            </w:tcBorders>
            <w:shd w:val="clear" w:color="auto" w:fill="auto"/>
            <w:noWrap/>
            <w:vAlign w:val="bottom"/>
            <w:hideMark/>
          </w:tcPr>
          <w:p w14:paraId="113F2376"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 </w:t>
            </w:r>
          </w:p>
        </w:tc>
        <w:tc>
          <w:tcPr>
            <w:tcW w:w="2538" w:type="dxa"/>
            <w:tcBorders>
              <w:top w:val="single" w:sz="4" w:space="0" w:color="auto"/>
              <w:left w:val="nil"/>
              <w:bottom w:val="single" w:sz="4" w:space="0" w:color="auto"/>
              <w:right w:val="nil"/>
            </w:tcBorders>
            <w:shd w:val="clear" w:color="auto" w:fill="auto"/>
            <w:noWrap/>
            <w:vAlign w:val="bottom"/>
            <w:hideMark/>
          </w:tcPr>
          <w:p w14:paraId="3E402016" w14:textId="77777777" w:rsidR="000D6335" w:rsidRPr="000D6335" w:rsidRDefault="000D6335" w:rsidP="000D6335">
            <w:pPr>
              <w:spacing w:after="0" w:line="240" w:lineRule="auto"/>
              <w:jc w:val="center"/>
              <w:rPr>
                <w:rFonts w:ascii="Calibri" w:eastAsia="Times New Roman" w:hAnsi="Calibri" w:cs="Calibri"/>
                <w:color w:val="000000"/>
              </w:rPr>
            </w:pPr>
            <w:r w:rsidRPr="000D6335">
              <w:rPr>
                <w:rFonts w:ascii="Calibri" w:eastAsia="Times New Roman" w:hAnsi="Calibri" w:cs="Calibri"/>
                <w:color w:val="000000"/>
              </w:rPr>
              <w:t>Dexamethasone</w:t>
            </w:r>
          </w:p>
        </w:tc>
        <w:tc>
          <w:tcPr>
            <w:tcW w:w="3438" w:type="dxa"/>
            <w:tcBorders>
              <w:top w:val="single" w:sz="4" w:space="0" w:color="auto"/>
              <w:left w:val="nil"/>
              <w:bottom w:val="single" w:sz="4" w:space="0" w:color="auto"/>
              <w:right w:val="single" w:sz="4" w:space="0" w:color="auto"/>
            </w:tcBorders>
            <w:shd w:val="clear" w:color="auto" w:fill="auto"/>
            <w:noWrap/>
            <w:vAlign w:val="bottom"/>
            <w:hideMark/>
          </w:tcPr>
          <w:p w14:paraId="3D1BCB00" w14:textId="77777777" w:rsidR="000D6335" w:rsidRPr="000D6335" w:rsidRDefault="000D6335" w:rsidP="000D6335">
            <w:pPr>
              <w:spacing w:after="0" w:line="240" w:lineRule="auto"/>
              <w:jc w:val="center"/>
              <w:rPr>
                <w:rFonts w:ascii="Calibri" w:eastAsia="Times New Roman" w:hAnsi="Calibri" w:cs="Calibri"/>
                <w:color w:val="000000"/>
              </w:rPr>
            </w:pPr>
            <w:r w:rsidRPr="000D6335">
              <w:rPr>
                <w:rFonts w:ascii="Calibri" w:eastAsia="Times New Roman" w:hAnsi="Calibri" w:cs="Calibri"/>
                <w:color w:val="000000"/>
              </w:rPr>
              <w:t>Racemic Epinephrine</w:t>
            </w:r>
          </w:p>
        </w:tc>
      </w:tr>
      <w:tr w:rsidR="000D6335" w:rsidRPr="000D6335" w14:paraId="6B1FD51B" w14:textId="77777777" w:rsidTr="000D6335">
        <w:trPr>
          <w:trHeight w:val="285"/>
        </w:trPr>
        <w:tc>
          <w:tcPr>
            <w:tcW w:w="1015" w:type="dxa"/>
            <w:vMerge w:val="restart"/>
            <w:tcBorders>
              <w:top w:val="nil"/>
              <w:left w:val="single" w:sz="4" w:space="0" w:color="auto"/>
              <w:bottom w:val="nil"/>
              <w:right w:val="single" w:sz="4" w:space="0" w:color="auto"/>
            </w:tcBorders>
            <w:shd w:val="clear" w:color="auto" w:fill="auto"/>
            <w:noWrap/>
            <w:vAlign w:val="center"/>
            <w:hideMark/>
          </w:tcPr>
          <w:p w14:paraId="4D96AC91" w14:textId="77777777" w:rsidR="000D6335" w:rsidRPr="000D6335" w:rsidRDefault="000D6335" w:rsidP="000D6335">
            <w:pPr>
              <w:spacing w:after="0" w:line="240" w:lineRule="auto"/>
              <w:jc w:val="center"/>
              <w:rPr>
                <w:rFonts w:ascii="Calibri" w:eastAsia="Times New Roman" w:hAnsi="Calibri" w:cs="Calibri"/>
                <w:color w:val="000000"/>
              </w:rPr>
            </w:pPr>
            <w:r w:rsidRPr="000D6335">
              <w:rPr>
                <w:rFonts w:ascii="Calibri" w:eastAsia="Times New Roman" w:hAnsi="Calibri" w:cs="Calibri"/>
                <w:color w:val="000000"/>
              </w:rPr>
              <w:t>Coef.</w:t>
            </w:r>
          </w:p>
        </w:tc>
        <w:tc>
          <w:tcPr>
            <w:tcW w:w="2477" w:type="dxa"/>
            <w:tcBorders>
              <w:top w:val="nil"/>
              <w:left w:val="nil"/>
              <w:bottom w:val="nil"/>
              <w:right w:val="single" w:sz="4" w:space="0" w:color="auto"/>
            </w:tcBorders>
            <w:shd w:val="clear" w:color="auto" w:fill="auto"/>
            <w:noWrap/>
            <w:vAlign w:val="bottom"/>
            <w:hideMark/>
          </w:tcPr>
          <w:p w14:paraId="28671EE7"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Pre</w:t>
            </w:r>
          </w:p>
        </w:tc>
        <w:tc>
          <w:tcPr>
            <w:tcW w:w="2538" w:type="dxa"/>
            <w:tcBorders>
              <w:top w:val="nil"/>
              <w:left w:val="nil"/>
              <w:bottom w:val="nil"/>
              <w:right w:val="nil"/>
            </w:tcBorders>
            <w:shd w:val="clear" w:color="auto" w:fill="auto"/>
            <w:noWrap/>
            <w:vAlign w:val="bottom"/>
            <w:hideMark/>
          </w:tcPr>
          <w:p w14:paraId="171950CC"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-0.072</w:t>
            </w:r>
          </w:p>
        </w:tc>
        <w:tc>
          <w:tcPr>
            <w:tcW w:w="3438" w:type="dxa"/>
            <w:tcBorders>
              <w:top w:val="nil"/>
              <w:left w:val="nil"/>
              <w:bottom w:val="nil"/>
              <w:right w:val="single" w:sz="4" w:space="0" w:color="auto"/>
            </w:tcBorders>
            <w:shd w:val="clear" w:color="auto" w:fill="auto"/>
            <w:noWrap/>
            <w:vAlign w:val="bottom"/>
            <w:hideMark/>
          </w:tcPr>
          <w:p w14:paraId="413D6386"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0.38</w:t>
            </w:r>
          </w:p>
        </w:tc>
      </w:tr>
      <w:tr w:rsidR="000D6335" w:rsidRPr="000D6335" w14:paraId="4FADF0A4" w14:textId="77777777" w:rsidTr="000D6335">
        <w:trPr>
          <w:trHeight w:val="285"/>
        </w:trPr>
        <w:tc>
          <w:tcPr>
            <w:tcW w:w="1015" w:type="dxa"/>
            <w:vMerge/>
            <w:tcBorders>
              <w:top w:val="nil"/>
              <w:left w:val="single" w:sz="4" w:space="0" w:color="auto"/>
              <w:bottom w:val="nil"/>
              <w:right w:val="single" w:sz="4" w:space="0" w:color="auto"/>
            </w:tcBorders>
            <w:vAlign w:val="center"/>
            <w:hideMark/>
          </w:tcPr>
          <w:p w14:paraId="3F3F6D50" w14:textId="77777777" w:rsidR="000D6335" w:rsidRPr="000D6335" w:rsidRDefault="000D6335" w:rsidP="000D6335">
            <w:pPr>
              <w:spacing w:after="0" w:line="240" w:lineRule="auto"/>
              <w:rPr>
                <w:rFonts w:ascii="Calibri" w:eastAsia="Times New Roman" w:hAnsi="Calibri" w:cs="Calibri"/>
                <w:color w:val="000000"/>
              </w:rPr>
            </w:pPr>
          </w:p>
        </w:tc>
        <w:tc>
          <w:tcPr>
            <w:tcW w:w="2477" w:type="dxa"/>
            <w:tcBorders>
              <w:top w:val="nil"/>
              <w:left w:val="nil"/>
              <w:bottom w:val="nil"/>
              <w:right w:val="single" w:sz="4" w:space="0" w:color="auto"/>
            </w:tcBorders>
            <w:shd w:val="clear" w:color="auto" w:fill="auto"/>
            <w:noWrap/>
            <w:vAlign w:val="bottom"/>
            <w:hideMark/>
          </w:tcPr>
          <w:p w14:paraId="7F515D51"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Post</w:t>
            </w:r>
          </w:p>
        </w:tc>
        <w:tc>
          <w:tcPr>
            <w:tcW w:w="2538" w:type="dxa"/>
            <w:tcBorders>
              <w:top w:val="nil"/>
              <w:left w:val="nil"/>
              <w:bottom w:val="single" w:sz="4" w:space="0" w:color="auto"/>
              <w:right w:val="nil"/>
            </w:tcBorders>
            <w:shd w:val="clear" w:color="auto" w:fill="auto"/>
            <w:noWrap/>
            <w:vAlign w:val="bottom"/>
            <w:hideMark/>
          </w:tcPr>
          <w:p w14:paraId="6F75E2A9"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-0.135</w:t>
            </w:r>
          </w:p>
        </w:tc>
        <w:tc>
          <w:tcPr>
            <w:tcW w:w="3438" w:type="dxa"/>
            <w:tcBorders>
              <w:top w:val="nil"/>
              <w:left w:val="nil"/>
              <w:bottom w:val="single" w:sz="4" w:space="0" w:color="auto"/>
              <w:right w:val="single" w:sz="4" w:space="0" w:color="auto"/>
            </w:tcBorders>
            <w:shd w:val="clear" w:color="auto" w:fill="auto"/>
            <w:noWrap/>
            <w:vAlign w:val="bottom"/>
            <w:hideMark/>
          </w:tcPr>
          <w:p w14:paraId="18855F83"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0.341</w:t>
            </w:r>
          </w:p>
        </w:tc>
      </w:tr>
      <w:tr w:rsidR="000D6335" w:rsidRPr="000D6335" w14:paraId="3B8D320E" w14:textId="77777777" w:rsidTr="000D6335">
        <w:trPr>
          <w:trHeight w:val="285"/>
        </w:trPr>
        <w:tc>
          <w:tcPr>
            <w:tcW w:w="1015" w:type="dxa"/>
            <w:tcBorders>
              <w:top w:val="nil"/>
              <w:left w:val="single" w:sz="4" w:space="0" w:color="auto"/>
              <w:bottom w:val="nil"/>
              <w:right w:val="single" w:sz="4" w:space="0" w:color="auto"/>
            </w:tcBorders>
            <w:shd w:val="clear" w:color="auto" w:fill="auto"/>
            <w:noWrap/>
            <w:vAlign w:val="bottom"/>
            <w:hideMark/>
          </w:tcPr>
          <w:p w14:paraId="5EF5AB6D"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 </w:t>
            </w:r>
          </w:p>
        </w:tc>
        <w:tc>
          <w:tcPr>
            <w:tcW w:w="2477" w:type="dxa"/>
            <w:tcBorders>
              <w:top w:val="nil"/>
              <w:left w:val="nil"/>
              <w:bottom w:val="nil"/>
              <w:right w:val="single" w:sz="4" w:space="0" w:color="auto"/>
            </w:tcBorders>
            <w:shd w:val="clear" w:color="auto" w:fill="auto"/>
            <w:noWrap/>
            <w:vAlign w:val="bottom"/>
            <w:hideMark/>
          </w:tcPr>
          <w:p w14:paraId="11BE6B5D"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Change</w:t>
            </w:r>
          </w:p>
        </w:tc>
        <w:tc>
          <w:tcPr>
            <w:tcW w:w="2538" w:type="dxa"/>
            <w:tcBorders>
              <w:top w:val="nil"/>
              <w:left w:val="nil"/>
              <w:bottom w:val="nil"/>
              <w:right w:val="nil"/>
            </w:tcBorders>
            <w:shd w:val="clear" w:color="auto" w:fill="auto"/>
            <w:noWrap/>
            <w:vAlign w:val="bottom"/>
            <w:hideMark/>
          </w:tcPr>
          <w:p w14:paraId="51297E70"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-0.063</w:t>
            </w:r>
          </w:p>
        </w:tc>
        <w:tc>
          <w:tcPr>
            <w:tcW w:w="3438" w:type="dxa"/>
            <w:tcBorders>
              <w:top w:val="nil"/>
              <w:left w:val="nil"/>
              <w:bottom w:val="nil"/>
              <w:right w:val="single" w:sz="4" w:space="0" w:color="auto"/>
            </w:tcBorders>
            <w:shd w:val="clear" w:color="auto" w:fill="auto"/>
            <w:noWrap/>
            <w:vAlign w:val="bottom"/>
            <w:hideMark/>
          </w:tcPr>
          <w:p w14:paraId="3FE47C9C"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-0.039</w:t>
            </w:r>
          </w:p>
        </w:tc>
      </w:tr>
      <w:tr w:rsidR="000D6335" w:rsidRPr="000D6335" w14:paraId="39EDF6B2" w14:textId="77777777" w:rsidTr="000D6335">
        <w:trPr>
          <w:trHeight w:val="285"/>
        </w:trPr>
        <w:tc>
          <w:tcPr>
            <w:tcW w:w="1015" w:type="dxa"/>
            <w:tcBorders>
              <w:top w:val="nil"/>
              <w:left w:val="single" w:sz="4" w:space="0" w:color="auto"/>
              <w:bottom w:val="single" w:sz="4" w:space="0" w:color="auto"/>
              <w:right w:val="single" w:sz="4" w:space="0" w:color="auto"/>
            </w:tcBorders>
            <w:shd w:val="clear" w:color="auto" w:fill="auto"/>
            <w:noWrap/>
            <w:vAlign w:val="bottom"/>
            <w:hideMark/>
          </w:tcPr>
          <w:p w14:paraId="32C62492"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 </w:t>
            </w:r>
          </w:p>
        </w:tc>
        <w:tc>
          <w:tcPr>
            <w:tcW w:w="2477" w:type="dxa"/>
            <w:tcBorders>
              <w:top w:val="nil"/>
              <w:left w:val="nil"/>
              <w:bottom w:val="single" w:sz="4" w:space="0" w:color="auto"/>
              <w:right w:val="single" w:sz="4" w:space="0" w:color="auto"/>
            </w:tcBorders>
            <w:shd w:val="clear" w:color="auto" w:fill="auto"/>
            <w:noWrap/>
            <w:vAlign w:val="bottom"/>
            <w:hideMark/>
          </w:tcPr>
          <w:p w14:paraId="7675B493"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Percentage Change</w:t>
            </w:r>
          </w:p>
        </w:tc>
        <w:tc>
          <w:tcPr>
            <w:tcW w:w="2538" w:type="dxa"/>
            <w:tcBorders>
              <w:top w:val="nil"/>
              <w:left w:val="nil"/>
              <w:bottom w:val="single" w:sz="4" w:space="0" w:color="auto"/>
              <w:right w:val="nil"/>
            </w:tcBorders>
            <w:shd w:val="clear" w:color="auto" w:fill="auto"/>
            <w:noWrap/>
            <w:vAlign w:val="bottom"/>
            <w:hideMark/>
          </w:tcPr>
          <w:p w14:paraId="1C9D6CCE"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88%</w:t>
            </w:r>
          </w:p>
        </w:tc>
        <w:tc>
          <w:tcPr>
            <w:tcW w:w="3438" w:type="dxa"/>
            <w:tcBorders>
              <w:top w:val="nil"/>
              <w:left w:val="nil"/>
              <w:bottom w:val="single" w:sz="4" w:space="0" w:color="auto"/>
              <w:right w:val="single" w:sz="4" w:space="0" w:color="auto"/>
            </w:tcBorders>
            <w:shd w:val="clear" w:color="auto" w:fill="auto"/>
            <w:noWrap/>
            <w:vAlign w:val="bottom"/>
            <w:hideMark/>
          </w:tcPr>
          <w:p w14:paraId="5E63E8FC"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-10%</w:t>
            </w:r>
          </w:p>
        </w:tc>
      </w:tr>
      <w:tr w:rsidR="000D6335" w:rsidRPr="000D6335" w14:paraId="139E650D" w14:textId="77777777" w:rsidTr="000D6335">
        <w:trPr>
          <w:trHeight w:val="285"/>
        </w:trPr>
        <w:tc>
          <w:tcPr>
            <w:tcW w:w="1015" w:type="dxa"/>
            <w:vMerge w:val="restart"/>
            <w:tcBorders>
              <w:top w:val="nil"/>
              <w:left w:val="single" w:sz="4" w:space="0" w:color="auto"/>
              <w:bottom w:val="nil"/>
              <w:right w:val="single" w:sz="4" w:space="0" w:color="auto"/>
            </w:tcBorders>
            <w:shd w:val="clear" w:color="auto" w:fill="auto"/>
            <w:noWrap/>
            <w:vAlign w:val="center"/>
            <w:hideMark/>
          </w:tcPr>
          <w:p w14:paraId="791DDAC2" w14:textId="77777777" w:rsidR="000D6335" w:rsidRPr="000D6335" w:rsidRDefault="000D6335" w:rsidP="000D6335">
            <w:pPr>
              <w:spacing w:after="0" w:line="240" w:lineRule="auto"/>
              <w:jc w:val="center"/>
              <w:rPr>
                <w:rFonts w:ascii="Calibri" w:eastAsia="Times New Roman" w:hAnsi="Calibri" w:cs="Calibri"/>
                <w:color w:val="000000"/>
              </w:rPr>
            </w:pPr>
            <w:r w:rsidRPr="000D6335">
              <w:rPr>
                <w:rFonts w:ascii="Calibri" w:eastAsia="Times New Roman" w:hAnsi="Calibri" w:cs="Calibri"/>
                <w:color w:val="000000"/>
              </w:rPr>
              <w:t>Shapley</w:t>
            </w:r>
          </w:p>
        </w:tc>
        <w:tc>
          <w:tcPr>
            <w:tcW w:w="2477" w:type="dxa"/>
            <w:tcBorders>
              <w:top w:val="nil"/>
              <w:left w:val="nil"/>
              <w:bottom w:val="nil"/>
              <w:right w:val="single" w:sz="4" w:space="0" w:color="auto"/>
            </w:tcBorders>
            <w:shd w:val="clear" w:color="auto" w:fill="auto"/>
            <w:noWrap/>
            <w:vAlign w:val="bottom"/>
            <w:hideMark/>
          </w:tcPr>
          <w:p w14:paraId="095E4B5A"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Pre</w:t>
            </w:r>
          </w:p>
        </w:tc>
        <w:tc>
          <w:tcPr>
            <w:tcW w:w="2538" w:type="dxa"/>
            <w:tcBorders>
              <w:top w:val="nil"/>
              <w:left w:val="nil"/>
              <w:bottom w:val="nil"/>
              <w:right w:val="nil"/>
            </w:tcBorders>
            <w:shd w:val="clear" w:color="auto" w:fill="auto"/>
            <w:noWrap/>
            <w:vAlign w:val="bottom"/>
            <w:hideMark/>
          </w:tcPr>
          <w:p w14:paraId="017D6D60"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2.06</w:t>
            </w:r>
          </w:p>
        </w:tc>
        <w:tc>
          <w:tcPr>
            <w:tcW w:w="3438" w:type="dxa"/>
            <w:tcBorders>
              <w:top w:val="nil"/>
              <w:left w:val="nil"/>
              <w:bottom w:val="nil"/>
              <w:right w:val="single" w:sz="4" w:space="0" w:color="auto"/>
            </w:tcBorders>
            <w:shd w:val="clear" w:color="auto" w:fill="auto"/>
            <w:noWrap/>
            <w:vAlign w:val="bottom"/>
            <w:hideMark/>
          </w:tcPr>
          <w:p w14:paraId="43D9BFC3"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78.91</w:t>
            </w:r>
          </w:p>
        </w:tc>
      </w:tr>
      <w:tr w:rsidR="000D6335" w:rsidRPr="000D6335" w14:paraId="3D316151" w14:textId="77777777" w:rsidTr="000D6335">
        <w:trPr>
          <w:trHeight w:val="285"/>
        </w:trPr>
        <w:tc>
          <w:tcPr>
            <w:tcW w:w="1015" w:type="dxa"/>
            <w:vMerge/>
            <w:tcBorders>
              <w:top w:val="nil"/>
              <w:left w:val="single" w:sz="4" w:space="0" w:color="auto"/>
              <w:bottom w:val="nil"/>
              <w:right w:val="single" w:sz="4" w:space="0" w:color="auto"/>
            </w:tcBorders>
            <w:vAlign w:val="center"/>
            <w:hideMark/>
          </w:tcPr>
          <w:p w14:paraId="3E974E0F" w14:textId="77777777" w:rsidR="000D6335" w:rsidRPr="000D6335" w:rsidRDefault="000D6335" w:rsidP="000D6335">
            <w:pPr>
              <w:spacing w:after="0" w:line="240" w:lineRule="auto"/>
              <w:rPr>
                <w:rFonts w:ascii="Calibri" w:eastAsia="Times New Roman" w:hAnsi="Calibri" w:cs="Calibri"/>
                <w:color w:val="000000"/>
              </w:rPr>
            </w:pPr>
          </w:p>
        </w:tc>
        <w:tc>
          <w:tcPr>
            <w:tcW w:w="2477" w:type="dxa"/>
            <w:tcBorders>
              <w:top w:val="nil"/>
              <w:left w:val="nil"/>
              <w:bottom w:val="nil"/>
              <w:right w:val="single" w:sz="4" w:space="0" w:color="auto"/>
            </w:tcBorders>
            <w:shd w:val="clear" w:color="auto" w:fill="auto"/>
            <w:noWrap/>
            <w:vAlign w:val="bottom"/>
            <w:hideMark/>
          </w:tcPr>
          <w:p w14:paraId="4D9A60FA"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Post</w:t>
            </w:r>
          </w:p>
        </w:tc>
        <w:tc>
          <w:tcPr>
            <w:tcW w:w="2538" w:type="dxa"/>
            <w:tcBorders>
              <w:top w:val="nil"/>
              <w:left w:val="nil"/>
              <w:bottom w:val="single" w:sz="4" w:space="0" w:color="auto"/>
              <w:right w:val="nil"/>
            </w:tcBorders>
            <w:shd w:val="clear" w:color="auto" w:fill="auto"/>
            <w:noWrap/>
            <w:vAlign w:val="bottom"/>
            <w:hideMark/>
          </w:tcPr>
          <w:p w14:paraId="36873442"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8.22</w:t>
            </w:r>
          </w:p>
        </w:tc>
        <w:tc>
          <w:tcPr>
            <w:tcW w:w="3438" w:type="dxa"/>
            <w:tcBorders>
              <w:top w:val="nil"/>
              <w:left w:val="nil"/>
              <w:bottom w:val="single" w:sz="4" w:space="0" w:color="auto"/>
              <w:right w:val="single" w:sz="4" w:space="0" w:color="auto"/>
            </w:tcBorders>
            <w:shd w:val="clear" w:color="auto" w:fill="auto"/>
            <w:noWrap/>
            <w:vAlign w:val="bottom"/>
            <w:hideMark/>
          </w:tcPr>
          <w:p w14:paraId="7BEC8EDB"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66.99</w:t>
            </w:r>
          </w:p>
        </w:tc>
      </w:tr>
      <w:tr w:rsidR="000D6335" w:rsidRPr="000D6335" w14:paraId="0A1C95F3" w14:textId="77777777" w:rsidTr="000D6335">
        <w:trPr>
          <w:trHeight w:val="285"/>
        </w:trPr>
        <w:tc>
          <w:tcPr>
            <w:tcW w:w="1015" w:type="dxa"/>
            <w:tcBorders>
              <w:top w:val="nil"/>
              <w:left w:val="single" w:sz="4" w:space="0" w:color="auto"/>
              <w:bottom w:val="nil"/>
              <w:right w:val="single" w:sz="4" w:space="0" w:color="auto"/>
            </w:tcBorders>
            <w:shd w:val="clear" w:color="auto" w:fill="auto"/>
            <w:noWrap/>
            <w:vAlign w:val="bottom"/>
            <w:hideMark/>
          </w:tcPr>
          <w:p w14:paraId="2A6F40B6"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 </w:t>
            </w:r>
          </w:p>
        </w:tc>
        <w:tc>
          <w:tcPr>
            <w:tcW w:w="2477" w:type="dxa"/>
            <w:tcBorders>
              <w:top w:val="nil"/>
              <w:left w:val="nil"/>
              <w:bottom w:val="nil"/>
              <w:right w:val="single" w:sz="4" w:space="0" w:color="auto"/>
            </w:tcBorders>
            <w:shd w:val="clear" w:color="auto" w:fill="auto"/>
            <w:noWrap/>
            <w:vAlign w:val="bottom"/>
            <w:hideMark/>
          </w:tcPr>
          <w:p w14:paraId="09124942"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Change</w:t>
            </w:r>
          </w:p>
        </w:tc>
        <w:tc>
          <w:tcPr>
            <w:tcW w:w="2538" w:type="dxa"/>
            <w:tcBorders>
              <w:top w:val="nil"/>
              <w:left w:val="nil"/>
              <w:bottom w:val="nil"/>
              <w:right w:val="nil"/>
            </w:tcBorders>
            <w:shd w:val="clear" w:color="auto" w:fill="auto"/>
            <w:noWrap/>
            <w:vAlign w:val="bottom"/>
            <w:hideMark/>
          </w:tcPr>
          <w:p w14:paraId="1D9112DD"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6.16</w:t>
            </w:r>
          </w:p>
        </w:tc>
        <w:tc>
          <w:tcPr>
            <w:tcW w:w="3438" w:type="dxa"/>
            <w:tcBorders>
              <w:top w:val="nil"/>
              <w:left w:val="nil"/>
              <w:bottom w:val="nil"/>
              <w:right w:val="single" w:sz="4" w:space="0" w:color="auto"/>
            </w:tcBorders>
            <w:shd w:val="clear" w:color="auto" w:fill="auto"/>
            <w:noWrap/>
            <w:vAlign w:val="bottom"/>
            <w:hideMark/>
          </w:tcPr>
          <w:p w14:paraId="618D705D"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-11.92</w:t>
            </w:r>
          </w:p>
        </w:tc>
      </w:tr>
      <w:tr w:rsidR="000D6335" w:rsidRPr="000D6335" w14:paraId="54CE9881" w14:textId="77777777" w:rsidTr="000D6335">
        <w:trPr>
          <w:trHeight w:val="285"/>
        </w:trPr>
        <w:tc>
          <w:tcPr>
            <w:tcW w:w="1015" w:type="dxa"/>
            <w:tcBorders>
              <w:top w:val="nil"/>
              <w:left w:val="single" w:sz="4" w:space="0" w:color="auto"/>
              <w:bottom w:val="single" w:sz="4" w:space="0" w:color="auto"/>
              <w:right w:val="single" w:sz="4" w:space="0" w:color="auto"/>
            </w:tcBorders>
            <w:shd w:val="clear" w:color="auto" w:fill="auto"/>
            <w:noWrap/>
            <w:vAlign w:val="bottom"/>
            <w:hideMark/>
          </w:tcPr>
          <w:p w14:paraId="05B14FEA"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 </w:t>
            </w:r>
          </w:p>
        </w:tc>
        <w:tc>
          <w:tcPr>
            <w:tcW w:w="2477" w:type="dxa"/>
            <w:tcBorders>
              <w:top w:val="nil"/>
              <w:left w:val="nil"/>
              <w:bottom w:val="single" w:sz="4" w:space="0" w:color="auto"/>
              <w:right w:val="single" w:sz="4" w:space="0" w:color="auto"/>
            </w:tcBorders>
            <w:shd w:val="clear" w:color="auto" w:fill="auto"/>
            <w:noWrap/>
            <w:vAlign w:val="bottom"/>
            <w:hideMark/>
          </w:tcPr>
          <w:p w14:paraId="7E53862B" w14:textId="77777777" w:rsidR="000D6335" w:rsidRPr="000D6335" w:rsidRDefault="000D6335" w:rsidP="000D6335">
            <w:pPr>
              <w:spacing w:after="0" w:line="240" w:lineRule="auto"/>
              <w:rPr>
                <w:rFonts w:ascii="Calibri" w:eastAsia="Times New Roman" w:hAnsi="Calibri" w:cs="Calibri"/>
                <w:color w:val="000000"/>
              </w:rPr>
            </w:pPr>
            <w:r w:rsidRPr="000D6335">
              <w:rPr>
                <w:rFonts w:ascii="Calibri" w:eastAsia="Times New Roman" w:hAnsi="Calibri" w:cs="Calibri"/>
                <w:color w:val="000000"/>
              </w:rPr>
              <w:t>Percentage Change</w:t>
            </w:r>
          </w:p>
        </w:tc>
        <w:tc>
          <w:tcPr>
            <w:tcW w:w="2538" w:type="dxa"/>
            <w:tcBorders>
              <w:top w:val="nil"/>
              <w:left w:val="nil"/>
              <w:bottom w:val="single" w:sz="4" w:space="0" w:color="auto"/>
              <w:right w:val="nil"/>
            </w:tcBorders>
            <w:shd w:val="clear" w:color="auto" w:fill="auto"/>
            <w:noWrap/>
            <w:vAlign w:val="bottom"/>
            <w:hideMark/>
          </w:tcPr>
          <w:p w14:paraId="654F085E" w14:textId="77777777" w:rsidR="000D6335" w:rsidRPr="000D6335" w:rsidRDefault="000D6335" w:rsidP="000D6335">
            <w:pPr>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299%</w:t>
            </w:r>
          </w:p>
        </w:tc>
        <w:tc>
          <w:tcPr>
            <w:tcW w:w="3438" w:type="dxa"/>
            <w:tcBorders>
              <w:top w:val="nil"/>
              <w:left w:val="nil"/>
              <w:bottom w:val="single" w:sz="4" w:space="0" w:color="auto"/>
              <w:right w:val="single" w:sz="4" w:space="0" w:color="auto"/>
            </w:tcBorders>
            <w:shd w:val="clear" w:color="auto" w:fill="auto"/>
            <w:noWrap/>
            <w:vAlign w:val="bottom"/>
            <w:hideMark/>
          </w:tcPr>
          <w:p w14:paraId="2400FBF4" w14:textId="77777777" w:rsidR="000D6335" w:rsidRPr="000D6335" w:rsidRDefault="000D6335" w:rsidP="000D6335">
            <w:pPr>
              <w:keepNext/>
              <w:spacing w:after="0" w:line="240" w:lineRule="auto"/>
              <w:jc w:val="right"/>
              <w:rPr>
                <w:rFonts w:ascii="Calibri" w:eastAsia="Times New Roman" w:hAnsi="Calibri" w:cs="Calibri"/>
                <w:color w:val="000000"/>
              </w:rPr>
            </w:pPr>
            <w:r w:rsidRPr="000D6335">
              <w:rPr>
                <w:rFonts w:ascii="Calibri" w:eastAsia="Times New Roman" w:hAnsi="Calibri" w:cs="Calibri"/>
                <w:color w:val="000000"/>
              </w:rPr>
              <w:t>-15%</w:t>
            </w:r>
          </w:p>
        </w:tc>
      </w:tr>
    </w:tbl>
    <w:p w14:paraId="14BD770A" w14:textId="77777777" w:rsidR="00947B5E" w:rsidRPr="000D6335" w:rsidRDefault="000D6335" w:rsidP="000D6335">
      <w:pPr>
        <w:pStyle w:val="Caption"/>
        <w:rPr>
          <w:sz w:val="24"/>
        </w:rPr>
      </w:pPr>
      <w:bookmarkStart w:id="31" w:name="_Toc515706952"/>
      <w:r w:rsidRPr="000D6335">
        <w:rPr>
          <w:sz w:val="24"/>
        </w:rPr>
        <w:t xml:space="preserve">Table </w:t>
      </w:r>
      <w:r w:rsidR="001B7EC5" w:rsidRPr="000D6335">
        <w:rPr>
          <w:sz w:val="24"/>
        </w:rPr>
        <w:fldChar w:fldCharType="begin"/>
      </w:r>
      <w:r w:rsidRPr="000D6335">
        <w:rPr>
          <w:sz w:val="24"/>
        </w:rPr>
        <w:instrText xml:space="preserve"> SEQ Table \* ARABIC </w:instrText>
      </w:r>
      <w:r w:rsidR="001B7EC5" w:rsidRPr="000D6335">
        <w:rPr>
          <w:sz w:val="24"/>
        </w:rPr>
        <w:fldChar w:fldCharType="separate"/>
      </w:r>
      <w:r w:rsidRPr="000D6335">
        <w:rPr>
          <w:sz w:val="24"/>
        </w:rPr>
        <w:t>13</w:t>
      </w:r>
      <w:r w:rsidR="001B7EC5" w:rsidRPr="000D6335">
        <w:rPr>
          <w:sz w:val="24"/>
        </w:rPr>
        <w:fldChar w:fldCharType="end"/>
      </w:r>
      <w:r w:rsidRPr="000D6335">
        <w:rPr>
          <w:sz w:val="24"/>
        </w:rPr>
        <w:t>: Comparative changes in predictors</w:t>
      </w:r>
      <w:bookmarkEnd w:id="31"/>
    </w:p>
    <w:p w14:paraId="438C7CDF" w14:textId="028B00E2" w:rsidR="00D543CE" w:rsidRDefault="00BD40C0" w:rsidP="00976C09">
      <w:pPr>
        <w:spacing w:before="240" w:line="360" w:lineRule="auto"/>
        <w:jc w:val="both"/>
        <w:rPr>
          <w:rFonts w:eastAsia="Times New Roman" w:cstheme="minorHAnsi"/>
        </w:rPr>
      </w:pPr>
      <w:r>
        <w:lastRenderedPageBreak/>
        <w:t xml:space="preserve">The coefficient </w:t>
      </w:r>
      <w:r w:rsidR="009856F5">
        <w:t xml:space="preserve">of </w:t>
      </w:r>
      <w:r w:rsidR="00C5300E">
        <w:t>d</w:t>
      </w:r>
      <w:r w:rsidR="009856F5" w:rsidRPr="007E7EC7">
        <w:t>examethasone</w:t>
      </w:r>
      <w:r w:rsidR="009856F5">
        <w:t xml:space="preserve"> in </w:t>
      </w:r>
      <w:r w:rsidR="005E4D83">
        <w:t>Pre-CSW</w:t>
      </w:r>
      <w:r w:rsidR="009C63DD">
        <w:t xml:space="preserve"> and </w:t>
      </w:r>
      <w:r w:rsidR="005E4D83">
        <w:t>Post-CSW</w:t>
      </w:r>
      <w:r w:rsidR="009C63DD">
        <w:t xml:space="preserve"> </w:t>
      </w:r>
      <w:r w:rsidR="00AB2BCE">
        <w:t>changed</w:t>
      </w:r>
      <w:r w:rsidR="00D132C2">
        <w:t xml:space="preserve"> from </w:t>
      </w:r>
      <w:r w:rsidR="00233A3D">
        <w:t>-0.072 to -0.13</w:t>
      </w:r>
      <w:r w:rsidR="005C4A0B">
        <w:t xml:space="preserve"> which </w:t>
      </w:r>
      <w:r w:rsidR="00A115DC">
        <w:t xml:space="preserve">indicates that </w:t>
      </w:r>
      <w:r w:rsidR="00433B43">
        <w:t xml:space="preserve">for </w:t>
      </w:r>
      <w:r w:rsidR="008259C1">
        <w:t xml:space="preserve">each </w:t>
      </w:r>
      <w:r w:rsidR="00433B43">
        <w:t xml:space="preserve">1% increase in </w:t>
      </w:r>
      <w:bookmarkStart w:id="32" w:name="_Hlk515660683"/>
      <w:r w:rsidR="005C2B2F">
        <w:t>d</w:t>
      </w:r>
      <w:r w:rsidR="00433B43" w:rsidRPr="007E7EC7">
        <w:t>examethasone</w:t>
      </w:r>
      <w:r w:rsidR="00433B43">
        <w:t xml:space="preserve"> </w:t>
      </w:r>
      <w:bookmarkEnd w:id="32"/>
      <w:r w:rsidR="00433B43">
        <w:t xml:space="preserve">usage, </w:t>
      </w:r>
      <w:r w:rsidR="00BE4EC9">
        <w:t xml:space="preserve">the admission rate reduction </w:t>
      </w:r>
      <w:r w:rsidR="008259C1">
        <w:t xml:space="preserve">declines </w:t>
      </w:r>
      <w:r w:rsidR="00BE4EC9">
        <w:t xml:space="preserve">from </w:t>
      </w:r>
      <w:r w:rsidR="008C231C">
        <w:t>0.072% to 0.13%</w:t>
      </w:r>
      <w:r w:rsidR="00FE1B72">
        <w:t xml:space="preserve"> </w:t>
      </w:r>
      <w:r w:rsidR="009C63DD">
        <w:t xml:space="preserve">holding </w:t>
      </w:r>
      <w:r w:rsidR="00FE1B72">
        <w:t>all other variables</w:t>
      </w:r>
      <w:r w:rsidR="00AB2BCE">
        <w:t xml:space="preserve"> constant</w:t>
      </w:r>
      <w:r w:rsidR="000D6335">
        <w:t xml:space="preserve">. This an 88% </w:t>
      </w:r>
      <w:r w:rsidR="00AB2BCE">
        <w:t xml:space="preserve">change </w:t>
      </w:r>
      <w:r w:rsidR="000D6335">
        <w:t>in correlation</w:t>
      </w:r>
      <w:r w:rsidR="00AB2BCE">
        <w:t xml:space="preserve">. </w:t>
      </w:r>
    </w:p>
    <w:bookmarkEnd w:id="30"/>
    <w:p w14:paraId="7F9F405D" w14:textId="77777777" w:rsidR="00692136" w:rsidRDefault="00A85FA1" w:rsidP="00F9087D">
      <w:pPr>
        <w:spacing w:before="240" w:line="240" w:lineRule="auto"/>
        <w:jc w:val="both"/>
      </w:pPr>
      <w:r>
        <w:rPr>
          <w:noProof/>
        </w:rPr>
        <w:drawing>
          <wp:inline distT="0" distB="0" distL="0" distR="0" wp14:anchorId="18D32E0B" wp14:editId="789A0A73">
            <wp:extent cx="3648075" cy="199072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3648075" cy="1990725"/>
                    </a:xfrm>
                    <a:prstGeom prst="rect">
                      <a:avLst/>
                    </a:prstGeom>
                  </pic:spPr>
                </pic:pic>
              </a:graphicData>
            </a:graphic>
          </wp:inline>
        </w:drawing>
      </w:r>
    </w:p>
    <w:p w14:paraId="1B752952" w14:textId="23C147E1" w:rsidR="00D550F8" w:rsidRPr="0024445D" w:rsidRDefault="00BF0A09" w:rsidP="0024445D">
      <w:pPr>
        <w:pStyle w:val="Caption"/>
        <w:rPr>
          <w:sz w:val="24"/>
        </w:rPr>
      </w:pPr>
      <w:bookmarkStart w:id="33" w:name="_Ref512646179"/>
      <w:bookmarkStart w:id="34" w:name="_Ref512646437"/>
      <w:bookmarkStart w:id="35" w:name="_Toc515706953"/>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14</w:t>
      </w:r>
      <w:r w:rsidR="001B7EC5">
        <w:rPr>
          <w:sz w:val="24"/>
        </w:rPr>
        <w:fldChar w:fldCharType="end"/>
      </w:r>
      <w:r w:rsidRPr="0024445D">
        <w:rPr>
          <w:sz w:val="24"/>
        </w:rPr>
        <w:t>:</w:t>
      </w:r>
      <w:r w:rsidR="009C63DD">
        <w:rPr>
          <w:sz w:val="24"/>
        </w:rPr>
        <w:t xml:space="preserve"> </w:t>
      </w:r>
      <w:r w:rsidRPr="0024445D">
        <w:rPr>
          <w:sz w:val="24"/>
        </w:rPr>
        <w:t>O</w:t>
      </w:r>
      <w:r w:rsidR="00FE1D56" w:rsidRPr="0024445D">
        <w:rPr>
          <w:sz w:val="24"/>
        </w:rPr>
        <w:t xml:space="preserve">rdinary </w:t>
      </w:r>
      <w:r w:rsidRPr="0024445D">
        <w:rPr>
          <w:sz w:val="24"/>
        </w:rPr>
        <w:t>L</w:t>
      </w:r>
      <w:r w:rsidR="00FE1D56" w:rsidRPr="0024445D">
        <w:rPr>
          <w:sz w:val="24"/>
        </w:rPr>
        <w:t xml:space="preserve">east </w:t>
      </w:r>
      <w:r w:rsidRPr="0024445D">
        <w:rPr>
          <w:sz w:val="24"/>
        </w:rPr>
        <w:t>S</w:t>
      </w:r>
      <w:r w:rsidR="00FE1D56" w:rsidRPr="0024445D">
        <w:rPr>
          <w:sz w:val="24"/>
        </w:rPr>
        <w:t>quares</w:t>
      </w:r>
      <w:r w:rsidRPr="0024445D">
        <w:rPr>
          <w:sz w:val="24"/>
        </w:rPr>
        <w:t xml:space="preserve"> applied to Admission Rate</w:t>
      </w:r>
      <w:bookmarkEnd w:id="33"/>
      <w:r w:rsidR="00947BF5" w:rsidRPr="0024445D">
        <w:rPr>
          <w:sz w:val="24"/>
        </w:rPr>
        <w:t xml:space="preserve"> (</w:t>
      </w:r>
      <w:r w:rsidR="005E4D83">
        <w:rPr>
          <w:sz w:val="24"/>
        </w:rPr>
        <w:t>Pre-CSW</w:t>
      </w:r>
      <w:r w:rsidR="00947BF5" w:rsidRPr="0024445D">
        <w:rPr>
          <w:sz w:val="24"/>
        </w:rPr>
        <w:t>)</w:t>
      </w:r>
      <w:bookmarkEnd w:id="34"/>
      <w:bookmarkEnd w:id="35"/>
    </w:p>
    <w:p w14:paraId="78BEFA3D" w14:textId="2DE0A246" w:rsidR="00D950A1" w:rsidRDefault="005C5D87" w:rsidP="00F9087D">
      <w:pPr>
        <w:keepNext/>
        <w:spacing w:before="240" w:line="240" w:lineRule="auto"/>
        <w:jc w:val="both"/>
      </w:pPr>
      <w:r w:rsidRPr="005C5D87">
        <w:rPr>
          <w:noProof/>
        </w:rPr>
        <w:t xml:space="preserve"> </w:t>
      </w:r>
      <w:r w:rsidR="00220D97" w:rsidRPr="00220D97">
        <w:rPr>
          <w:noProof/>
        </w:rPr>
        <w:t xml:space="preserve"> </w:t>
      </w:r>
      <w:r w:rsidR="00D07BAB">
        <w:rPr>
          <w:noProof/>
        </w:rPr>
        <w:drawing>
          <wp:inline distT="0" distB="0" distL="0" distR="0" wp14:anchorId="1DBE15EC" wp14:editId="205BC4F2">
            <wp:extent cx="3733800" cy="1981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733800" cy="1981200"/>
                    </a:xfrm>
                    <a:prstGeom prst="rect">
                      <a:avLst/>
                    </a:prstGeom>
                  </pic:spPr>
                </pic:pic>
              </a:graphicData>
            </a:graphic>
          </wp:inline>
        </w:drawing>
      </w:r>
    </w:p>
    <w:p w14:paraId="5192F2FD" w14:textId="19EA733B" w:rsidR="00E82CCC" w:rsidRPr="0024445D" w:rsidRDefault="00D950A1" w:rsidP="0024445D">
      <w:pPr>
        <w:pStyle w:val="Caption"/>
        <w:rPr>
          <w:sz w:val="24"/>
        </w:rPr>
      </w:pPr>
      <w:bookmarkStart w:id="36" w:name="_Ref512646409"/>
      <w:bookmarkStart w:id="37" w:name="_Toc515706954"/>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15</w:t>
      </w:r>
      <w:r w:rsidR="001B7EC5">
        <w:rPr>
          <w:sz w:val="24"/>
        </w:rPr>
        <w:fldChar w:fldCharType="end"/>
      </w:r>
      <w:r w:rsidRPr="0024445D">
        <w:rPr>
          <w:sz w:val="24"/>
        </w:rPr>
        <w:t xml:space="preserve">: </w:t>
      </w:r>
      <w:r w:rsidR="005A16AB" w:rsidRPr="0024445D">
        <w:rPr>
          <w:sz w:val="24"/>
        </w:rPr>
        <w:t>Ordinary Least Squares</w:t>
      </w:r>
      <w:r w:rsidR="005A16AB" w:rsidRPr="0024445D" w:rsidDel="005A16AB">
        <w:rPr>
          <w:sz w:val="24"/>
        </w:rPr>
        <w:t xml:space="preserve"> </w:t>
      </w:r>
      <w:r w:rsidRPr="0024445D">
        <w:rPr>
          <w:sz w:val="24"/>
        </w:rPr>
        <w:t>applied to Admission Rate (</w:t>
      </w:r>
      <w:r w:rsidR="005E4D83">
        <w:rPr>
          <w:sz w:val="24"/>
        </w:rPr>
        <w:t>Post-CSW</w:t>
      </w:r>
      <w:r w:rsidRPr="0024445D">
        <w:rPr>
          <w:sz w:val="24"/>
        </w:rPr>
        <w:t>)</w:t>
      </w:r>
      <w:bookmarkEnd w:id="36"/>
      <w:bookmarkEnd w:id="37"/>
    </w:p>
    <w:p w14:paraId="0D80C56E" w14:textId="77777777" w:rsidR="00E82CCC" w:rsidRDefault="00283DAF" w:rsidP="00A153A6">
      <w:pPr>
        <w:pStyle w:val="Heading3"/>
      </w:pPr>
      <w:r>
        <w:t>I</w:t>
      </w:r>
      <w:r w:rsidR="00A153A6" w:rsidRPr="001E4580">
        <w:t xml:space="preserve">npatients </w:t>
      </w:r>
      <w:r>
        <w:t>L</w:t>
      </w:r>
      <w:r w:rsidR="00A153A6" w:rsidRPr="001E4580">
        <w:t xml:space="preserve">ength-of </w:t>
      </w:r>
      <w:r>
        <w:t>S</w:t>
      </w:r>
      <w:r w:rsidR="00A153A6" w:rsidRPr="001E4580">
        <w:t>tay (LOS)</w:t>
      </w:r>
    </w:p>
    <w:p w14:paraId="2022C78F" w14:textId="77777777" w:rsidR="008C68FF" w:rsidRDefault="00583FA7" w:rsidP="00F25B5C">
      <w:pPr>
        <w:keepNext/>
        <w:spacing w:line="360" w:lineRule="auto"/>
        <w:jc w:val="both"/>
      </w:pPr>
      <w:r>
        <w:t>O</w:t>
      </w:r>
      <w:r w:rsidR="00525BDA">
        <w:t xml:space="preserve">rdinary </w:t>
      </w:r>
      <w:r>
        <w:t>L</w:t>
      </w:r>
      <w:r w:rsidR="00525BDA">
        <w:t xml:space="preserve">east </w:t>
      </w:r>
      <w:r>
        <w:t>S</w:t>
      </w:r>
      <w:r w:rsidR="00525BDA">
        <w:t>quare</w:t>
      </w:r>
      <w:r w:rsidR="003F5E62">
        <w:t xml:space="preserve"> (OLS)</w:t>
      </w:r>
      <w:r>
        <w:t xml:space="preserve"> </w:t>
      </w:r>
      <w:r w:rsidR="00D00A63">
        <w:t xml:space="preserve">for Inpatients Length of Stay </w:t>
      </w:r>
      <w:r w:rsidR="008259C1">
        <w:t xml:space="preserve">in </w:t>
      </w:r>
      <w:r w:rsidR="00D00A63">
        <w:t xml:space="preserve">these datasets has </w:t>
      </w:r>
      <w:r w:rsidR="008259C1">
        <w:t xml:space="preserve">a larger </w:t>
      </w:r>
      <w:r w:rsidRPr="00583FA7">
        <w:t>share</w:t>
      </w:r>
      <w:r w:rsidR="00D00A63">
        <w:t>s</w:t>
      </w:r>
      <w:r w:rsidRPr="00583FA7">
        <w:t xml:space="preserve"> of explained variance</w:t>
      </w:r>
      <w:r w:rsidR="00D00A63">
        <w:t xml:space="preserve"> than in </w:t>
      </w:r>
      <w:r w:rsidR="008259C1">
        <w:t xml:space="preserve">the </w:t>
      </w:r>
      <w:r w:rsidR="00601EE3">
        <w:t>Admission Rate</w:t>
      </w:r>
      <w:r w:rsidR="008259C1">
        <w:t xml:space="preserve"> analysis</w:t>
      </w:r>
      <w:r w:rsidR="00601EE3">
        <w:t xml:space="preserve">, </w:t>
      </w:r>
      <w:r w:rsidR="00531ADB">
        <w:t xml:space="preserve">but the predicting power of </w:t>
      </w:r>
      <w:r w:rsidR="00C5300E">
        <w:t>d</w:t>
      </w:r>
      <w:r w:rsidR="00F44117" w:rsidRPr="007E7EC7">
        <w:t>examethasone</w:t>
      </w:r>
      <w:r w:rsidR="00F44117">
        <w:t xml:space="preserve"> is dwarfed by that of </w:t>
      </w:r>
      <w:r w:rsidR="00815B5F">
        <w:rPr>
          <w:rFonts w:eastAsia="Times New Roman" w:cstheme="minorHAnsi"/>
        </w:rPr>
        <w:t>r</w:t>
      </w:r>
      <w:r w:rsidR="00F44117" w:rsidRPr="00AD463D">
        <w:rPr>
          <w:rFonts w:eastAsia="Times New Roman" w:cstheme="minorHAnsi"/>
        </w:rPr>
        <w:t xml:space="preserve">acemic </w:t>
      </w:r>
      <w:r w:rsidR="00815B5F">
        <w:rPr>
          <w:rFonts w:eastAsia="Times New Roman" w:cstheme="minorHAnsi"/>
        </w:rPr>
        <w:t>e</w:t>
      </w:r>
      <w:r w:rsidR="00F44117" w:rsidRPr="00AD463D">
        <w:rPr>
          <w:rFonts w:eastAsia="Times New Roman" w:cstheme="minorHAnsi"/>
        </w:rPr>
        <w:t>pinephrine</w:t>
      </w:r>
      <w:r w:rsidR="00430656">
        <w:rPr>
          <w:rFonts w:eastAsia="Times New Roman" w:cstheme="minorHAnsi"/>
        </w:rPr>
        <w:t xml:space="preserve"> (cf. </w:t>
      </w:r>
      <w:r w:rsidR="0010201C">
        <w:rPr>
          <w:rFonts w:eastAsia="Times New Roman" w:cstheme="minorHAnsi"/>
        </w:rPr>
        <w:t>“</w:t>
      </w:r>
      <w:r w:rsidR="001B7EC5">
        <w:rPr>
          <w:rFonts w:eastAsia="Times New Roman" w:cstheme="minorHAnsi"/>
        </w:rPr>
        <w:fldChar w:fldCharType="begin"/>
      </w:r>
      <w:r w:rsidR="003A0DD4">
        <w:rPr>
          <w:rFonts w:eastAsia="Times New Roman" w:cstheme="minorHAnsi"/>
        </w:rPr>
        <w:instrText xml:space="preserve"> REF _Ref512650791 \h </w:instrText>
      </w:r>
      <w:r w:rsidR="001B7EC5">
        <w:rPr>
          <w:rFonts w:eastAsia="Times New Roman" w:cstheme="minorHAnsi"/>
        </w:rPr>
      </w:r>
      <w:r w:rsidR="001B7EC5">
        <w:rPr>
          <w:rFonts w:eastAsia="Times New Roman" w:cstheme="minorHAnsi"/>
        </w:rPr>
        <w:fldChar w:fldCharType="separate"/>
      </w:r>
      <w:r w:rsidR="003A0DD4">
        <w:t xml:space="preserve">Table </w:t>
      </w:r>
      <w:r w:rsidR="003A0DD4">
        <w:rPr>
          <w:noProof/>
        </w:rPr>
        <w:t>15</w:t>
      </w:r>
      <w:r w:rsidR="003A0DD4">
        <w:t>: OLS on Length of Stay</w:t>
      </w:r>
      <w:r w:rsidR="003A0DD4">
        <w:rPr>
          <w:noProof/>
        </w:rPr>
        <w:t xml:space="preserve"> </w:t>
      </w:r>
      <w:r w:rsidR="005E4D83">
        <w:rPr>
          <w:noProof/>
        </w:rPr>
        <w:t>Pre-CSW</w:t>
      </w:r>
      <w:r w:rsidR="001B7EC5">
        <w:rPr>
          <w:rFonts w:eastAsia="Times New Roman" w:cstheme="minorHAnsi"/>
        </w:rPr>
        <w:fldChar w:fldCharType="end"/>
      </w:r>
      <w:r w:rsidR="0010201C">
        <w:rPr>
          <w:rFonts w:eastAsia="Times New Roman" w:cstheme="minorHAnsi"/>
        </w:rPr>
        <w:t>”</w:t>
      </w:r>
      <w:r w:rsidR="003A0DD4">
        <w:rPr>
          <w:rFonts w:eastAsia="Times New Roman" w:cstheme="minorHAnsi"/>
        </w:rPr>
        <w:t xml:space="preserve"> and </w:t>
      </w:r>
      <w:r w:rsidR="0010201C">
        <w:rPr>
          <w:rFonts w:eastAsia="Times New Roman" w:cstheme="minorHAnsi"/>
        </w:rPr>
        <w:t>“</w:t>
      </w:r>
      <w:r w:rsidR="001B7EC5">
        <w:rPr>
          <w:rFonts w:eastAsia="Times New Roman" w:cstheme="minorHAnsi"/>
        </w:rPr>
        <w:fldChar w:fldCharType="begin"/>
      </w:r>
      <w:r w:rsidR="003A0DD4">
        <w:rPr>
          <w:rFonts w:eastAsia="Times New Roman" w:cstheme="minorHAnsi"/>
        </w:rPr>
        <w:instrText xml:space="preserve"> REF _Ref512650832 \h </w:instrText>
      </w:r>
      <w:r w:rsidR="001B7EC5">
        <w:rPr>
          <w:rFonts w:eastAsia="Times New Roman" w:cstheme="minorHAnsi"/>
        </w:rPr>
      </w:r>
      <w:r w:rsidR="001B7EC5">
        <w:rPr>
          <w:rFonts w:eastAsia="Times New Roman" w:cstheme="minorHAnsi"/>
        </w:rPr>
        <w:fldChar w:fldCharType="separate"/>
      </w:r>
      <w:r w:rsidR="003A0DD4">
        <w:t xml:space="preserve">Table </w:t>
      </w:r>
      <w:r w:rsidR="003A0DD4">
        <w:rPr>
          <w:noProof/>
        </w:rPr>
        <w:t>16</w:t>
      </w:r>
      <w:r w:rsidR="003A0DD4">
        <w:t xml:space="preserve">: </w:t>
      </w:r>
      <w:r w:rsidR="003A0DD4" w:rsidRPr="007A7D03">
        <w:t xml:space="preserve">OLS on Length of Stay </w:t>
      </w:r>
      <w:r w:rsidR="005E4D83">
        <w:t>Post-CSW</w:t>
      </w:r>
      <w:r w:rsidR="001B7EC5">
        <w:rPr>
          <w:rFonts w:eastAsia="Times New Roman" w:cstheme="minorHAnsi"/>
        </w:rPr>
        <w:fldChar w:fldCharType="end"/>
      </w:r>
      <w:r w:rsidR="0010201C">
        <w:rPr>
          <w:rFonts w:eastAsia="Times New Roman" w:cstheme="minorHAnsi"/>
        </w:rPr>
        <w:t>”</w:t>
      </w:r>
      <w:r w:rsidR="003A0DD4">
        <w:rPr>
          <w:rFonts w:eastAsia="Times New Roman" w:cstheme="minorHAnsi"/>
        </w:rPr>
        <w:t xml:space="preserve"> </w:t>
      </w:r>
      <w:r w:rsidR="00815B5F">
        <w:rPr>
          <w:rFonts w:eastAsia="Times New Roman" w:cstheme="minorHAnsi"/>
        </w:rPr>
        <w:t>[</w:t>
      </w:r>
      <w:r w:rsidR="0010201C">
        <w:rPr>
          <w:rFonts w:eastAsia="Times New Roman" w:cstheme="minorHAnsi"/>
        </w:rPr>
        <w:t>Racemic epinephrine</w:t>
      </w:r>
      <w:r w:rsidR="00815B5F">
        <w:rPr>
          <w:rFonts w:eastAsia="Times New Roman" w:cstheme="minorHAnsi"/>
        </w:rPr>
        <w:t xml:space="preserve"> (83.25%), D</w:t>
      </w:r>
      <w:r w:rsidR="0010201C">
        <w:rPr>
          <w:rFonts w:eastAsia="Times New Roman" w:cstheme="minorHAnsi"/>
        </w:rPr>
        <w:t>examethasone</w:t>
      </w:r>
      <w:r w:rsidR="00815B5F">
        <w:rPr>
          <w:rFonts w:eastAsia="Times New Roman" w:cstheme="minorHAnsi"/>
        </w:rPr>
        <w:t xml:space="preserve"> (0.13%)]</w:t>
      </w:r>
      <w:r w:rsidR="00F44117">
        <w:rPr>
          <w:rFonts w:eastAsia="Times New Roman" w:cstheme="minorHAnsi"/>
        </w:rPr>
        <w:t xml:space="preserve">. </w:t>
      </w:r>
      <w:r w:rsidR="008C68FF">
        <w:rPr>
          <w:rFonts w:eastAsia="Times New Roman" w:cstheme="minorHAnsi"/>
        </w:rPr>
        <w:t xml:space="preserve">However, with </w:t>
      </w:r>
      <w:r w:rsidR="005E4D83">
        <w:rPr>
          <w:rFonts w:eastAsia="Times New Roman" w:cstheme="minorHAnsi"/>
        </w:rPr>
        <w:t>Pre-CSW</w:t>
      </w:r>
      <w:r w:rsidR="009C63DD">
        <w:rPr>
          <w:rFonts w:eastAsia="Times New Roman" w:cstheme="minorHAnsi"/>
        </w:rPr>
        <w:t xml:space="preserve"> and </w:t>
      </w:r>
      <w:r w:rsidR="005E4D83">
        <w:rPr>
          <w:rFonts w:eastAsia="Times New Roman" w:cstheme="minorHAnsi"/>
        </w:rPr>
        <w:lastRenderedPageBreak/>
        <w:t>Post-CSW</w:t>
      </w:r>
      <w:r w:rsidR="009C63DD">
        <w:rPr>
          <w:rFonts w:eastAsia="Times New Roman" w:cstheme="minorHAnsi"/>
        </w:rPr>
        <w:t xml:space="preserve"> </w:t>
      </w:r>
      <w:r w:rsidR="008C68FF">
        <w:rPr>
          <w:rFonts w:eastAsia="Times New Roman" w:cstheme="minorHAnsi"/>
        </w:rPr>
        <w:t>p-value &gt; 0</w:t>
      </w:r>
      <w:r w:rsidR="00231A3B">
        <w:rPr>
          <w:rFonts w:eastAsia="Times New Roman" w:cstheme="minorHAnsi"/>
        </w:rPr>
        <w:t>.</w:t>
      </w:r>
      <w:r w:rsidR="008C68FF">
        <w:rPr>
          <w:rFonts w:eastAsia="Times New Roman" w:cstheme="minorHAnsi"/>
        </w:rPr>
        <w:t xml:space="preserve">05, we cannot put forward conclusive statements regarding the impact of </w:t>
      </w:r>
      <w:r w:rsidR="00231A3B">
        <w:t>d</w:t>
      </w:r>
      <w:r w:rsidR="008C68FF" w:rsidRPr="007E7EC7">
        <w:t>examethasone</w:t>
      </w:r>
      <w:r w:rsidR="008C68FF">
        <w:t xml:space="preserve"> in this study. </w:t>
      </w:r>
      <w:r w:rsidR="009D61FE">
        <w:t>Further analysis is required.</w:t>
      </w:r>
    </w:p>
    <w:p w14:paraId="714E6E12" w14:textId="77777777" w:rsidR="0076517B" w:rsidRDefault="002E241F" w:rsidP="0076517B">
      <w:pPr>
        <w:keepNext/>
      </w:pPr>
      <w:r w:rsidRPr="002E241F">
        <w:rPr>
          <w:noProof/>
        </w:rPr>
        <w:t xml:space="preserve"> </w:t>
      </w:r>
      <w:r>
        <w:rPr>
          <w:noProof/>
        </w:rPr>
        <w:drawing>
          <wp:inline distT="0" distB="0" distL="0" distR="0" wp14:anchorId="1D0AF340" wp14:editId="4822ABA7">
            <wp:extent cx="3638550" cy="19812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3638550" cy="1981200"/>
                    </a:xfrm>
                    <a:prstGeom prst="rect">
                      <a:avLst/>
                    </a:prstGeom>
                  </pic:spPr>
                </pic:pic>
              </a:graphicData>
            </a:graphic>
          </wp:inline>
        </w:drawing>
      </w:r>
    </w:p>
    <w:p w14:paraId="68E1A06C" w14:textId="7954BA8C" w:rsidR="001A5E45" w:rsidRPr="0024445D" w:rsidRDefault="0076517B" w:rsidP="0076517B">
      <w:pPr>
        <w:pStyle w:val="Caption"/>
        <w:rPr>
          <w:sz w:val="24"/>
        </w:rPr>
      </w:pPr>
      <w:bookmarkStart w:id="38" w:name="_Ref512650791"/>
      <w:bookmarkStart w:id="39" w:name="_Toc515706955"/>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16</w:t>
      </w:r>
      <w:r w:rsidR="001B7EC5">
        <w:rPr>
          <w:sz w:val="24"/>
        </w:rPr>
        <w:fldChar w:fldCharType="end"/>
      </w:r>
      <w:r w:rsidRPr="0024445D">
        <w:rPr>
          <w:sz w:val="24"/>
        </w:rPr>
        <w:t xml:space="preserve">: </w:t>
      </w:r>
      <w:r w:rsidR="00377DB5" w:rsidRPr="0024445D">
        <w:rPr>
          <w:sz w:val="24"/>
        </w:rPr>
        <w:t>Ordinary Least Squares</w:t>
      </w:r>
      <w:r w:rsidR="00377DB5" w:rsidRPr="0024445D" w:rsidDel="00377DB5">
        <w:rPr>
          <w:sz w:val="24"/>
        </w:rPr>
        <w:t xml:space="preserve"> </w:t>
      </w:r>
      <w:r w:rsidRPr="0024445D">
        <w:rPr>
          <w:sz w:val="24"/>
        </w:rPr>
        <w:t xml:space="preserve">on Length of Stay </w:t>
      </w:r>
      <w:bookmarkEnd w:id="38"/>
      <w:r w:rsidR="005E4D83">
        <w:rPr>
          <w:sz w:val="24"/>
        </w:rPr>
        <w:t>Pre-CSW</w:t>
      </w:r>
      <w:bookmarkEnd w:id="39"/>
    </w:p>
    <w:p w14:paraId="32D4410D" w14:textId="77777777" w:rsidR="00DA3A1C" w:rsidRPr="00F9087D" w:rsidRDefault="00DA3A1C" w:rsidP="00F9087D"/>
    <w:p w14:paraId="13D06631" w14:textId="5E33D761" w:rsidR="0076517B" w:rsidRDefault="00225DD4" w:rsidP="0076517B">
      <w:pPr>
        <w:keepNext/>
      </w:pPr>
      <w:r w:rsidRPr="00225DD4">
        <w:rPr>
          <w:noProof/>
        </w:rPr>
        <w:t xml:space="preserve"> </w:t>
      </w:r>
      <w:r w:rsidR="00277C4F" w:rsidRPr="00277C4F">
        <w:rPr>
          <w:noProof/>
        </w:rPr>
        <w:t xml:space="preserve"> </w:t>
      </w:r>
      <w:r w:rsidR="00973E28">
        <w:rPr>
          <w:noProof/>
        </w:rPr>
        <w:drawing>
          <wp:inline distT="0" distB="0" distL="0" distR="0" wp14:anchorId="0E0FCD38" wp14:editId="0F40A55A">
            <wp:extent cx="3705225" cy="19431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705225" cy="1943100"/>
                    </a:xfrm>
                    <a:prstGeom prst="rect">
                      <a:avLst/>
                    </a:prstGeom>
                  </pic:spPr>
                </pic:pic>
              </a:graphicData>
            </a:graphic>
          </wp:inline>
        </w:drawing>
      </w:r>
    </w:p>
    <w:p w14:paraId="3CED30CE" w14:textId="2177A3CF" w:rsidR="00E81D2C" w:rsidRPr="0024445D" w:rsidRDefault="0076517B" w:rsidP="0076517B">
      <w:pPr>
        <w:pStyle w:val="Caption"/>
        <w:rPr>
          <w:sz w:val="24"/>
        </w:rPr>
      </w:pPr>
      <w:bookmarkStart w:id="40" w:name="_Ref512650832"/>
      <w:bookmarkStart w:id="41" w:name="_Toc515706956"/>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17</w:t>
      </w:r>
      <w:r w:rsidR="001B7EC5">
        <w:rPr>
          <w:sz w:val="24"/>
        </w:rPr>
        <w:fldChar w:fldCharType="end"/>
      </w:r>
      <w:r w:rsidRPr="0024445D">
        <w:rPr>
          <w:sz w:val="24"/>
        </w:rPr>
        <w:t xml:space="preserve">: </w:t>
      </w:r>
      <w:r w:rsidR="00525DEE" w:rsidRPr="0024445D">
        <w:rPr>
          <w:sz w:val="24"/>
        </w:rPr>
        <w:t>Ordinary Least Squares</w:t>
      </w:r>
      <w:r w:rsidR="00525DEE" w:rsidRPr="0024445D" w:rsidDel="00525DEE">
        <w:rPr>
          <w:sz w:val="24"/>
        </w:rPr>
        <w:t xml:space="preserve"> </w:t>
      </w:r>
      <w:r w:rsidRPr="0024445D">
        <w:rPr>
          <w:sz w:val="24"/>
        </w:rPr>
        <w:t xml:space="preserve">on Length of Stay </w:t>
      </w:r>
      <w:bookmarkEnd w:id="40"/>
      <w:r w:rsidR="005E4D83">
        <w:rPr>
          <w:sz w:val="24"/>
        </w:rPr>
        <w:t>Post-CSW</w:t>
      </w:r>
      <w:bookmarkEnd w:id="41"/>
    </w:p>
    <w:p w14:paraId="727621DB" w14:textId="77777777" w:rsidR="005904A1" w:rsidRDefault="00150190" w:rsidP="00602FA6">
      <w:pPr>
        <w:pStyle w:val="Heading3"/>
      </w:pPr>
      <w:r>
        <w:t>R</w:t>
      </w:r>
      <w:r w:rsidR="00602FA6" w:rsidRPr="001E4580">
        <w:t xml:space="preserve">eturn to the </w:t>
      </w:r>
      <w:r w:rsidR="00D90084">
        <w:t>E</w:t>
      </w:r>
      <w:r w:rsidR="00602FA6" w:rsidRPr="001E4580">
        <w:t xml:space="preserve">mergency </w:t>
      </w:r>
      <w:r w:rsidR="00D90084">
        <w:t>D</w:t>
      </w:r>
      <w:r w:rsidR="00602FA6" w:rsidRPr="001E4580">
        <w:t>epartment</w:t>
      </w:r>
    </w:p>
    <w:p w14:paraId="38FDB24A" w14:textId="1F142F76" w:rsidR="00602FA6" w:rsidRDefault="00363F44" w:rsidP="00F25B5C">
      <w:pPr>
        <w:spacing w:line="360" w:lineRule="auto"/>
        <w:jc w:val="both"/>
      </w:pPr>
      <w:r>
        <w:br/>
      </w:r>
      <w:r w:rsidR="007E6137">
        <w:t>With a</w:t>
      </w:r>
      <w:r w:rsidR="00E81FE2">
        <w:t>n explained</w:t>
      </w:r>
      <w:r w:rsidR="007E6137">
        <w:t xml:space="preserve"> variance of 0.</w:t>
      </w:r>
      <w:r w:rsidR="000451F6">
        <w:t>0</w:t>
      </w:r>
      <w:r w:rsidR="007E6137">
        <w:t xml:space="preserve">2%, </w:t>
      </w:r>
      <w:r w:rsidR="001A67F4">
        <w:t>“</w:t>
      </w:r>
      <w:r w:rsidR="007E6137" w:rsidRPr="007E6137">
        <w:t xml:space="preserve">Ordinary </w:t>
      </w:r>
      <w:r w:rsidR="001A67F4">
        <w:t>L</w:t>
      </w:r>
      <w:r w:rsidR="007E6137" w:rsidRPr="007E6137">
        <w:t xml:space="preserve">east </w:t>
      </w:r>
      <w:r w:rsidR="001A67F4">
        <w:t>S</w:t>
      </w:r>
      <w:r w:rsidR="007E6137" w:rsidRPr="007E6137">
        <w:t>quares</w:t>
      </w:r>
      <w:r w:rsidR="001A67F4">
        <w:t>”</w:t>
      </w:r>
      <w:r w:rsidR="007E6137">
        <w:t xml:space="preserve"> is clearly not a good fit to model the relationship between </w:t>
      </w:r>
      <w:r w:rsidR="008A1A41">
        <w:t>“</w:t>
      </w:r>
      <w:r w:rsidR="008A1A41" w:rsidRPr="008A1A41">
        <w:t>Return to the Emergency Department</w:t>
      </w:r>
      <w:r w:rsidR="008A1A41">
        <w:t>”</w:t>
      </w:r>
      <w:r w:rsidR="008A1A41" w:rsidRPr="008A1A41">
        <w:t xml:space="preserve"> </w:t>
      </w:r>
      <w:r w:rsidR="007E6137">
        <w:t xml:space="preserve">and </w:t>
      </w:r>
      <w:r w:rsidR="00F47865">
        <w:t xml:space="preserve">the </w:t>
      </w:r>
      <w:r w:rsidR="007E6137">
        <w:t xml:space="preserve">dependent </w:t>
      </w:r>
      <w:r w:rsidR="00F47865">
        <w:t xml:space="preserve"> </w:t>
      </w:r>
      <w:r w:rsidR="00961064">
        <w:t xml:space="preserve">(cf. </w:t>
      </w:r>
      <w:r w:rsidR="008E4F07">
        <w:t>“</w:t>
      </w:r>
      <w:r w:rsidR="001B7EC5">
        <w:fldChar w:fldCharType="begin"/>
      </w:r>
      <w:r w:rsidR="00307B23">
        <w:instrText xml:space="preserve"> REF _Ref512650878 \h </w:instrText>
      </w:r>
      <w:r w:rsidR="001B7EC5">
        <w:fldChar w:fldCharType="separate"/>
      </w:r>
      <w:r w:rsidR="00307B23">
        <w:t xml:space="preserve">Table </w:t>
      </w:r>
      <w:r w:rsidR="00307B23">
        <w:rPr>
          <w:noProof/>
        </w:rPr>
        <w:t>17</w:t>
      </w:r>
      <w:r w:rsidR="00307B23">
        <w:t xml:space="preserve">: OLS on Return to the Emergency Department </w:t>
      </w:r>
      <w:r w:rsidR="005E4D83">
        <w:t>Pre-CSW</w:t>
      </w:r>
      <w:r w:rsidR="001B7EC5">
        <w:fldChar w:fldCharType="end"/>
      </w:r>
      <w:r w:rsidR="008E4F07">
        <w:t>”</w:t>
      </w:r>
      <w:r w:rsidR="00307B23">
        <w:t xml:space="preserve"> and </w:t>
      </w:r>
      <w:r w:rsidR="008E4F07">
        <w:t>“</w:t>
      </w:r>
      <w:r w:rsidR="001B7EC5">
        <w:fldChar w:fldCharType="begin"/>
      </w:r>
      <w:r w:rsidR="00307B23">
        <w:instrText xml:space="preserve"> REF _Ref512650881 \h </w:instrText>
      </w:r>
      <w:r w:rsidR="001B7EC5">
        <w:fldChar w:fldCharType="separate"/>
      </w:r>
      <w:r w:rsidR="00307B23">
        <w:t xml:space="preserve">Table </w:t>
      </w:r>
      <w:r w:rsidR="00307B23">
        <w:rPr>
          <w:noProof/>
        </w:rPr>
        <w:t>18</w:t>
      </w:r>
      <w:r w:rsidR="00307B23">
        <w:t xml:space="preserve">: </w:t>
      </w:r>
      <w:r w:rsidR="00307B23" w:rsidRPr="00455964">
        <w:t xml:space="preserve">OLS on Return to the Emergency Department </w:t>
      </w:r>
      <w:r w:rsidR="005E4D83">
        <w:t>Post-CSW</w:t>
      </w:r>
      <w:r w:rsidR="001B7EC5">
        <w:fldChar w:fldCharType="end"/>
      </w:r>
      <w:r w:rsidR="008E4F07">
        <w:t>”</w:t>
      </w:r>
      <w:r w:rsidR="00961064">
        <w:t>)</w:t>
      </w:r>
      <w:r w:rsidR="007E6137">
        <w:t xml:space="preserve">. This calls for further analysis with more </w:t>
      </w:r>
      <w:r w:rsidR="00F47865">
        <w:t xml:space="preserve">elaborate </w:t>
      </w:r>
      <w:r w:rsidR="007E6137">
        <w:t>techniques.</w:t>
      </w:r>
    </w:p>
    <w:p w14:paraId="77AD91BA" w14:textId="77777777" w:rsidR="00555F33" w:rsidRDefault="00592035" w:rsidP="00555F33">
      <w:pPr>
        <w:keepNext/>
      </w:pPr>
      <w:r w:rsidRPr="00592035">
        <w:rPr>
          <w:noProof/>
        </w:rPr>
        <w:lastRenderedPageBreak/>
        <w:t xml:space="preserve"> </w:t>
      </w:r>
      <w:r>
        <w:rPr>
          <w:noProof/>
        </w:rPr>
        <w:drawing>
          <wp:inline distT="0" distB="0" distL="0" distR="0" wp14:anchorId="0A25CA78" wp14:editId="66D51317">
            <wp:extent cx="3648075" cy="197167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3648075" cy="1971675"/>
                    </a:xfrm>
                    <a:prstGeom prst="rect">
                      <a:avLst/>
                    </a:prstGeom>
                  </pic:spPr>
                </pic:pic>
              </a:graphicData>
            </a:graphic>
          </wp:inline>
        </w:drawing>
      </w:r>
    </w:p>
    <w:p w14:paraId="58BC8C66" w14:textId="12BCCBFF" w:rsidR="00244570" w:rsidRPr="0024445D" w:rsidRDefault="00555F33" w:rsidP="00555F33">
      <w:pPr>
        <w:pStyle w:val="Caption"/>
        <w:rPr>
          <w:sz w:val="24"/>
        </w:rPr>
      </w:pPr>
      <w:bookmarkStart w:id="42" w:name="_Ref512650878"/>
      <w:bookmarkStart w:id="43" w:name="_Toc515706957"/>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18</w:t>
      </w:r>
      <w:r w:rsidR="001B7EC5">
        <w:rPr>
          <w:sz w:val="24"/>
        </w:rPr>
        <w:fldChar w:fldCharType="end"/>
      </w:r>
      <w:r w:rsidRPr="0024445D">
        <w:rPr>
          <w:sz w:val="24"/>
        </w:rPr>
        <w:t xml:space="preserve">: </w:t>
      </w:r>
      <w:r w:rsidR="00F50FB7" w:rsidRPr="0024445D">
        <w:rPr>
          <w:sz w:val="24"/>
        </w:rPr>
        <w:t>Ordinary Least Squares</w:t>
      </w:r>
      <w:r w:rsidR="00F50FB7" w:rsidRPr="0024445D" w:rsidDel="00F50FB7">
        <w:rPr>
          <w:sz w:val="24"/>
        </w:rPr>
        <w:t xml:space="preserve"> </w:t>
      </w:r>
      <w:r w:rsidRPr="0024445D">
        <w:rPr>
          <w:sz w:val="24"/>
        </w:rPr>
        <w:t xml:space="preserve">on Return to the Emergency Department </w:t>
      </w:r>
      <w:bookmarkEnd w:id="42"/>
      <w:r w:rsidR="005E4D83">
        <w:rPr>
          <w:sz w:val="24"/>
        </w:rPr>
        <w:t>Pre-CSW</w:t>
      </w:r>
      <w:bookmarkEnd w:id="43"/>
    </w:p>
    <w:p w14:paraId="742CF09F" w14:textId="21FABED7" w:rsidR="00555F33" w:rsidRDefault="00525C9B" w:rsidP="00555F33">
      <w:pPr>
        <w:keepNext/>
      </w:pPr>
      <w:r w:rsidRPr="00525C9B">
        <w:rPr>
          <w:noProof/>
        </w:rPr>
        <w:t xml:space="preserve"> </w:t>
      </w:r>
      <w:r w:rsidR="00FD67B1" w:rsidRPr="00FD67B1">
        <w:rPr>
          <w:noProof/>
        </w:rPr>
        <w:t xml:space="preserve"> </w:t>
      </w:r>
      <w:r w:rsidR="00A136D4">
        <w:rPr>
          <w:noProof/>
        </w:rPr>
        <w:drawing>
          <wp:inline distT="0" distB="0" distL="0" distR="0" wp14:anchorId="2B780849" wp14:editId="36E2AB9E">
            <wp:extent cx="3714750" cy="19621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714750" cy="1962150"/>
                    </a:xfrm>
                    <a:prstGeom prst="rect">
                      <a:avLst/>
                    </a:prstGeom>
                  </pic:spPr>
                </pic:pic>
              </a:graphicData>
            </a:graphic>
          </wp:inline>
        </w:drawing>
      </w:r>
    </w:p>
    <w:p w14:paraId="7B17EE3B" w14:textId="23DF63CD" w:rsidR="00FC1A52" w:rsidRPr="0024445D" w:rsidRDefault="00555F33" w:rsidP="00555F33">
      <w:pPr>
        <w:pStyle w:val="Caption"/>
        <w:rPr>
          <w:sz w:val="24"/>
        </w:rPr>
      </w:pPr>
      <w:bookmarkStart w:id="44" w:name="_Ref512650881"/>
      <w:bookmarkStart w:id="45" w:name="_Toc515706958"/>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19</w:t>
      </w:r>
      <w:r w:rsidR="001B7EC5">
        <w:rPr>
          <w:sz w:val="24"/>
        </w:rPr>
        <w:fldChar w:fldCharType="end"/>
      </w:r>
      <w:r w:rsidRPr="0024445D">
        <w:rPr>
          <w:sz w:val="24"/>
        </w:rPr>
        <w:t xml:space="preserve">: </w:t>
      </w:r>
      <w:r w:rsidR="00897CFB" w:rsidRPr="0024445D">
        <w:rPr>
          <w:sz w:val="24"/>
        </w:rPr>
        <w:t>Ordinary Least Squares</w:t>
      </w:r>
      <w:r w:rsidR="00897CFB" w:rsidRPr="0024445D" w:rsidDel="00897CFB">
        <w:rPr>
          <w:sz w:val="24"/>
        </w:rPr>
        <w:t xml:space="preserve"> </w:t>
      </w:r>
      <w:r w:rsidRPr="0024445D">
        <w:rPr>
          <w:sz w:val="24"/>
        </w:rPr>
        <w:t xml:space="preserve">on Return to the Emergency Department </w:t>
      </w:r>
      <w:bookmarkEnd w:id="44"/>
      <w:r w:rsidR="005E4D83">
        <w:rPr>
          <w:sz w:val="24"/>
        </w:rPr>
        <w:t>Post-CSW</w:t>
      </w:r>
      <w:bookmarkEnd w:id="45"/>
    </w:p>
    <w:p w14:paraId="601B51FB" w14:textId="77777777" w:rsidR="00602FA6" w:rsidRDefault="00721FE8" w:rsidP="00721FE8">
      <w:pPr>
        <w:pStyle w:val="Heading3"/>
      </w:pPr>
      <w:r>
        <w:t>R</w:t>
      </w:r>
      <w:r w:rsidR="00FC1349">
        <w:t xml:space="preserve">eadmission </w:t>
      </w:r>
      <w:r>
        <w:t>R</w:t>
      </w:r>
      <w:r w:rsidR="00FC1349">
        <w:t>ates</w:t>
      </w:r>
    </w:p>
    <w:p w14:paraId="1324F077" w14:textId="77777777" w:rsidR="00D21C9F" w:rsidRDefault="00346F2E" w:rsidP="00F25B5C">
      <w:pPr>
        <w:spacing w:line="360" w:lineRule="auto"/>
        <w:jc w:val="both"/>
      </w:pPr>
      <w:r>
        <w:t xml:space="preserve">We were interested </w:t>
      </w:r>
      <w:r w:rsidR="008259C1">
        <w:t xml:space="preserve">in </w:t>
      </w:r>
      <w:r>
        <w:t>the odd</w:t>
      </w:r>
      <w:r w:rsidR="000451F6">
        <w:t>s</w:t>
      </w:r>
      <w:r>
        <w:t xml:space="preserve"> of a patient to be readmitted </w:t>
      </w:r>
      <w:r w:rsidR="006F79E6">
        <w:t xml:space="preserve">after having </w:t>
      </w:r>
      <w:r w:rsidR="00DB4732">
        <w:t>be</w:t>
      </w:r>
      <w:r w:rsidR="0028329C">
        <w:t>en</w:t>
      </w:r>
      <w:r w:rsidR="00DB4732">
        <w:t xml:space="preserve"> discharged.</w:t>
      </w:r>
      <w:r w:rsidR="00F54B1A">
        <w:t xml:space="preserve"> </w:t>
      </w:r>
      <w:r w:rsidR="00926150">
        <w:t xml:space="preserve">For this purpose, logistic regression was used. </w:t>
      </w:r>
      <w:r w:rsidR="000A007B">
        <w:t>“</w:t>
      </w:r>
      <w:r w:rsidR="001B7EC5">
        <w:fldChar w:fldCharType="begin"/>
      </w:r>
      <w:r w:rsidR="000135A3">
        <w:instrText xml:space="preserve"> REF _Ref512651186 \h </w:instrText>
      </w:r>
      <w:r w:rsidR="001B7EC5">
        <w:fldChar w:fldCharType="separate"/>
      </w:r>
      <w:r w:rsidR="000135A3">
        <w:t xml:space="preserve">Table </w:t>
      </w:r>
      <w:r w:rsidR="000135A3">
        <w:rPr>
          <w:noProof/>
        </w:rPr>
        <w:t>19</w:t>
      </w:r>
      <w:r w:rsidR="000135A3">
        <w:t xml:space="preserve">: OLS on Readmissions </w:t>
      </w:r>
      <w:r w:rsidR="005E4D83">
        <w:t>Pre-CSW</w:t>
      </w:r>
      <w:r w:rsidR="001B7EC5">
        <w:fldChar w:fldCharType="end"/>
      </w:r>
      <w:r w:rsidR="000A007B">
        <w:t>”</w:t>
      </w:r>
      <w:r w:rsidR="000135A3">
        <w:t xml:space="preserve"> and </w:t>
      </w:r>
      <w:r w:rsidR="000A007B">
        <w:t>“</w:t>
      </w:r>
      <w:r w:rsidR="001B7EC5">
        <w:fldChar w:fldCharType="begin"/>
      </w:r>
      <w:r w:rsidR="000135A3">
        <w:instrText xml:space="preserve"> REF _Ref512651190 \h </w:instrText>
      </w:r>
      <w:r w:rsidR="001B7EC5">
        <w:fldChar w:fldCharType="separate"/>
      </w:r>
      <w:r w:rsidR="000135A3">
        <w:t xml:space="preserve">Table </w:t>
      </w:r>
      <w:r w:rsidR="000135A3">
        <w:rPr>
          <w:noProof/>
        </w:rPr>
        <w:t>20</w:t>
      </w:r>
      <w:r w:rsidR="000135A3">
        <w:t xml:space="preserve">: </w:t>
      </w:r>
      <w:r w:rsidR="000135A3" w:rsidRPr="00C63C5D">
        <w:t xml:space="preserve">OLS on Readmissions </w:t>
      </w:r>
      <w:r w:rsidR="005E4D83">
        <w:t>Post-CSW</w:t>
      </w:r>
      <w:r w:rsidR="001B7EC5">
        <w:fldChar w:fldCharType="end"/>
      </w:r>
      <w:r w:rsidR="000A007B">
        <w:t>”</w:t>
      </w:r>
      <w:r w:rsidR="00FA1547">
        <w:t xml:space="preserve"> summarizes our findings.</w:t>
      </w:r>
      <w:r w:rsidR="005464F6">
        <w:t xml:space="preserve"> </w:t>
      </w:r>
    </w:p>
    <w:p w14:paraId="0B29B663" w14:textId="2A56383B" w:rsidR="00FA3020" w:rsidRDefault="00FA3020" w:rsidP="00F25B5C">
      <w:pPr>
        <w:spacing w:line="360" w:lineRule="auto"/>
        <w:jc w:val="both"/>
      </w:pPr>
      <w:r w:rsidRPr="00FA3020">
        <w:t>The likelihood ratio chi-square of</w:t>
      </w:r>
      <w:r>
        <w:t xml:space="preserve"> 33.04</w:t>
      </w:r>
      <w:r w:rsidRPr="00FA3020">
        <w:t xml:space="preserve"> with a p-value of 0.0001 </w:t>
      </w:r>
      <w:r w:rsidR="008259C1">
        <w:t>suggests</w:t>
      </w:r>
      <w:r w:rsidRPr="00FA3020">
        <w:t xml:space="preserve"> that our model as a whole fits significantly</w:t>
      </w:r>
      <w:r w:rsidR="0097679A">
        <w:t>.</w:t>
      </w:r>
      <w:r w:rsidR="00006DB1">
        <w:t xml:space="preserve"> </w:t>
      </w:r>
      <w:r w:rsidR="004B044B">
        <w:t xml:space="preserve">From these results, with a p-value &lt; 0.005 in </w:t>
      </w:r>
      <w:r w:rsidR="005E4D83">
        <w:t>Pre-CSW</w:t>
      </w:r>
      <w:r w:rsidR="009C63DD">
        <w:t xml:space="preserve"> and </w:t>
      </w:r>
      <w:r w:rsidR="005E4D83">
        <w:t>Post-CSW</w:t>
      </w:r>
      <w:r w:rsidR="004B044B">
        <w:t xml:space="preserve">, </w:t>
      </w:r>
      <w:r w:rsidR="004B044B" w:rsidRPr="004B044B">
        <w:t xml:space="preserve">we can say that </w:t>
      </w:r>
      <w:r w:rsidR="004B044B" w:rsidRPr="004C0460">
        <w:t>racemic epinephrine</w:t>
      </w:r>
      <w:r w:rsidR="004B044B">
        <w:t xml:space="preserve"> d</w:t>
      </w:r>
      <w:r w:rsidR="00DB4597">
        <w:t xml:space="preserve">id </w:t>
      </w:r>
      <w:r w:rsidR="004B044B">
        <w:t xml:space="preserve">not </w:t>
      </w:r>
      <w:r w:rsidR="00DB4597">
        <w:t xml:space="preserve">better or worsen the chance of </w:t>
      </w:r>
      <w:r w:rsidR="004B044B">
        <w:t>a patient being readmitted</w:t>
      </w:r>
      <w:r w:rsidR="00864815">
        <w:t xml:space="preserve"> during the study.</w:t>
      </w:r>
      <w:r w:rsidR="00255BB1">
        <w:t xml:space="preserve"> On the other hand, ra</w:t>
      </w:r>
      <w:r w:rsidR="00E62D14">
        <w:t>dio</w:t>
      </w:r>
      <w:r w:rsidR="006226F8">
        <w:t>logy</w:t>
      </w:r>
      <w:r w:rsidR="00E62D14">
        <w:t xml:space="preserve"> </w:t>
      </w:r>
      <w:r w:rsidR="00B96DE8">
        <w:t xml:space="preserve">seems to </w:t>
      </w:r>
      <w:r w:rsidR="004C012A">
        <w:t xml:space="preserve">be an </w:t>
      </w:r>
      <w:r w:rsidR="00B96DE8">
        <w:t xml:space="preserve">important </w:t>
      </w:r>
      <w:r w:rsidR="00543ABF">
        <w:t>predictor</w:t>
      </w:r>
      <w:r w:rsidR="003801A7">
        <w:t xml:space="preserve"> </w:t>
      </w:r>
      <w:r w:rsidR="00B96DE8">
        <w:t>in patients’ readmission.</w:t>
      </w:r>
      <w:r w:rsidR="009260DC">
        <w:t xml:space="preserve"> </w:t>
      </w:r>
      <w:r w:rsidR="00F92A2F">
        <w:t>For</w:t>
      </w:r>
      <w:r w:rsidR="00F16556">
        <w:t xml:space="preserve"> each</w:t>
      </w:r>
      <w:r w:rsidR="00F92A2F">
        <w:t xml:space="preserve"> </w:t>
      </w:r>
      <w:r w:rsidR="00F16556">
        <w:t>one-unit</w:t>
      </w:r>
      <w:r w:rsidR="00F92A2F">
        <w:t xml:space="preserve"> increase in using radiology, t</w:t>
      </w:r>
      <w:r w:rsidR="009260DC">
        <w:t>he</w:t>
      </w:r>
      <w:r w:rsidR="00530C73">
        <w:t xml:space="preserve"> increase in the</w:t>
      </w:r>
      <w:r w:rsidR="009260DC">
        <w:t xml:space="preserve"> odd</w:t>
      </w:r>
      <w:r w:rsidR="003801A7">
        <w:t>s</w:t>
      </w:r>
      <w:r w:rsidR="009260DC">
        <w:t xml:space="preserve"> of a patient being readmitted </w:t>
      </w:r>
      <w:r w:rsidR="009260DC" w:rsidRPr="009260DC">
        <w:t xml:space="preserve">(versus not being </w:t>
      </w:r>
      <w:r w:rsidR="009260DC">
        <w:t>re</w:t>
      </w:r>
      <w:r w:rsidR="009260DC" w:rsidRPr="009260DC">
        <w:t xml:space="preserve">admitted) </w:t>
      </w:r>
      <w:r w:rsidR="00F47865">
        <w:t>related to</w:t>
      </w:r>
      <w:r w:rsidR="009260DC">
        <w:t xml:space="preserve"> radio</w:t>
      </w:r>
      <w:r w:rsidR="002317CB">
        <w:t>logy</w:t>
      </w:r>
      <w:r w:rsidR="009260DC">
        <w:t xml:space="preserve"> use</w:t>
      </w:r>
      <w:r w:rsidR="009260DC" w:rsidRPr="009260DC">
        <w:t xml:space="preserve"> </w:t>
      </w:r>
      <w:r w:rsidR="008259C1">
        <w:t xml:space="preserve">increased </w:t>
      </w:r>
      <w:r w:rsidR="00530C73">
        <w:t xml:space="preserve">from a </w:t>
      </w:r>
      <w:r w:rsidR="009260DC" w:rsidRPr="009260DC">
        <w:t xml:space="preserve">factor of </w:t>
      </w:r>
      <w:r w:rsidR="00530C73">
        <w:t xml:space="preserve">6.91 to a factor of </w:t>
      </w:r>
      <w:r w:rsidR="0073513B">
        <w:t>15.8.</w:t>
      </w:r>
      <w:r w:rsidR="0057285D">
        <w:t xml:space="preserve"> </w:t>
      </w:r>
    </w:p>
    <w:p w14:paraId="5A46AD6F" w14:textId="77777777" w:rsidR="0070714C" w:rsidRDefault="00B1220B" w:rsidP="0070714C">
      <w:pPr>
        <w:keepNext/>
      </w:pPr>
      <w:r w:rsidRPr="00B1220B">
        <w:rPr>
          <w:noProof/>
        </w:rPr>
        <w:lastRenderedPageBreak/>
        <w:t xml:space="preserve"> </w:t>
      </w:r>
      <w:r>
        <w:rPr>
          <w:noProof/>
        </w:rPr>
        <w:drawing>
          <wp:inline distT="0" distB="0" distL="0" distR="0" wp14:anchorId="108F166E" wp14:editId="5C5C335B">
            <wp:extent cx="3076575" cy="1790700"/>
            <wp:effectExtent l="0" t="0" r="952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3076575" cy="1790700"/>
                    </a:xfrm>
                    <a:prstGeom prst="rect">
                      <a:avLst/>
                    </a:prstGeom>
                  </pic:spPr>
                </pic:pic>
              </a:graphicData>
            </a:graphic>
          </wp:inline>
        </w:drawing>
      </w:r>
    </w:p>
    <w:p w14:paraId="64786160" w14:textId="2030E102" w:rsidR="00D21C9F" w:rsidRPr="0024445D" w:rsidRDefault="0070714C" w:rsidP="0070714C">
      <w:pPr>
        <w:pStyle w:val="Caption"/>
        <w:rPr>
          <w:sz w:val="24"/>
        </w:rPr>
      </w:pPr>
      <w:bookmarkStart w:id="46" w:name="_Ref512651186"/>
      <w:bookmarkStart w:id="47" w:name="_Toc515706959"/>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20</w:t>
      </w:r>
      <w:r w:rsidR="001B7EC5">
        <w:rPr>
          <w:sz w:val="24"/>
        </w:rPr>
        <w:fldChar w:fldCharType="end"/>
      </w:r>
      <w:r w:rsidRPr="0024445D">
        <w:rPr>
          <w:sz w:val="24"/>
        </w:rPr>
        <w:t xml:space="preserve">: </w:t>
      </w:r>
      <w:r w:rsidR="004C361B" w:rsidRPr="0024445D">
        <w:rPr>
          <w:sz w:val="24"/>
        </w:rPr>
        <w:t xml:space="preserve">Logistic Regression </w:t>
      </w:r>
      <w:r w:rsidRPr="0024445D">
        <w:rPr>
          <w:sz w:val="24"/>
        </w:rPr>
        <w:t xml:space="preserve">on Readmissions </w:t>
      </w:r>
      <w:bookmarkEnd w:id="46"/>
      <w:r w:rsidR="005E4D83">
        <w:rPr>
          <w:sz w:val="24"/>
        </w:rPr>
        <w:t>Pre-CSW</w:t>
      </w:r>
      <w:bookmarkEnd w:id="47"/>
    </w:p>
    <w:p w14:paraId="793C88D9" w14:textId="77777777" w:rsidR="009B663D" w:rsidRPr="00F9087D" w:rsidRDefault="009B663D" w:rsidP="00F9087D"/>
    <w:p w14:paraId="225AD908" w14:textId="2C331454" w:rsidR="0070714C" w:rsidRDefault="001F1987" w:rsidP="0070714C">
      <w:pPr>
        <w:keepNext/>
      </w:pPr>
      <w:r w:rsidRPr="001F1987">
        <w:rPr>
          <w:noProof/>
        </w:rPr>
        <w:t xml:space="preserve"> </w:t>
      </w:r>
      <w:r w:rsidR="00BB4E57" w:rsidRPr="00BB4E57">
        <w:rPr>
          <w:noProof/>
        </w:rPr>
        <w:t xml:space="preserve"> </w:t>
      </w:r>
      <w:r w:rsidR="0013412F">
        <w:rPr>
          <w:noProof/>
        </w:rPr>
        <w:drawing>
          <wp:inline distT="0" distB="0" distL="0" distR="0" wp14:anchorId="3E9FAB37" wp14:editId="0E782883">
            <wp:extent cx="2990850" cy="176212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90850" cy="1762125"/>
                    </a:xfrm>
                    <a:prstGeom prst="rect">
                      <a:avLst/>
                    </a:prstGeom>
                  </pic:spPr>
                </pic:pic>
              </a:graphicData>
            </a:graphic>
          </wp:inline>
        </w:drawing>
      </w:r>
    </w:p>
    <w:p w14:paraId="1244C679" w14:textId="1F9DB460" w:rsidR="002869BE" w:rsidRPr="0024445D" w:rsidRDefault="0070714C" w:rsidP="0070714C">
      <w:pPr>
        <w:pStyle w:val="Caption"/>
        <w:rPr>
          <w:sz w:val="24"/>
        </w:rPr>
      </w:pPr>
      <w:bookmarkStart w:id="48" w:name="_Ref512651190"/>
      <w:bookmarkStart w:id="49" w:name="_Toc515706960"/>
      <w:r w:rsidRPr="0024445D">
        <w:rPr>
          <w:sz w:val="24"/>
        </w:rPr>
        <w:t xml:space="preserve">Table </w:t>
      </w:r>
      <w:r w:rsidR="001B7EC5">
        <w:rPr>
          <w:sz w:val="24"/>
        </w:rPr>
        <w:fldChar w:fldCharType="begin"/>
      </w:r>
      <w:r w:rsidR="000D6335">
        <w:rPr>
          <w:sz w:val="24"/>
        </w:rPr>
        <w:instrText xml:space="preserve"> SEQ Table \* ARABIC </w:instrText>
      </w:r>
      <w:r w:rsidR="001B7EC5">
        <w:rPr>
          <w:sz w:val="24"/>
        </w:rPr>
        <w:fldChar w:fldCharType="separate"/>
      </w:r>
      <w:r w:rsidR="000D6335">
        <w:rPr>
          <w:noProof/>
          <w:sz w:val="24"/>
        </w:rPr>
        <w:t>21</w:t>
      </w:r>
      <w:r w:rsidR="001B7EC5">
        <w:rPr>
          <w:sz w:val="24"/>
        </w:rPr>
        <w:fldChar w:fldCharType="end"/>
      </w:r>
      <w:r w:rsidRPr="0024445D">
        <w:rPr>
          <w:sz w:val="24"/>
        </w:rPr>
        <w:t xml:space="preserve">: </w:t>
      </w:r>
      <w:r w:rsidR="00F46493" w:rsidRPr="0024445D">
        <w:rPr>
          <w:sz w:val="24"/>
        </w:rPr>
        <w:t xml:space="preserve">Logistic Regression </w:t>
      </w:r>
      <w:r w:rsidRPr="0024445D">
        <w:rPr>
          <w:sz w:val="24"/>
        </w:rPr>
        <w:t xml:space="preserve">on Readmissions </w:t>
      </w:r>
      <w:bookmarkEnd w:id="48"/>
      <w:r w:rsidR="005E4D83">
        <w:rPr>
          <w:sz w:val="24"/>
        </w:rPr>
        <w:t>Post-CSW</w:t>
      </w:r>
      <w:bookmarkEnd w:id="49"/>
    </w:p>
    <w:p w14:paraId="737EDD21" w14:textId="77777777" w:rsidR="007A4A3A" w:rsidRDefault="007A4A3A" w:rsidP="008859CB">
      <w:pPr>
        <w:pStyle w:val="Heading1"/>
      </w:pPr>
      <w:r w:rsidRPr="00052810">
        <w:t>Discussion</w:t>
      </w:r>
    </w:p>
    <w:p w14:paraId="64F63EA3" w14:textId="77777777" w:rsidR="00D24D82" w:rsidRPr="00B27EF3" w:rsidRDefault="00D24D82" w:rsidP="005D5501">
      <w:pPr>
        <w:spacing w:line="360" w:lineRule="auto"/>
        <w:jc w:val="both"/>
        <w:rPr>
          <w:rFonts w:eastAsia="Times New Roman"/>
        </w:rPr>
      </w:pPr>
      <w:r w:rsidRPr="00B27EF3">
        <w:rPr>
          <w:rFonts w:eastAsia="Times New Roman"/>
        </w:rPr>
        <w:t xml:space="preserve">Effective pharmacological treatment of croup is well established, but </w:t>
      </w:r>
      <w:r w:rsidR="008259C1">
        <w:rPr>
          <w:rFonts w:eastAsia="Times New Roman"/>
        </w:rPr>
        <w:t>implementation of recommended</w:t>
      </w:r>
      <w:r w:rsidRPr="00B27EF3">
        <w:rPr>
          <w:rFonts w:eastAsia="Times New Roman"/>
        </w:rPr>
        <w:t xml:space="preserve"> treatment is </w:t>
      </w:r>
      <w:r w:rsidR="008259C1">
        <w:rPr>
          <w:rFonts w:eastAsia="Times New Roman"/>
        </w:rPr>
        <w:t xml:space="preserve">a </w:t>
      </w:r>
      <w:r w:rsidRPr="00B27EF3">
        <w:rPr>
          <w:rFonts w:eastAsia="Times New Roman"/>
        </w:rPr>
        <w:t>more complex</w:t>
      </w:r>
      <w:r w:rsidR="008259C1">
        <w:rPr>
          <w:rFonts w:eastAsia="Times New Roman"/>
        </w:rPr>
        <w:t xml:space="preserve"> phenomenon</w:t>
      </w:r>
      <w:r w:rsidRPr="00B27EF3">
        <w:rPr>
          <w:rFonts w:eastAsia="Times New Roman"/>
        </w:rPr>
        <w:t xml:space="preserve">. One strategy is to develop clinical care guidelines to optimize resource utilization and patient outcomes when dealing with croup as </w:t>
      </w:r>
      <w:r w:rsidR="005C1D6E" w:rsidRPr="00B27EF3">
        <w:rPr>
          <w:rFonts w:eastAsia="Times New Roman"/>
        </w:rPr>
        <w:t>a</w:t>
      </w:r>
      <w:r w:rsidR="005C1D6E">
        <w:rPr>
          <w:rFonts w:eastAsia="Times New Roman"/>
        </w:rPr>
        <w:t>t</w:t>
      </w:r>
      <w:r w:rsidR="005C1D6E" w:rsidRPr="00B27EF3">
        <w:rPr>
          <w:rFonts w:eastAsia="Times New Roman"/>
        </w:rPr>
        <w:t xml:space="preserve"> </w:t>
      </w:r>
      <w:r w:rsidR="00F229B9">
        <w:rPr>
          <w:rFonts w:eastAsia="Times New Roman"/>
        </w:rPr>
        <w:t xml:space="preserve">Seattle Children’s </w:t>
      </w:r>
      <w:r w:rsidRPr="00B27EF3">
        <w:rPr>
          <w:rFonts w:eastAsia="Times New Roman"/>
        </w:rPr>
        <w:t xml:space="preserve">Hospital. Hence, </w:t>
      </w:r>
      <w:r w:rsidR="00F16556" w:rsidRPr="00B27EF3">
        <w:rPr>
          <w:rFonts w:eastAsia="Times New Roman"/>
        </w:rPr>
        <w:t>SCH</w:t>
      </w:r>
      <w:r w:rsidR="00F16556">
        <w:rPr>
          <w:rFonts w:eastAsia="Times New Roman"/>
        </w:rPr>
        <w:t xml:space="preserve"> initiated</w:t>
      </w:r>
      <w:r w:rsidR="00F16556" w:rsidRPr="00B27EF3">
        <w:rPr>
          <w:rFonts w:eastAsia="Times New Roman"/>
        </w:rPr>
        <w:t xml:space="preserve"> </w:t>
      </w:r>
      <w:r w:rsidRPr="00B27EF3">
        <w:rPr>
          <w:rFonts w:eastAsia="Times New Roman"/>
        </w:rPr>
        <w:t xml:space="preserve">the implementation of the Croup CSW pathway. The purpose of this pathway is to provide continuity of care all the way from the UC, the ED to the inpatient unit. This is done no matter if the care was initiated in the UC or the ED </w:t>
      </w:r>
      <w:r w:rsidR="00F16556" w:rsidRPr="00B27EF3">
        <w:rPr>
          <w:rFonts w:eastAsia="Times New Roman"/>
        </w:rPr>
        <w:t>to</w:t>
      </w:r>
      <w:r w:rsidRPr="00B27EF3">
        <w:rPr>
          <w:rFonts w:eastAsia="Times New Roman"/>
        </w:rPr>
        <w:t xml:space="preserve"> provide a seamless care experience for the families and a standard of care for the providers.</w:t>
      </w:r>
    </w:p>
    <w:p w14:paraId="54151A30" w14:textId="7EB199B6" w:rsidR="00D24D82" w:rsidRPr="00B27EF3" w:rsidRDefault="00D24D82" w:rsidP="005D5501">
      <w:pPr>
        <w:spacing w:line="360" w:lineRule="auto"/>
        <w:jc w:val="both"/>
        <w:rPr>
          <w:rFonts w:eastAsia="Times New Roman"/>
        </w:rPr>
      </w:pPr>
      <w:r w:rsidRPr="00B27EF3">
        <w:rPr>
          <w:rFonts w:eastAsia="Times New Roman"/>
        </w:rPr>
        <w:t xml:space="preserve">With the implementation of the croup CSW pathway, </w:t>
      </w:r>
      <w:r w:rsidR="0068796D" w:rsidRPr="00B27EF3">
        <w:rPr>
          <w:rFonts w:eastAsia="Times New Roman"/>
        </w:rPr>
        <w:t>UC decrease</w:t>
      </w:r>
      <w:r w:rsidR="0068796D">
        <w:rPr>
          <w:rFonts w:eastAsia="Times New Roman"/>
        </w:rPr>
        <w:t>d</w:t>
      </w:r>
      <w:r w:rsidR="0068796D" w:rsidRPr="00B27EF3">
        <w:rPr>
          <w:rFonts w:eastAsia="Times New Roman"/>
        </w:rPr>
        <w:t xml:space="preserve"> racemic epinephrine </w:t>
      </w:r>
      <w:r w:rsidRPr="00B27EF3">
        <w:rPr>
          <w:rFonts w:eastAsia="Times New Roman"/>
        </w:rPr>
        <w:t xml:space="preserve">administration </w:t>
      </w:r>
      <w:r w:rsidR="0068796D">
        <w:rPr>
          <w:rFonts w:eastAsia="Times New Roman"/>
        </w:rPr>
        <w:t>by</w:t>
      </w:r>
      <w:r w:rsidRPr="00B27EF3">
        <w:rPr>
          <w:rFonts w:eastAsia="Times New Roman"/>
        </w:rPr>
        <w:t xml:space="preserve"> 6.95</w:t>
      </w:r>
      <w:r w:rsidR="00AC435E">
        <w:rPr>
          <w:rFonts w:eastAsia="Times New Roman"/>
        </w:rPr>
        <w:t xml:space="preserve"> percentage points </w:t>
      </w:r>
      <w:r w:rsidR="0068796D">
        <w:rPr>
          <w:rFonts w:eastAsia="Times New Roman"/>
        </w:rPr>
        <w:t xml:space="preserve">and increased </w:t>
      </w:r>
      <w:r w:rsidR="0068796D" w:rsidRPr="00B27EF3">
        <w:rPr>
          <w:rFonts w:eastAsia="Times New Roman"/>
        </w:rPr>
        <w:t xml:space="preserve">dexamethasone administration </w:t>
      </w:r>
      <w:r w:rsidR="0068796D">
        <w:rPr>
          <w:rFonts w:eastAsia="Times New Roman"/>
        </w:rPr>
        <w:t>by</w:t>
      </w:r>
      <w:r w:rsidR="0068796D" w:rsidRPr="00B27EF3">
        <w:rPr>
          <w:rFonts w:eastAsia="Times New Roman"/>
        </w:rPr>
        <w:t xml:space="preserve"> 3.83 percentage points</w:t>
      </w:r>
      <w:r w:rsidR="0068796D">
        <w:rPr>
          <w:rFonts w:eastAsia="Times New Roman"/>
        </w:rPr>
        <w:t>.</w:t>
      </w:r>
      <w:r w:rsidRPr="00B27EF3">
        <w:rPr>
          <w:rFonts w:eastAsia="Times New Roman"/>
        </w:rPr>
        <w:t xml:space="preserve"> </w:t>
      </w:r>
      <w:r w:rsidR="0068796D">
        <w:rPr>
          <w:rFonts w:eastAsia="Times New Roman"/>
        </w:rPr>
        <w:t xml:space="preserve">The ED decreased </w:t>
      </w:r>
      <w:r w:rsidR="0068796D" w:rsidRPr="00B27EF3">
        <w:rPr>
          <w:rFonts w:eastAsia="Times New Roman"/>
        </w:rPr>
        <w:t>dexamethasone</w:t>
      </w:r>
      <w:r w:rsidRPr="00B27EF3">
        <w:rPr>
          <w:rFonts w:eastAsia="Times New Roman"/>
        </w:rPr>
        <w:t xml:space="preserve"> </w:t>
      </w:r>
      <w:r w:rsidR="0068796D">
        <w:rPr>
          <w:rFonts w:eastAsia="Times New Roman"/>
        </w:rPr>
        <w:t xml:space="preserve">by </w:t>
      </w:r>
      <w:r w:rsidRPr="00B27EF3">
        <w:rPr>
          <w:rFonts w:eastAsia="Times New Roman"/>
        </w:rPr>
        <w:t>1.97 percentage points</w:t>
      </w:r>
      <w:r w:rsidR="0068796D">
        <w:rPr>
          <w:rFonts w:eastAsia="Times New Roman"/>
        </w:rPr>
        <w:t xml:space="preserve">. </w:t>
      </w:r>
      <w:r w:rsidRPr="00B27EF3">
        <w:rPr>
          <w:rFonts w:eastAsia="Times New Roman"/>
        </w:rPr>
        <w:t>This can be explained by the fact that, once the CSW pathway was rolled out at SCH, it became a standard to initiate dexamethasone in the UC as soon as patient</w:t>
      </w:r>
      <w:r w:rsidR="00F229B9">
        <w:rPr>
          <w:rFonts w:eastAsia="Times New Roman"/>
        </w:rPr>
        <w:t>s</w:t>
      </w:r>
      <w:r w:rsidRPr="00B27EF3">
        <w:rPr>
          <w:rFonts w:eastAsia="Times New Roman"/>
        </w:rPr>
        <w:t xml:space="preserve"> </w:t>
      </w:r>
      <w:r w:rsidR="00F229B9">
        <w:rPr>
          <w:rFonts w:eastAsia="Times New Roman"/>
        </w:rPr>
        <w:t xml:space="preserve">were </w:t>
      </w:r>
      <w:r w:rsidRPr="00B27EF3">
        <w:rPr>
          <w:rFonts w:eastAsia="Times New Roman"/>
        </w:rPr>
        <w:t xml:space="preserve">seen prior to sending them to the ED. Ordinary least square regression on </w:t>
      </w:r>
      <w:r w:rsidR="005E4D83">
        <w:rPr>
          <w:rFonts w:eastAsia="Times New Roman"/>
        </w:rPr>
        <w:t>Pre-CSW</w:t>
      </w:r>
      <w:r w:rsidR="009C63DD">
        <w:rPr>
          <w:rFonts w:eastAsia="Times New Roman"/>
        </w:rPr>
        <w:t xml:space="preserve"> and </w:t>
      </w:r>
      <w:r w:rsidR="005E4D83">
        <w:rPr>
          <w:rFonts w:eastAsia="Times New Roman"/>
        </w:rPr>
        <w:lastRenderedPageBreak/>
        <w:t>Post-CSW</w:t>
      </w:r>
      <w:r w:rsidR="009C63DD">
        <w:rPr>
          <w:rFonts w:eastAsia="Times New Roman"/>
        </w:rPr>
        <w:t xml:space="preserve"> </w:t>
      </w:r>
      <w:r w:rsidRPr="00B27EF3">
        <w:rPr>
          <w:rFonts w:eastAsia="Times New Roman"/>
        </w:rPr>
        <w:t>data show</w:t>
      </w:r>
      <w:r w:rsidR="00F229B9">
        <w:rPr>
          <w:rFonts w:eastAsia="Times New Roman"/>
        </w:rPr>
        <w:t>s</w:t>
      </w:r>
      <w:r w:rsidRPr="00B27EF3">
        <w:rPr>
          <w:rFonts w:eastAsia="Times New Roman"/>
        </w:rPr>
        <w:t xml:space="preserve"> that racemic epinephrine use is a strong predictor </w:t>
      </w:r>
      <w:r w:rsidR="00F229B9">
        <w:rPr>
          <w:rFonts w:eastAsia="Times New Roman"/>
        </w:rPr>
        <w:t>of</w:t>
      </w:r>
      <w:r w:rsidR="00F229B9" w:rsidRPr="00B27EF3">
        <w:rPr>
          <w:rFonts w:eastAsia="Times New Roman"/>
        </w:rPr>
        <w:t xml:space="preserve"> </w:t>
      </w:r>
      <w:r w:rsidRPr="00B27EF3">
        <w:rPr>
          <w:rFonts w:eastAsia="Times New Roman"/>
        </w:rPr>
        <w:t xml:space="preserve">admission rates compared to dexamethasone. However, </w:t>
      </w:r>
      <w:r w:rsidR="005E4D83">
        <w:rPr>
          <w:rFonts w:eastAsia="Times New Roman"/>
        </w:rPr>
        <w:t>Post-CSW</w:t>
      </w:r>
      <w:r w:rsidRPr="00B27EF3">
        <w:rPr>
          <w:rFonts w:eastAsia="Times New Roman"/>
        </w:rPr>
        <w:t xml:space="preserve">, the influence of racemic epinephrine waned, while that of dexamethasone has gone up, with racemic epinephrine losing 12 percentages points </w:t>
      </w:r>
      <w:r w:rsidR="00F47865">
        <w:rPr>
          <w:rFonts w:eastAsia="Times New Roman"/>
        </w:rPr>
        <w:t xml:space="preserve">of </w:t>
      </w:r>
      <w:r w:rsidRPr="00B27EF3">
        <w:rPr>
          <w:rFonts w:eastAsia="Times New Roman"/>
        </w:rPr>
        <w:t xml:space="preserve">explained variance in admission rate, while dexamethasone gained 6 percentage points. It is also noteworthy to mention that, in the </w:t>
      </w:r>
      <w:proofErr w:type="gramStart"/>
      <w:r w:rsidRPr="00B27EF3">
        <w:rPr>
          <w:rFonts w:eastAsia="Times New Roman"/>
        </w:rPr>
        <w:t>time period</w:t>
      </w:r>
      <w:proofErr w:type="gramEnd"/>
      <w:r w:rsidRPr="00B27EF3">
        <w:rPr>
          <w:rFonts w:eastAsia="Times New Roman"/>
        </w:rPr>
        <w:t xml:space="preserve"> following the beginning of the implementation of the croup CSW pathway, there was an </w:t>
      </w:r>
      <w:r w:rsidR="00563008">
        <w:rPr>
          <w:rFonts w:eastAsia="Times New Roman"/>
        </w:rPr>
        <w:t>88%</w:t>
      </w:r>
      <w:r w:rsidRPr="00B27EF3">
        <w:rPr>
          <w:rFonts w:eastAsia="Times New Roman"/>
        </w:rPr>
        <w:t xml:space="preserve"> increase in percentage points of the contribution of dexamethasone in the admission rate reduction. </w:t>
      </w:r>
      <w:r w:rsidR="00F16556">
        <w:rPr>
          <w:rFonts w:eastAsia="Times New Roman"/>
        </w:rPr>
        <w:t>T</w:t>
      </w:r>
      <w:r w:rsidR="00F16556" w:rsidRPr="00B27EF3">
        <w:rPr>
          <w:rFonts w:eastAsia="Times New Roman"/>
        </w:rPr>
        <w:t xml:space="preserve">he fact that nurses started doing the respiratory scores more consistently and received training in doing these scores in UC </w:t>
      </w:r>
      <w:r w:rsidR="00F16556">
        <w:rPr>
          <w:rFonts w:eastAsia="Times New Roman"/>
        </w:rPr>
        <w:t>further explains t</w:t>
      </w:r>
      <w:r w:rsidRPr="00B27EF3">
        <w:rPr>
          <w:rFonts w:eastAsia="Times New Roman"/>
        </w:rPr>
        <w:t xml:space="preserve">he decrease in the use of racemic epinephrine in the UC. Moreover, the pathway gave providers a standard treatment </w:t>
      </w:r>
      <w:r w:rsidR="00F229B9">
        <w:rPr>
          <w:rFonts w:eastAsia="Times New Roman"/>
        </w:rPr>
        <w:t>protocol</w:t>
      </w:r>
      <w:r w:rsidR="00F229B9" w:rsidRPr="00B27EF3">
        <w:rPr>
          <w:rFonts w:eastAsia="Times New Roman"/>
        </w:rPr>
        <w:t xml:space="preserve"> </w:t>
      </w:r>
      <w:r w:rsidRPr="00B27EF3">
        <w:rPr>
          <w:rFonts w:eastAsia="Times New Roman"/>
        </w:rPr>
        <w:t xml:space="preserve">as well as an impetus for initiation of early transfers, contributing to the speculation that, all these efforts contributed to a decrease in use of racemic epi in UC areas. </w:t>
      </w:r>
    </w:p>
    <w:p w14:paraId="489A7EC6" w14:textId="77777777" w:rsidR="00D24D82" w:rsidRDefault="00D24D82" w:rsidP="005D5501">
      <w:pPr>
        <w:spacing w:line="360" w:lineRule="auto"/>
        <w:jc w:val="both"/>
        <w:rPr>
          <w:rFonts w:eastAsia="Times New Roman"/>
        </w:rPr>
      </w:pPr>
      <w:r w:rsidRPr="00B27EF3">
        <w:rPr>
          <w:rFonts w:eastAsia="Times New Roman"/>
        </w:rPr>
        <w:t>A 6.53 percentage points</w:t>
      </w:r>
      <w:r w:rsidR="005C18B2">
        <w:rPr>
          <w:rFonts w:eastAsia="Times New Roman"/>
        </w:rPr>
        <w:t xml:space="preserve"> decrease in ED transfers were observed post CSW</w:t>
      </w:r>
      <w:r w:rsidR="00BB6125">
        <w:rPr>
          <w:rFonts w:eastAsia="Times New Roman"/>
        </w:rPr>
        <w:t>. This suggests that the protocol is working.</w:t>
      </w:r>
      <w:r w:rsidRPr="00B27EF3">
        <w:rPr>
          <w:rFonts w:eastAsia="Times New Roman"/>
        </w:rPr>
        <w:t xml:space="preserve"> From ED onward, a shift in the specific clinical service handling croup took place in the same </w:t>
      </w:r>
      <w:proofErr w:type="gramStart"/>
      <w:r w:rsidRPr="00B27EF3">
        <w:rPr>
          <w:rFonts w:eastAsia="Times New Roman"/>
        </w:rPr>
        <w:t>time period</w:t>
      </w:r>
      <w:proofErr w:type="gramEnd"/>
      <w:r w:rsidR="00312001">
        <w:rPr>
          <w:rFonts w:eastAsia="Times New Roman"/>
        </w:rPr>
        <w:t xml:space="preserve"> (</w:t>
      </w:r>
      <w:r w:rsidR="00546F5B">
        <w:rPr>
          <w:rFonts w:eastAsia="Times New Roman"/>
        </w:rPr>
        <w:t>c</w:t>
      </w:r>
      <w:r w:rsidR="00312001">
        <w:rPr>
          <w:rFonts w:eastAsia="Times New Roman"/>
        </w:rPr>
        <w:t xml:space="preserve">f. </w:t>
      </w:r>
      <w:r w:rsidR="001B7EC5">
        <w:rPr>
          <w:rFonts w:eastAsia="Times New Roman"/>
        </w:rPr>
        <w:fldChar w:fldCharType="begin"/>
      </w:r>
      <w:r w:rsidR="00312001">
        <w:rPr>
          <w:rFonts w:eastAsia="Times New Roman"/>
        </w:rPr>
        <w:instrText xml:space="preserve"> REF _Ref515139096 \h </w:instrText>
      </w:r>
      <w:r w:rsidR="001B7EC5">
        <w:rPr>
          <w:rFonts w:eastAsia="Times New Roman"/>
        </w:rPr>
      </w:r>
      <w:r w:rsidR="001B7EC5">
        <w:rPr>
          <w:rFonts w:eastAsia="Times New Roman"/>
        </w:rPr>
        <w:fldChar w:fldCharType="separate"/>
      </w:r>
      <w:r w:rsidR="00312001">
        <w:t xml:space="preserve">Figure </w:t>
      </w:r>
      <w:r w:rsidR="00312001">
        <w:rPr>
          <w:noProof/>
        </w:rPr>
        <w:t>2</w:t>
      </w:r>
      <w:r w:rsidR="00312001">
        <w:t>: Seattle Children</w:t>
      </w:r>
      <w:r w:rsidR="009968F0">
        <w:t>'s</w:t>
      </w:r>
      <w:r w:rsidR="00312001">
        <w:t xml:space="preserve"> Hospital Patients Route</w:t>
      </w:r>
      <w:r w:rsidR="001B7EC5">
        <w:rPr>
          <w:rFonts w:eastAsia="Times New Roman"/>
        </w:rPr>
        <w:fldChar w:fldCharType="end"/>
      </w:r>
      <w:r w:rsidR="00312001">
        <w:rPr>
          <w:rFonts w:eastAsia="Times New Roman"/>
        </w:rPr>
        <w:t>)</w:t>
      </w:r>
      <w:r w:rsidRPr="00B27EF3">
        <w:rPr>
          <w:rFonts w:eastAsia="Times New Roman"/>
        </w:rPr>
        <w:t xml:space="preserve">. </w:t>
      </w:r>
      <w:r w:rsidR="008C2C33">
        <w:rPr>
          <w:rFonts w:eastAsia="Times New Roman"/>
        </w:rPr>
        <w:t>For example, in the percent distribution of place of treatment,</w:t>
      </w:r>
      <w:r w:rsidRPr="00B27EF3">
        <w:rPr>
          <w:rFonts w:eastAsia="Times New Roman"/>
        </w:rPr>
        <w:t xml:space="preserve"> Emergency and Observation </w:t>
      </w:r>
      <w:r w:rsidR="008C2C33">
        <w:rPr>
          <w:rFonts w:eastAsia="Times New Roman"/>
        </w:rPr>
        <w:t xml:space="preserve">declined by </w:t>
      </w:r>
      <w:r w:rsidRPr="00B27EF3">
        <w:rPr>
          <w:rFonts w:eastAsia="Times New Roman"/>
        </w:rPr>
        <w:t xml:space="preserve">0.46 and 1.13 percentage points respectively </w:t>
      </w:r>
      <w:r w:rsidR="008C2C33">
        <w:rPr>
          <w:rFonts w:eastAsia="Times New Roman"/>
        </w:rPr>
        <w:t>while the</w:t>
      </w:r>
      <w:r w:rsidRPr="00B27EF3">
        <w:rPr>
          <w:rFonts w:eastAsia="Times New Roman"/>
        </w:rPr>
        <w:t xml:space="preserve"> Inpatient</w:t>
      </w:r>
      <w:r w:rsidR="008C2C33">
        <w:rPr>
          <w:rFonts w:eastAsia="Times New Roman"/>
        </w:rPr>
        <w:t xml:space="preserve"> service increased by</w:t>
      </w:r>
      <w:r w:rsidRPr="00B27EF3">
        <w:rPr>
          <w:rFonts w:eastAsia="Times New Roman"/>
        </w:rPr>
        <w:t xml:space="preserve"> 1.59 percentage points. This finding suggests that costs, while difficult to assess </w:t>
      </w:r>
      <w:r w:rsidR="008C2C33">
        <w:rPr>
          <w:rFonts w:eastAsia="Times New Roman"/>
        </w:rPr>
        <w:t>might increase</w:t>
      </w:r>
      <w:r w:rsidRPr="00B27EF3">
        <w:rPr>
          <w:rFonts w:eastAsia="Times New Roman"/>
        </w:rPr>
        <w:t xml:space="preserve"> since inpatient costs are usually higher. </w:t>
      </w:r>
    </w:p>
    <w:p w14:paraId="69FE5BE0" w14:textId="77777777" w:rsidR="00CC18BE" w:rsidRDefault="00CC18BE" w:rsidP="00F9087D">
      <w:pPr>
        <w:keepNext/>
        <w:spacing w:line="360" w:lineRule="auto"/>
        <w:jc w:val="both"/>
      </w:pPr>
      <w:r>
        <w:rPr>
          <w:noProof/>
        </w:rPr>
        <w:drawing>
          <wp:inline distT="0" distB="0" distL="0" distR="0" wp14:anchorId="5F565ECE" wp14:editId="0F7FED4A">
            <wp:extent cx="4690753" cy="1900857"/>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4693488" cy="1901965"/>
                    </a:xfrm>
                    <a:prstGeom prst="rect">
                      <a:avLst/>
                    </a:prstGeom>
                  </pic:spPr>
                </pic:pic>
              </a:graphicData>
            </a:graphic>
          </wp:inline>
        </w:drawing>
      </w:r>
    </w:p>
    <w:p w14:paraId="5E179A6F" w14:textId="65574E82" w:rsidR="00CC18BE" w:rsidRPr="0024445D" w:rsidRDefault="00CC18BE" w:rsidP="0024445D">
      <w:pPr>
        <w:pStyle w:val="Caption"/>
        <w:rPr>
          <w:sz w:val="24"/>
        </w:rPr>
      </w:pPr>
      <w:bookmarkStart w:id="50" w:name="_Ref515139096"/>
      <w:r w:rsidRPr="0024445D">
        <w:rPr>
          <w:sz w:val="24"/>
        </w:rPr>
        <w:t xml:space="preserve">Figure </w:t>
      </w:r>
      <w:r w:rsidR="001B7EC5" w:rsidRPr="0024445D">
        <w:rPr>
          <w:sz w:val="24"/>
        </w:rPr>
        <w:fldChar w:fldCharType="begin"/>
      </w:r>
      <w:r w:rsidRPr="0024445D">
        <w:rPr>
          <w:sz w:val="24"/>
        </w:rPr>
        <w:instrText xml:space="preserve"> SEQ Figure \* ARABIC </w:instrText>
      </w:r>
      <w:r w:rsidR="001B7EC5" w:rsidRPr="0024445D">
        <w:rPr>
          <w:sz w:val="24"/>
        </w:rPr>
        <w:fldChar w:fldCharType="separate"/>
      </w:r>
      <w:r w:rsidRPr="0024445D">
        <w:rPr>
          <w:sz w:val="24"/>
        </w:rPr>
        <w:t>2</w:t>
      </w:r>
      <w:r w:rsidR="001B7EC5" w:rsidRPr="0024445D">
        <w:rPr>
          <w:sz w:val="24"/>
        </w:rPr>
        <w:fldChar w:fldCharType="end"/>
      </w:r>
      <w:r w:rsidRPr="0024445D">
        <w:rPr>
          <w:sz w:val="24"/>
        </w:rPr>
        <w:t>: Seattle Children</w:t>
      </w:r>
      <w:r w:rsidR="00D57C8D" w:rsidRPr="0024445D">
        <w:rPr>
          <w:sz w:val="24"/>
        </w:rPr>
        <w:t>’s</w:t>
      </w:r>
      <w:r w:rsidRPr="0024445D">
        <w:rPr>
          <w:sz w:val="24"/>
        </w:rPr>
        <w:t xml:space="preserve"> Hospital Patients </w:t>
      </w:r>
      <w:bookmarkEnd w:id="50"/>
      <w:r w:rsidR="00C57DA9">
        <w:rPr>
          <w:sz w:val="24"/>
        </w:rPr>
        <w:t>Flow</w:t>
      </w:r>
    </w:p>
    <w:p w14:paraId="4A8C6A0B" w14:textId="7EEEF759" w:rsidR="00D24D82" w:rsidRPr="00B27EF3" w:rsidRDefault="00D24D82" w:rsidP="005D5501">
      <w:pPr>
        <w:spacing w:line="360" w:lineRule="auto"/>
        <w:jc w:val="both"/>
        <w:rPr>
          <w:rFonts w:eastAsia="Times New Roman"/>
        </w:rPr>
      </w:pPr>
      <w:r w:rsidRPr="00B27EF3">
        <w:rPr>
          <w:rFonts w:eastAsia="Times New Roman"/>
        </w:rPr>
        <w:t xml:space="preserve">Early in the croup CSW pathway, there was no reliable way to capture patients who were seen in the ED, but received their dexamethasone elsewhere (PCP, UC). The shift in clinical units handling croup patients may have obscured </w:t>
      </w:r>
      <w:r w:rsidR="00D42C77">
        <w:rPr>
          <w:rFonts w:eastAsia="Times New Roman"/>
        </w:rPr>
        <w:t xml:space="preserve">the length of </w:t>
      </w:r>
      <w:r w:rsidR="00AA77CA">
        <w:rPr>
          <w:rFonts w:eastAsia="Times New Roman"/>
        </w:rPr>
        <w:t>s</w:t>
      </w:r>
      <w:r w:rsidR="00D42C77">
        <w:rPr>
          <w:rFonts w:eastAsia="Times New Roman"/>
        </w:rPr>
        <w:t>tay</w:t>
      </w:r>
      <w:r w:rsidRPr="00B27EF3">
        <w:rPr>
          <w:rFonts w:eastAsia="Times New Roman"/>
        </w:rPr>
        <w:t>, admission</w:t>
      </w:r>
      <w:r w:rsidR="00F16556">
        <w:rPr>
          <w:rFonts w:eastAsia="Times New Roman"/>
        </w:rPr>
        <w:t>,</w:t>
      </w:r>
      <w:r w:rsidRPr="00B27EF3">
        <w:rPr>
          <w:rFonts w:eastAsia="Times New Roman"/>
        </w:rPr>
        <w:t xml:space="preserve"> and readmission effects of the protocol. Over the past 2-3 years</w:t>
      </w:r>
      <w:r w:rsidR="007A5579">
        <w:rPr>
          <w:rFonts w:eastAsia="Times New Roman"/>
        </w:rPr>
        <w:t>,</w:t>
      </w:r>
      <w:r w:rsidRPr="00B27EF3">
        <w:rPr>
          <w:rFonts w:eastAsia="Times New Roman"/>
        </w:rPr>
        <w:t xml:space="preserve"> medication intake</w:t>
      </w:r>
      <w:r w:rsidR="007A5579">
        <w:rPr>
          <w:rFonts w:eastAsia="Times New Roman"/>
        </w:rPr>
        <w:t xml:space="preserve"> data</w:t>
      </w:r>
      <w:r w:rsidRPr="00B27EF3">
        <w:rPr>
          <w:rFonts w:eastAsia="Times New Roman"/>
        </w:rPr>
        <w:t xml:space="preserve"> in the ED has become much more reliable and SCH was able to better </w:t>
      </w:r>
      <w:r w:rsidR="00F47865">
        <w:rPr>
          <w:rFonts w:eastAsia="Times New Roman"/>
        </w:rPr>
        <w:lastRenderedPageBreak/>
        <w:t>track</w:t>
      </w:r>
      <w:r w:rsidRPr="00B27EF3">
        <w:rPr>
          <w:rFonts w:eastAsia="Times New Roman"/>
        </w:rPr>
        <w:t xml:space="preserve"> patients and patients related numbers. Further studies may </w:t>
      </w:r>
      <w:r w:rsidR="008C2C33">
        <w:rPr>
          <w:rFonts w:eastAsia="Times New Roman"/>
        </w:rPr>
        <w:t>examine</w:t>
      </w:r>
      <w:r w:rsidRPr="00B27EF3">
        <w:rPr>
          <w:rFonts w:eastAsia="Times New Roman"/>
        </w:rPr>
        <w:t xml:space="preserve"> the data year by year from for a better understanding of resource use, and its impact on patient outcomes.</w:t>
      </w:r>
    </w:p>
    <w:p w14:paraId="07CCFA0C" w14:textId="77777777" w:rsidR="00AE0E1E" w:rsidRDefault="00D24D82" w:rsidP="005D5501">
      <w:pPr>
        <w:spacing w:line="360" w:lineRule="auto"/>
        <w:jc w:val="both"/>
        <w:rPr>
          <w:rFonts w:eastAsia="Times New Roman"/>
        </w:rPr>
      </w:pPr>
      <w:r w:rsidRPr="00B27EF3">
        <w:rPr>
          <w:rFonts w:eastAsia="Times New Roman"/>
        </w:rPr>
        <w:t xml:space="preserve">Our study has several limitations. Being a retrospective study, we relied on information from clinical and administrative data at </w:t>
      </w:r>
      <w:r w:rsidR="00F229B9">
        <w:rPr>
          <w:rFonts w:eastAsia="Times New Roman"/>
        </w:rPr>
        <w:t xml:space="preserve">Seattle Children’s </w:t>
      </w:r>
      <w:r w:rsidRPr="00B27EF3">
        <w:rPr>
          <w:rFonts w:eastAsia="Times New Roman"/>
        </w:rPr>
        <w:t>Hospital over a 7-year time period, only focusing on patient data. Therefore, related results might not generalize to other institutions. Furthermore, providers at children’s hospitals may have more experience with croup management and/or may have institutional clinical care guidelines to guide management and treatment decisions. In which case our findings may underestimate utilization and would need to be reviewed based on these guidelines and knowledge.</w:t>
      </w:r>
    </w:p>
    <w:p w14:paraId="5DA14DDD" w14:textId="77777777" w:rsidR="008656E0" w:rsidRPr="00B27EF3" w:rsidRDefault="008656E0" w:rsidP="008656E0">
      <w:pPr>
        <w:spacing w:line="360" w:lineRule="auto"/>
        <w:jc w:val="both"/>
        <w:rPr>
          <w:rFonts w:eastAsia="Times New Roman"/>
        </w:rPr>
      </w:pPr>
      <w:r w:rsidRPr="00B27EF3">
        <w:rPr>
          <w:rFonts w:eastAsia="Times New Roman"/>
        </w:rPr>
        <w:t xml:space="preserve">Ordinary least square applied </w:t>
      </w:r>
      <w:r>
        <w:rPr>
          <w:rFonts w:eastAsia="Times New Roman"/>
        </w:rPr>
        <w:t>to</w:t>
      </w:r>
      <w:r w:rsidRPr="00B27EF3">
        <w:rPr>
          <w:rFonts w:eastAsia="Times New Roman"/>
        </w:rPr>
        <w:t xml:space="preserve"> i</w:t>
      </w:r>
      <w:r>
        <w:rPr>
          <w:rFonts w:eastAsia="Times New Roman"/>
        </w:rPr>
        <w:t>n</w:t>
      </w:r>
      <w:r w:rsidRPr="00B27EF3">
        <w:rPr>
          <w:rFonts w:eastAsia="Times New Roman"/>
        </w:rPr>
        <w:t xml:space="preserve">patient length of stay was not conclusive enough to assess the weight of dexamethasone on how long patients stay at the hospital for croup related illness. However, </w:t>
      </w:r>
      <w:r>
        <w:rPr>
          <w:rFonts w:eastAsia="Times New Roman"/>
        </w:rPr>
        <w:t>analyzing</w:t>
      </w:r>
      <w:r w:rsidRPr="00B27EF3">
        <w:rPr>
          <w:rFonts w:eastAsia="Times New Roman"/>
        </w:rPr>
        <w:t xml:space="preserve"> </w:t>
      </w:r>
      <w:r w:rsidR="005E4D83">
        <w:rPr>
          <w:rFonts w:eastAsia="Times New Roman"/>
        </w:rPr>
        <w:t>Pre-CSW</w:t>
      </w:r>
      <w:r w:rsidR="009C63DD">
        <w:rPr>
          <w:rFonts w:eastAsia="Times New Roman"/>
        </w:rPr>
        <w:t xml:space="preserve"> and </w:t>
      </w:r>
      <w:r w:rsidR="005E4D83">
        <w:rPr>
          <w:rFonts w:eastAsia="Times New Roman"/>
        </w:rPr>
        <w:t>Post-CSW</w:t>
      </w:r>
      <w:r w:rsidR="009C63DD">
        <w:rPr>
          <w:rFonts w:eastAsia="Times New Roman"/>
        </w:rPr>
        <w:t xml:space="preserve"> </w:t>
      </w:r>
      <w:r w:rsidRPr="00B27EF3">
        <w:rPr>
          <w:rFonts w:eastAsia="Times New Roman"/>
        </w:rPr>
        <w:t xml:space="preserve">data </w:t>
      </w:r>
      <w:r>
        <w:rPr>
          <w:rFonts w:eastAsia="Times New Roman"/>
        </w:rPr>
        <w:t>with the</w:t>
      </w:r>
      <w:r w:rsidRPr="00B27EF3">
        <w:rPr>
          <w:rFonts w:eastAsia="Times New Roman"/>
        </w:rPr>
        <w:t xml:space="preserve"> Welch’s test, we noticed an increase of 10.63 minutes in average. It is worth noting that, 10.6 minutes may be statistically significant but not clinically relevant since the shift of patients between UC and ED may wind up accounting for this difference for administrative rather than clinical management reasons; or the patient severity mix might have changed.</w:t>
      </w:r>
    </w:p>
    <w:p w14:paraId="1034F746" w14:textId="77777777" w:rsidR="00F16CE8" w:rsidRPr="00754054" w:rsidRDefault="00F16CE8" w:rsidP="00546F5B">
      <w:pPr>
        <w:pStyle w:val="Heading1"/>
      </w:pPr>
      <w:r w:rsidRPr="00754054">
        <w:t>Conclusion</w:t>
      </w:r>
    </w:p>
    <w:p w14:paraId="5AFEDFB1" w14:textId="599706AA" w:rsidR="009A4413" w:rsidRPr="00020542" w:rsidRDefault="00F16CE8" w:rsidP="009A4413">
      <w:pPr>
        <w:spacing w:line="360" w:lineRule="auto"/>
        <w:jc w:val="both"/>
        <w:rPr>
          <w:rFonts w:eastAsia="Times New Roman" w:cstheme="minorHAnsi"/>
        </w:rPr>
      </w:pPr>
      <w:r w:rsidRPr="00B27EF3">
        <w:t xml:space="preserve">With the implementation of the croup CSW pathway, SCH </w:t>
      </w:r>
      <w:r w:rsidR="008067BF">
        <w:t>experienced</w:t>
      </w:r>
      <w:r w:rsidR="008067BF" w:rsidRPr="00B27EF3">
        <w:t xml:space="preserve"> </w:t>
      </w:r>
      <w:r w:rsidRPr="00B27EF3">
        <w:t xml:space="preserve">a decrease in the administration of </w:t>
      </w:r>
      <w:r w:rsidRPr="00B27EF3">
        <w:rPr>
          <w:rFonts w:eastAsia="Times New Roman"/>
        </w:rPr>
        <w:t xml:space="preserve">racemic epinephrine </w:t>
      </w:r>
      <w:r w:rsidRPr="00B27EF3">
        <w:t>in UC</w:t>
      </w:r>
      <w:r w:rsidR="008A6D65">
        <w:t xml:space="preserve"> and </w:t>
      </w:r>
      <w:r w:rsidR="008A6D65" w:rsidRPr="00B27EF3">
        <w:t>dexamethasone</w:t>
      </w:r>
      <w:r w:rsidR="008A6D65">
        <w:t xml:space="preserve"> in ED;</w:t>
      </w:r>
      <w:r w:rsidRPr="00B27EF3">
        <w:t xml:space="preserve"> and an increase of dexamethasone administration in UC</w:t>
      </w:r>
      <w:r w:rsidR="00BE6D1A">
        <w:t xml:space="preserve">, validating the hypothesis that there will be </w:t>
      </w:r>
      <w:r w:rsidR="00F47865">
        <w:t xml:space="preserve">changes </w:t>
      </w:r>
      <w:r w:rsidR="00BE6D1A">
        <w:t xml:space="preserve">in management of croup patients </w:t>
      </w:r>
      <w:proofErr w:type="gramStart"/>
      <w:r w:rsidR="00BE6D1A">
        <w:t>as a consequence of</w:t>
      </w:r>
      <w:proofErr w:type="gramEnd"/>
      <w:r w:rsidR="00BE6D1A">
        <w:t xml:space="preserve"> implementing the CSW pathway</w:t>
      </w:r>
      <w:r w:rsidR="004C04D1">
        <w:t>, while reject</w:t>
      </w:r>
      <w:r w:rsidR="007B3BD1">
        <w:t xml:space="preserve">ing the hypothesis that no significant variation in the use of resources will be </w:t>
      </w:r>
      <w:r w:rsidR="00F47865">
        <w:t>detected</w:t>
      </w:r>
      <w:r w:rsidR="007B3BD1">
        <w:t>.</w:t>
      </w:r>
      <w:r w:rsidRPr="00B27EF3">
        <w:t xml:space="preserve">  </w:t>
      </w:r>
      <w:bookmarkStart w:id="51" w:name="_Hlk515656878"/>
      <w:r w:rsidRPr="00B27EF3">
        <w:t>R</w:t>
      </w:r>
      <w:r w:rsidRPr="00B27EF3">
        <w:rPr>
          <w:rFonts w:eastAsia="Times New Roman"/>
        </w:rPr>
        <w:t>acemic e</w:t>
      </w:r>
      <w:r w:rsidRPr="00B27EF3">
        <w:rPr>
          <w:rFonts w:eastAsia="Times New Roman" w:cstheme="minorHAnsi"/>
        </w:rPr>
        <w:t xml:space="preserve">pinephrine use was found to be a strong predictor in </w:t>
      </w:r>
      <w:r w:rsidR="000E5279">
        <w:rPr>
          <w:rFonts w:eastAsia="Times New Roman" w:cstheme="minorHAnsi"/>
        </w:rPr>
        <w:t xml:space="preserve">inpatient </w:t>
      </w:r>
      <w:r w:rsidRPr="00B27EF3">
        <w:rPr>
          <w:rFonts w:eastAsia="Times New Roman" w:cstheme="minorHAnsi"/>
        </w:rPr>
        <w:t xml:space="preserve">admission rates compared to dexamethasone whose contribution in admission rate reduction has seen an </w:t>
      </w:r>
      <w:r w:rsidR="00487036">
        <w:rPr>
          <w:rFonts w:eastAsia="Times New Roman" w:cstheme="minorHAnsi"/>
        </w:rPr>
        <w:t>88%</w:t>
      </w:r>
      <w:bookmarkStart w:id="52" w:name="_GoBack"/>
      <w:bookmarkEnd w:id="52"/>
      <w:r w:rsidRPr="00B27EF3">
        <w:rPr>
          <w:rFonts w:eastAsia="Times New Roman" w:cstheme="minorHAnsi"/>
        </w:rPr>
        <w:t xml:space="preserve"> increase in percentage points during the croup CSW implementation. </w:t>
      </w:r>
      <w:bookmarkEnd w:id="51"/>
      <w:r w:rsidRPr="00B27EF3">
        <w:rPr>
          <w:rFonts w:eastAsia="Times New Roman"/>
        </w:rPr>
        <w:t>Compari</w:t>
      </w:r>
      <w:r w:rsidR="001B7114">
        <w:rPr>
          <w:rFonts w:eastAsia="Times New Roman"/>
        </w:rPr>
        <w:t>ng</w:t>
      </w:r>
      <w:r w:rsidRPr="00B27EF3">
        <w:rPr>
          <w:rFonts w:eastAsia="Times New Roman"/>
        </w:rPr>
        <w:t xml:space="preserve"> </w:t>
      </w:r>
      <w:r w:rsidR="008067BF" w:rsidRPr="00B27EF3">
        <w:rPr>
          <w:rFonts w:eastAsia="Times New Roman"/>
        </w:rPr>
        <w:t>i</w:t>
      </w:r>
      <w:r w:rsidR="008067BF">
        <w:rPr>
          <w:rFonts w:eastAsia="Times New Roman"/>
        </w:rPr>
        <w:t>n</w:t>
      </w:r>
      <w:r w:rsidR="008067BF" w:rsidRPr="00B27EF3">
        <w:rPr>
          <w:rFonts w:eastAsia="Times New Roman"/>
        </w:rPr>
        <w:t xml:space="preserve">patient </w:t>
      </w:r>
      <w:r w:rsidRPr="00B27EF3">
        <w:rPr>
          <w:rFonts w:eastAsia="Times New Roman"/>
        </w:rPr>
        <w:t xml:space="preserve">length of stay between </w:t>
      </w:r>
      <w:r w:rsidR="005E4D83">
        <w:rPr>
          <w:rFonts w:eastAsia="Times New Roman"/>
        </w:rPr>
        <w:t>Pre-CSW</w:t>
      </w:r>
      <w:r w:rsidR="009C63DD">
        <w:rPr>
          <w:rFonts w:eastAsia="Times New Roman"/>
        </w:rPr>
        <w:t xml:space="preserve"> and </w:t>
      </w:r>
      <w:r w:rsidR="005E4D83">
        <w:rPr>
          <w:rFonts w:eastAsia="Times New Roman"/>
        </w:rPr>
        <w:t>Post-CSW</w:t>
      </w:r>
      <w:r w:rsidR="009C63DD">
        <w:rPr>
          <w:rFonts w:eastAsia="Times New Roman"/>
        </w:rPr>
        <w:t xml:space="preserve"> </w:t>
      </w:r>
      <w:r w:rsidRPr="00B27EF3">
        <w:rPr>
          <w:rFonts w:eastAsia="Times New Roman"/>
        </w:rPr>
        <w:t xml:space="preserve">data was statistically significant, but probably </w:t>
      </w:r>
      <w:r w:rsidRPr="00B27EF3">
        <w:t xml:space="preserve">not clinically relevant since the shift of patients between UC and ED may wind up accounting for this difference for administrative rather than clinical management reasons; or the patient severity mix might have changed. </w:t>
      </w:r>
      <w:r w:rsidR="009A4413">
        <w:t xml:space="preserve">However, </w:t>
      </w:r>
      <w:bookmarkStart w:id="53" w:name="_Hlk512808024"/>
      <w:r w:rsidR="009A4413">
        <w:rPr>
          <w:rFonts w:eastAsia="Times New Roman" w:cstheme="minorHAnsi"/>
        </w:rPr>
        <w:t>comparing inpatient length of stay between UC</w:t>
      </w:r>
      <w:r w:rsidR="00F10668">
        <w:rPr>
          <w:rFonts w:eastAsia="Times New Roman" w:cstheme="minorHAnsi"/>
        </w:rPr>
        <w:t xml:space="preserve"> </w:t>
      </w:r>
      <w:r w:rsidR="005E4D83">
        <w:rPr>
          <w:rFonts w:eastAsia="Times New Roman" w:cstheme="minorHAnsi"/>
        </w:rPr>
        <w:t>Pre-CSW</w:t>
      </w:r>
      <w:r w:rsidR="009A4413">
        <w:rPr>
          <w:rFonts w:eastAsia="Times New Roman" w:cstheme="minorHAnsi"/>
        </w:rPr>
        <w:t xml:space="preserve"> vs. ED</w:t>
      </w:r>
      <w:r w:rsidR="00647B18">
        <w:rPr>
          <w:rFonts w:eastAsia="Times New Roman" w:cstheme="minorHAnsi"/>
        </w:rPr>
        <w:t xml:space="preserve"> </w:t>
      </w:r>
      <w:r w:rsidR="005E4D83">
        <w:rPr>
          <w:rFonts w:eastAsia="Times New Roman" w:cstheme="minorHAnsi"/>
        </w:rPr>
        <w:t>Pre-CSW</w:t>
      </w:r>
      <w:r w:rsidR="009A4413">
        <w:rPr>
          <w:rFonts w:eastAsia="Times New Roman" w:cstheme="minorHAnsi"/>
        </w:rPr>
        <w:t xml:space="preserve"> and UC</w:t>
      </w:r>
      <w:r w:rsidR="00726AC4">
        <w:rPr>
          <w:rFonts w:eastAsia="Times New Roman" w:cstheme="minorHAnsi"/>
        </w:rPr>
        <w:t xml:space="preserve"> </w:t>
      </w:r>
      <w:r w:rsidR="005E4D83">
        <w:rPr>
          <w:rFonts w:eastAsia="Times New Roman" w:cstheme="minorHAnsi"/>
        </w:rPr>
        <w:t>Post-CSW</w:t>
      </w:r>
      <w:r w:rsidR="009A4413">
        <w:rPr>
          <w:rFonts w:eastAsia="Times New Roman" w:cstheme="minorHAnsi"/>
        </w:rPr>
        <w:t xml:space="preserve"> and ED</w:t>
      </w:r>
      <w:r w:rsidR="00726AC4">
        <w:rPr>
          <w:rFonts w:eastAsia="Times New Roman" w:cstheme="minorHAnsi"/>
        </w:rPr>
        <w:t xml:space="preserve"> </w:t>
      </w:r>
      <w:r w:rsidR="005E4D83">
        <w:rPr>
          <w:rFonts w:eastAsia="Times New Roman" w:cstheme="minorHAnsi"/>
        </w:rPr>
        <w:t>Post-CSW</w:t>
      </w:r>
      <w:r w:rsidR="009A4413">
        <w:rPr>
          <w:rFonts w:eastAsia="Times New Roman" w:cstheme="minorHAnsi"/>
        </w:rPr>
        <w:t xml:space="preserve"> yields </w:t>
      </w:r>
      <w:r w:rsidR="003E6F73">
        <w:rPr>
          <w:rFonts w:eastAsia="Times New Roman" w:cstheme="minorHAnsi"/>
        </w:rPr>
        <w:t xml:space="preserve">statistically </w:t>
      </w:r>
      <w:r w:rsidR="00C163E5">
        <w:rPr>
          <w:rFonts w:eastAsia="Times New Roman" w:cstheme="minorHAnsi"/>
        </w:rPr>
        <w:t>significant differences</w:t>
      </w:r>
      <w:r w:rsidR="009A4413">
        <w:rPr>
          <w:rFonts w:eastAsia="Times New Roman" w:cstheme="minorHAnsi"/>
        </w:rPr>
        <w:t xml:space="preserve">, </w:t>
      </w:r>
      <w:bookmarkEnd w:id="53"/>
      <w:r w:rsidR="009A4413">
        <w:rPr>
          <w:rFonts w:eastAsia="Times New Roman" w:cstheme="minorHAnsi"/>
        </w:rPr>
        <w:t xml:space="preserve">suggesting that there is a significant variation in patient outcomes in both settings, rejecting the hypothesis that </w:t>
      </w:r>
      <w:r w:rsidR="00AF071E">
        <w:rPr>
          <w:rFonts w:eastAsia="Times New Roman" w:cstheme="minorHAnsi"/>
        </w:rPr>
        <w:t xml:space="preserve">there </w:t>
      </w:r>
      <w:r w:rsidR="009A4413">
        <w:rPr>
          <w:rFonts w:eastAsia="Times New Roman" w:cstheme="minorHAnsi"/>
        </w:rPr>
        <w:t xml:space="preserve">will be no variation in </w:t>
      </w:r>
      <w:r w:rsidR="0053669F">
        <w:rPr>
          <w:rFonts w:eastAsia="Times New Roman" w:cstheme="minorHAnsi"/>
        </w:rPr>
        <w:t>patient outcomes</w:t>
      </w:r>
      <w:r w:rsidR="009A4413">
        <w:rPr>
          <w:rFonts w:eastAsia="Times New Roman" w:cstheme="minorHAnsi"/>
        </w:rPr>
        <w:t xml:space="preserve"> between UC and ED.</w:t>
      </w:r>
    </w:p>
    <w:p w14:paraId="7ED86A08" w14:textId="3B9FC23B" w:rsidR="00B93FF1" w:rsidRDefault="00F16CE8" w:rsidP="00320452">
      <w:pPr>
        <w:spacing w:line="360" w:lineRule="auto"/>
        <w:jc w:val="both"/>
      </w:pPr>
      <w:r w:rsidRPr="00B27EF3">
        <w:lastRenderedPageBreak/>
        <w:t xml:space="preserve">A </w:t>
      </w:r>
      <w:r w:rsidRPr="00B27EF3">
        <w:rPr>
          <w:rFonts w:eastAsia="Times New Roman" w:cstheme="minorHAnsi"/>
        </w:rPr>
        <w:t xml:space="preserve">shift in clinical service handling croup took place during the timeframe covered by this study with Emergency and Observation </w:t>
      </w:r>
      <w:r w:rsidR="008067BF">
        <w:rPr>
          <w:rFonts w:eastAsia="Times New Roman" w:cstheme="minorHAnsi"/>
        </w:rPr>
        <w:t xml:space="preserve">treating fewer </w:t>
      </w:r>
      <w:r w:rsidRPr="00B27EF3">
        <w:rPr>
          <w:rFonts w:eastAsia="Times New Roman" w:cstheme="minorHAnsi"/>
        </w:rPr>
        <w:t xml:space="preserve">patients </w:t>
      </w:r>
      <w:r w:rsidR="008067BF">
        <w:rPr>
          <w:rFonts w:eastAsia="Times New Roman" w:cstheme="minorHAnsi"/>
        </w:rPr>
        <w:t>while a higher proportion of patients were admitted to the</w:t>
      </w:r>
      <w:r w:rsidR="008067BF" w:rsidRPr="00B27EF3">
        <w:rPr>
          <w:rFonts w:eastAsia="Times New Roman" w:cstheme="minorHAnsi"/>
        </w:rPr>
        <w:t xml:space="preserve"> </w:t>
      </w:r>
      <w:r w:rsidR="000E5279">
        <w:rPr>
          <w:rFonts w:eastAsia="Times New Roman" w:cstheme="minorHAnsi"/>
        </w:rPr>
        <w:t>i</w:t>
      </w:r>
      <w:r w:rsidRPr="00B27EF3">
        <w:rPr>
          <w:rFonts w:eastAsia="Times New Roman" w:cstheme="minorHAnsi"/>
        </w:rPr>
        <w:t>npatient</w:t>
      </w:r>
      <w:r w:rsidR="008067BF">
        <w:rPr>
          <w:rFonts w:eastAsia="Times New Roman" w:cstheme="minorHAnsi"/>
        </w:rPr>
        <w:t xml:space="preserve"> service</w:t>
      </w:r>
      <w:r w:rsidRPr="00B27EF3">
        <w:rPr>
          <w:rFonts w:eastAsia="Times New Roman" w:cstheme="minorHAnsi"/>
        </w:rPr>
        <w:t xml:space="preserve">, </w:t>
      </w:r>
      <w:r w:rsidRPr="00B27EF3">
        <w:t xml:space="preserve">suggesting that costs, while difficult to assess will probably go up since inpatient costs are usually higher. </w:t>
      </w:r>
      <w:r w:rsidR="00F16556">
        <w:t>We recommend f</w:t>
      </w:r>
      <w:r w:rsidRPr="00B27EF3">
        <w:t xml:space="preserve">urther studies to better understand the relationships between patient outcomes and </w:t>
      </w:r>
      <w:r w:rsidR="008067BF">
        <w:t xml:space="preserve">this </w:t>
      </w:r>
      <w:r w:rsidRPr="00B27EF3">
        <w:t>study’s predictors</w:t>
      </w:r>
      <w:r>
        <w:t>.</w:t>
      </w:r>
    </w:p>
    <w:p w14:paraId="4F68A1DA" w14:textId="77777777" w:rsidR="00B93FF1" w:rsidRDefault="00B93FF1">
      <w:r>
        <w:br w:type="page"/>
      </w:r>
    </w:p>
    <w:p w14:paraId="7C16063A" w14:textId="77777777" w:rsidR="00224B18" w:rsidRDefault="00224B18" w:rsidP="00224B18">
      <w:pPr>
        <w:pStyle w:val="Heading1"/>
      </w:pPr>
      <w:r>
        <w:lastRenderedPageBreak/>
        <w:t xml:space="preserve">Table of </w:t>
      </w:r>
      <w:r w:rsidR="00546F5B">
        <w:t>Tables</w:t>
      </w:r>
    </w:p>
    <w:p w14:paraId="73F9DDB2" w14:textId="77777777" w:rsidR="00224B18" w:rsidRDefault="001B7EC5">
      <w:pPr>
        <w:pStyle w:val="TableofFigures"/>
        <w:tabs>
          <w:tab w:val="right" w:leader="dot" w:pos="9350"/>
        </w:tabs>
        <w:rPr>
          <w:noProof/>
        </w:rPr>
      </w:pPr>
      <w:r>
        <w:fldChar w:fldCharType="begin"/>
      </w:r>
      <w:r w:rsidR="00224B18">
        <w:instrText xml:space="preserve"> TOC \h \z \c "Table" </w:instrText>
      </w:r>
      <w:r>
        <w:fldChar w:fldCharType="separate"/>
      </w:r>
      <w:hyperlink w:anchor="_Toc515706940" w:history="1">
        <w:r w:rsidR="00224B18" w:rsidRPr="00BB6E76">
          <w:rPr>
            <w:rStyle w:val="Hyperlink"/>
            <w:noProof/>
          </w:rPr>
          <w:t>Table 1: Patients Demographic Characteristics</w:t>
        </w:r>
        <w:r w:rsidR="00224B18">
          <w:rPr>
            <w:noProof/>
            <w:webHidden/>
          </w:rPr>
          <w:tab/>
        </w:r>
        <w:r>
          <w:rPr>
            <w:noProof/>
            <w:webHidden/>
          </w:rPr>
          <w:fldChar w:fldCharType="begin"/>
        </w:r>
        <w:r w:rsidR="00224B18">
          <w:rPr>
            <w:noProof/>
            <w:webHidden/>
          </w:rPr>
          <w:instrText xml:space="preserve"> PAGEREF _Toc515706940 \h </w:instrText>
        </w:r>
        <w:r>
          <w:rPr>
            <w:noProof/>
            <w:webHidden/>
          </w:rPr>
        </w:r>
        <w:r>
          <w:rPr>
            <w:noProof/>
            <w:webHidden/>
          </w:rPr>
          <w:fldChar w:fldCharType="separate"/>
        </w:r>
        <w:r w:rsidR="00224B18">
          <w:rPr>
            <w:noProof/>
            <w:webHidden/>
          </w:rPr>
          <w:t>14</w:t>
        </w:r>
        <w:r>
          <w:rPr>
            <w:noProof/>
            <w:webHidden/>
          </w:rPr>
          <w:fldChar w:fldCharType="end"/>
        </w:r>
      </w:hyperlink>
    </w:p>
    <w:p w14:paraId="53BAF4F7" w14:textId="77777777" w:rsidR="00224B18" w:rsidRDefault="00352300">
      <w:pPr>
        <w:pStyle w:val="TableofFigures"/>
        <w:tabs>
          <w:tab w:val="right" w:leader="dot" w:pos="9350"/>
        </w:tabs>
        <w:rPr>
          <w:noProof/>
        </w:rPr>
      </w:pPr>
      <w:hyperlink w:anchor="_Toc515706941" w:history="1">
        <w:r w:rsidR="00224B18" w:rsidRPr="00BB6E76">
          <w:rPr>
            <w:rStyle w:val="Hyperlink"/>
            <w:noProof/>
          </w:rPr>
          <w:t>Table 2: Resource Use</w:t>
        </w:r>
        <w:r w:rsidR="00224B18">
          <w:rPr>
            <w:noProof/>
            <w:webHidden/>
          </w:rPr>
          <w:tab/>
        </w:r>
        <w:r w:rsidR="001B7EC5">
          <w:rPr>
            <w:noProof/>
            <w:webHidden/>
          </w:rPr>
          <w:fldChar w:fldCharType="begin"/>
        </w:r>
        <w:r w:rsidR="00224B18">
          <w:rPr>
            <w:noProof/>
            <w:webHidden/>
          </w:rPr>
          <w:instrText xml:space="preserve"> PAGEREF _Toc515706941 \h </w:instrText>
        </w:r>
        <w:r w:rsidR="001B7EC5">
          <w:rPr>
            <w:noProof/>
            <w:webHidden/>
          </w:rPr>
        </w:r>
        <w:r w:rsidR="001B7EC5">
          <w:rPr>
            <w:noProof/>
            <w:webHidden/>
          </w:rPr>
          <w:fldChar w:fldCharType="separate"/>
        </w:r>
        <w:r w:rsidR="00224B18">
          <w:rPr>
            <w:noProof/>
            <w:webHidden/>
          </w:rPr>
          <w:t>14</w:t>
        </w:r>
        <w:r w:rsidR="001B7EC5">
          <w:rPr>
            <w:noProof/>
            <w:webHidden/>
          </w:rPr>
          <w:fldChar w:fldCharType="end"/>
        </w:r>
      </w:hyperlink>
    </w:p>
    <w:p w14:paraId="465498F2" w14:textId="77777777" w:rsidR="00224B18" w:rsidRDefault="00352300">
      <w:pPr>
        <w:pStyle w:val="TableofFigures"/>
        <w:tabs>
          <w:tab w:val="right" w:leader="dot" w:pos="9350"/>
        </w:tabs>
        <w:rPr>
          <w:noProof/>
        </w:rPr>
      </w:pPr>
      <w:hyperlink w:anchor="_Toc515706942" w:history="1">
        <w:r w:rsidR="00224B18" w:rsidRPr="00BB6E76">
          <w:rPr>
            <w:rStyle w:val="Hyperlink"/>
            <w:noProof/>
          </w:rPr>
          <w:t>Table 3: Patients' Outcomes</w:t>
        </w:r>
        <w:r w:rsidR="00224B18">
          <w:rPr>
            <w:noProof/>
            <w:webHidden/>
          </w:rPr>
          <w:tab/>
        </w:r>
        <w:r w:rsidR="001B7EC5">
          <w:rPr>
            <w:noProof/>
            <w:webHidden/>
          </w:rPr>
          <w:fldChar w:fldCharType="begin"/>
        </w:r>
        <w:r w:rsidR="00224B18">
          <w:rPr>
            <w:noProof/>
            <w:webHidden/>
          </w:rPr>
          <w:instrText xml:space="preserve"> PAGEREF _Toc515706942 \h </w:instrText>
        </w:r>
        <w:r w:rsidR="001B7EC5">
          <w:rPr>
            <w:noProof/>
            <w:webHidden/>
          </w:rPr>
        </w:r>
        <w:r w:rsidR="001B7EC5">
          <w:rPr>
            <w:noProof/>
            <w:webHidden/>
          </w:rPr>
          <w:fldChar w:fldCharType="separate"/>
        </w:r>
        <w:r w:rsidR="00224B18">
          <w:rPr>
            <w:noProof/>
            <w:webHidden/>
          </w:rPr>
          <w:t>15</w:t>
        </w:r>
        <w:r w:rsidR="001B7EC5">
          <w:rPr>
            <w:noProof/>
            <w:webHidden/>
          </w:rPr>
          <w:fldChar w:fldCharType="end"/>
        </w:r>
      </w:hyperlink>
    </w:p>
    <w:p w14:paraId="367C675D" w14:textId="77777777" w:rsidR="00224B18" w:rsidRDefault="00352300">
      <w:pPr>
        <w:pStyle w:val="TableofFigures"/>
        <w:tabs>
          <w:tab w:val="right" w:leader="dot" w:pos="9350"/>
        </w:tabs>
        <w:rPr>
          <w:noProof/>
        </w:rPr>
      </w:pPr>
      <w:hyperlink w:anchor="_Toc515706943" w:history="1">
        <w:r w:rsidR="00224B18" w:rsidRPr="00BB6E76">
          <w:rPr>
            <w:rStyle w:val="Hyperlink"/>
            <w:noProof/>
          </w:rPr>
          <w:t>Table 4: Welch's test for Length of Stay in UC</w:t>
        </w:r>
        <w:r w:rsidR="00224B18">
          <w:rPr>
            <w:noProof/>
            <w:webHidden/>
          </w:rPr>
          <w:tab/>
        </w:r>
        <w:r w:rsidR="001B7EC5">
          <w:rPr>
            <w:noProof/>
            <w:webHidden/>
          </w:rPr>
          <w:fldChar w:fldCharType="begin"/>
        </w:r>
        <w:r w:rsidR="00224B18">
          <w:rPr>
            <w:noProof/>
            <w:webHidden/>
          </w:rPr>
          <w:instrText xml:space="preserve"> PAGEREF _Toc515706943 \h </w:instrText>
        </w:r>
        <w:r w:rsidR="001B7EC5">
          <w:rPr>
            <w:noProof/>
            <w:webHidden/>
          </w:rPr>
        </w:r>
        <w:r w:rsidR="001B7EC5">
          <w:rPr>
            <w:noProof/>
            <w:webHidden/>
          </w:rPr>
          <w:fldChar w:fldCharType="separate"/>
        </w:r>
        <w:r w:rsidR="00224B18">
          <w:rPr>
            <w:noProof/>
            <w:webHidden/>
          </w:rPr>
          <w:t>16</w:t>
        </w:r>
        <w:r w:rsidR="001B7EC5">
          <w:rPr>
            <w:noProof/>
            <w:webHidden/>
          </w:rPr>
          <w:fldChar w:fldCharType="end"/>
        </w:r>
      </w:hyperlink>
    </w:p>
    <w:p w14:paraId="5D962064" w14:textId="77777777" w:rsidR="00224B18" w:rsidRDefault="00352300">
      <w:pPr>
        <w:pStyle w:val="TableofFigures"/>
        <w:tabs>
          <w:tab w:val="right" w:leader="dot" w:pos="9350"/>
        </w:tabs>
        <w:rPr>
          <w:noProof/>
        </w:rPr>
      </w:pPr>
      <w:hyperlink w:anchor="_Toc515706944" w:history="1">
        <w:r w:rsidR="00224B18" w:rsidRPr="00BB6E76">
          <w:rPr>
            <w:rStyle w:val="Hyperlink"/>
            <w:noProof/>
          </w:rPr>
          <w:t>Table 5: Welch's test for Length of Stay in ED</w:t>
        </w:r>
        <w:r w:rsidR="00224B18">
          <w:rPr>
            <w:noProof/>
            <w:webHidden/>
          </w:rPr>
          <w:tab/>
        </w:r>
        <w:r w:rsidR="001B7EC5">
          <w:rPr>
            <w:noProof/>
            <w:webHidden/>
          </w:rPr>
          <w:fldChar w:fldCharType="begin"/>
        </w:r>
        <w:r w:rsidR="00224B18">
          <w:rPr>
            <w:noProof/>
            <w:webHidden/>
          </w:rPr>
          <w:instrText xml:space="preserve"> PAGEREF _Toc515706944 \h </w:instrText>
        </w:r>
        <w:r w:rsidR="001B7EC5">
          <w:rPr>
            <w:noProof/>
            <w:webHidden/>
          </w:rPr>
        </w:r>
        <w:r w:rsidR="001B7EC5">
          <w:rPr>
            <w:noProof/>
            <w:webHidden/>
          </w:rPr>
          <w:fldChar w:fldCharType="separate"/>
        </w:r>
        <w:r w:rsidR="00224B18">
          <w:rPr>
            <w:noProof/>
            <w:webHidden/>
          </w:rPr>
          <w:t>16</w:t>
        </w:r>
        <w:r w:rsidR="001B7EC5">
          <w:rPr>
            <w:noProof/>
            <w:webHidden/>
          </w:rPr>
          <w:fldChar w:fldCharType="end"/>
        </w:r>
      </w:hyperlink>
    </w:p>
    <w:p w14:paraId="636592B7" w14:textId="77777777" w:rsidR="00224B18" w:rsidRDefault="00352300">
      <w:pPr>
        <w:pStyle w:val="TableofFigures"/>
        <w:tabs>
          <w:tab w:val="right" w:leader="dot" w:pos="9350"/>
        </w:tabs>
        <w:rPr>
          <w:noProof/>
        </w:rPr>
      </w:pPr>
      <w:hyperlink w:anchor="_Toc515706945" w:history="1">
        <w:r w:rsidR="00224B18" w:rsidRPr="00BB6E76">
          <w:rPr>
            <w:rStyle w:val="Hyperlink"/>
            <w:noProof/>
          </w:rPr>
          <w:t>Table 6: Summary of outcomes statistics</w:t>
        </w:r>
        <w:r w:rsidR="00224B18">
          <w:rPr>
            <w:noProof/>
            <w:webHidden/>
          </w:rPr>
          <w:tab/>
        </w:r>
        <w:r w:rsidR="001B7EC5">
          <w:rPr>
            <w:noProof/>
            <w:webHidden/>
          </w:rPr>
          <w:fldChar w:fldCharType="begin"/>
        </w:r>
        <w:r w:rsidR="00224B18">
          <w:rPr>
            <w:noProof/>
            <w:webHidden/>
          </w:rPr>
          <w:instrText xml:space="preserve"> PAGEREF _Toc515706945 \h </w:instrText>
        </w:r>
        <w:r w:rsidR="001B7EC5">
          <w:rPr>
            <w:noProof/>
            <w:webHidden/>
          </w:rPr>
        </w:r>
        <w:r w:rsidR="001B7EC5">
          <w:rPr>
            <w:noProof/>
            <w:webHidden/>
          </w:rPr>
          <w:fldChar w:fldCharType="separate"/>
        </w:r>
        <w:r w:rsidR="00224B18">
          <w:rPr>
            <w:noProof/>
            <w:webHidden/>
          </w:rPr>
          <w:t>18</w:t>
        </w:r>
        <w:r w:rsidR="001B7EC5">
          <w:rPr>
            <w:noProof/>
            <w:webHidden/>
          </w:rPr>
          <w:fldChar w:fldCharType="end"/>
        </w:r>
      </w:hyperlink>
    </w:p>
    <w:p w14:paraId="4ABA5005" w14:textId="77777777" w:rsidR="00224B18" w:rsidRDefault="00352300">
      <w:pPr>
        <w:pStyle w:val="TableofFigures"/>
        <w:tabs>
          <w:tab w:val="right" w:leader="dot" w:pos="9350"/>
        </w:tabs>
        <w:rPr>
          <w:noProof/>
        </w:rPr>
      </w:pPr>
      <w:hyperlink w:anchor="_Toc515706946" w:history="1">
        <w:r w:rsidR="00224B18" w:rsidRPr="00BB6E76">
          <w:rPr>
            <w:rStyle w:val="Hyperlink"/>
            <w:noProof/>
          </w:rPr>
          <w:t>Table 7: Length of Stay descriptive statistics</w:t>
        </w:r>
        <w:r w:rsidR="00224B18">
          <w:rPr>
            <w:noProof/>
            <w:webHidden/>
          </w:rPr>
          <w:tab/>
        </w:r>
        <w:r w:rsidR="001B7EC5">
          <w:rPr>
            <w:noProof/>
            <w:webHidden/>
          </w:rPr>
          <w:fldChar w:fldCharType="begin"/>
        </w:r>
        <w:r w:rsidR="00224B18">
          <w:rPr>
            <w:noProof/>
            <w:webHidden/>
          </w:rPr>
          <w:instrText xml:space="preserve"> PAGEREF _Toc515706946 \h </w:instrText>
        </w:r>
        <w:r w:rsidR="001B7EC5">
          <w:rPr>
            <w:noProof/>
            <w:webHidden/>
          </w:rPr>
        </w:r>
        <w:r w:rsidR="001B7EC5">
          <w:rPr>
            <w:noProof/>
            <w:webHidden/>
          </w:rPr>
          <w:fldChar w:fldCharType="separate"/>
        </w:r>
        <w:r w:rsidR="00224B18">
          <w:rPr>
            <w:noProof/>
            <w:webHidden/>
          </w:rPr>
          <w:t>19</w:t>
        </w:r>
        <w:r w:rsidR="001B7EC5">
          <w:rPr>
            <w:noProof/>
            <w:webHidden/>
          </w:rPr>
          <w:fldChar w:fldCharType="end"/>
        </w:r>
      </w:hyperlink>
    </w:p>
    <w:p w14:paraId="689CABFA" w14:textId="77777777" w:rsidR="00224B18" w:rsidRDefault="00352300">
      <w:pPr>
        <w:pStyle w:val="TableofFigures"/>
        <w:tabs>
          <w:tab w:val="right" w:leader="dot" w:pos="9350"/>
        </w:tabs>
        <w:rPr>
          <w:noProof/>
        </w:rPr>
      </w:pPr>
      <w:hyperlink w:anchor="_Toc515706947" w:history="1">
        <w:r w:rsidR="00224B18" w:rsidRPr="00BB6E76">
          <w:rPr>
            <w:rStyle w:val="Hyperlink"/>
            <w:noProof/>
          </w:rPr>
          <w:t>Table 8: Variations in patients Length of Stay outcomes</w:t>
        </w:r>
        <w:r w:rsidR="00224B18">
          <w:rPr>
            <w:noProof/>
            <w:webHidden/>
          </w:rPr>
          <w:tab/>
        </w:r>
        <w:r w:rsidR="001B7EC5">
          <w:rPr>
            <w:noProof/>
            <w:webHidden/>
          </w:rPr>
          <w:fldChar w:fldCharType="begin"/>
        </w:r>
        <w:r w:rsidR="00224B18">
          <w:rPr>
            <w:noProof/>
            <w:webHidden/>
          </w:rPr>
          <w:instrText xml:space="preserve"> PAGEREF _Toc515706947 \h </w:instrText>
        </w:r>
        <w:r w:rsidR="001B7EC5">
          <w:rPr>
            <w:noProof/>
            <w:webHidden/>
          </w:rPr>
        </w:r>
        <w:r w:rsidR="001B7EC5">
          <w:rPr>
            <w:noProof/>
            <w:webHidden/>
          </w:rPr>
          <w:fldChar w:fldCharType="separate"/>
        </w:r>
        <w:r w:rsidR="00224B18">
          <w:rPr>
            <w:noProof/>
            <w:webHidden/>
          </w:rPr>
          <w:t>19</w:t>
        </w:r>
        <w:r w:rsidR="001B7EC5">
          <w:rPr>
            <w:noProof/>
            <w:webHidden/>
          </w:rPr>
          <w:fldChar w:fldCharType="end"/>
        </w:r>
      </w:hyperlink>
    </w:p>
    <w:p w14:paraId="5D7E7FB1" w14:textId="77777777" w:rsidR="00224B18" w:rsidRDefault="00352300">
      <w:pPr>
        <w:pStyle w:val="TableofFigures"/>
        <w:tabs>
          <w:tab w:val="right" w:leader="dot" w:pos="9350"/>
        </w:tabs>
        <w:rPr>
          <w:noProof/>
        </w:rPr>
      </w:pPr>
      <w:hyperlink w:anchor="_Toc515706948" w:history="1">
        <w:r w:rsidR="00224B18" w:rsidRPr="00BB6E76">
          <w:rPr>
            <w:rStyle w:val="Hyperlink"/>
            <w:noProof/>
          </w:rPr>
          <w:t>Table 9: Race descriptive statistics</w:t>
        </w:r>
        <w:r w:rsidR="00224B18">
          <w:rPr>
            <w:noProof/>
            <w:webHidden/>
          </w:rPr>
          <w:tab/>
        </w:r>
        <w:r w:rsidR="001B7EC5">
          <w:rPr>
            <w:noProof/>
            <w:webHidden/>
          </w:rPr>
          <w:fldChar w:fldCharType="begin"/>
        </w:r>
        <w:r w:rsidR="00224B18">
          <w:rPr>
            <w:noProof/>
            <w:webHidden/>
          </w:rPr>
          <w:instrText xml:space="preserve"> PAGEREF _Toc515706948 \h </w:instrText>
        </w:r>
        <w:r w:rsidR="001B7EC5">
          <w:rPr>
            <w:noProof/>
            <w:webHidden/>
          </w:rPr>
        </w:r>
        <w:r w:rsidR="001B7EC5">
          <w:rPr>
            <w:noProof/>
            <w:webHidden/>
          </w:rPr>
          <w:fldChar w:fldCharType="separate"/>
        </w:r>
        <w:r w:rsidR="00224B18">
          <w:rPr>
            <w:noProof/>
            <w:webHidden/>
          </w:rPr>
          <w:t>19</w:t>
        </w:r>
        <w:r w:rsidR="001B7EC5">
          <w:rPr>
            <w:noProof/>
            <w:webHidden/>
          </w:rPr>
          <w:fldChar w:fldCharType="end"/>
        </w:r>
      </w:hyperlink>
    </w:p>
    <w:p w14:paraId="58F59C64" w14:textId="77777777" w:rsidR="00224B18" w:rsidRDefault="00352300">
      <w:pPr>
        <w:pStyle w:val="TableofFigures"/>
        <w:tabs>
          <w:tab w:val="right" w:leader="dot" w:pos="9350"/>
        </w:tabs>
        <w:rPr>
          <w:noProof/>
        </w:rPr>
      </w:pPr>
      <w:hyperlink w:anchor="_Toc515706949" w:history="1">
        <w:r w:rsidR="00224B18" w:rsidRPr="00BB6E76">
          <w:rPr>
            <w:rStyle w:val="Hyperlink"/>
            <w:noProof/>
          </w:rPr>
          <w:t>Table 10: Welch's t-test applied to Race</w:t>
        </w:r>
        <w:r w:rsidR="00224B18">
          <w:rPr>
            <w:noProof/>
            <w:webHidden/>
          </w:rPr>
          <w:tab/>
        </w:r>
        <w:r w:rsidR="001B7EC5">
          <w:rPr>
            <w:noProof/>
            <w:webHidden/>
          </w:rPr>
          <w:fldChar w:fldCharType="begin"/>
        </w:r>
        <w:r w:rsidR="00224B18">
          <w:rPr>
            <w:noProof/>
            <w:webHidden/>
          </w:rPr>
          <w:instrText xml:space="preserve"> PAGEREF _Toc515706949 \h </w:instrText>
        </w:r>
        <w:r w:rsidR="001B7EC5">
          <w:rPr>
            <w:noProof/>
            <w:webHidden/>
          </w:rPr>
        </w:r>
        <w:r w:rsidR="001B7EC5">
          <w:rPr>
            <w:noProof/>
            <w:webHidden/>
          </w:rPr>
          <w:fldChar w:fldCharType="separate"/>
        </w:r>
        <w:r w:rsidR="00224B18">
          <w:rPr>
            <w:noProof/>
            <w:webHidden/>
          </w:rPr>
          <w:t>19</w:t>
        </w:r>
        <w:r w:rsidR="001B7EC5">
          <w:rPr>
            <w:noProof/>
            <w:webHidden/>
          </w:rPr>
          <w:fldChar w:fldCharType="end"/>
        </w:r>
      </w:hyperlink>
    </w:p>
    <w:p w14:paraId="617D822A" w14:textId="77777777" w:rsidR="00224B18" w:rsidRDefault="00352300">
      <w:pPr>
        <w:pStyle w:val="TableofFigures"/>
        <w:tabs>
          <w:tab w:val="right" w:leader="dot" w:pos="9350"/>
        </w:tabs>
        <w:rPr>
          <w:noProof/>
        </w:rPr>
      </w:pPr>
      <w:hyperlink w:anchor="_Toc515706950" w:history="1">
        <w:r w:rsidR="00224B18" w:rsidRPr="00BB6E76">
          <w:rPr>
            <w:rStyle w:val="Hyperlink"/>
            <w:noProof/>
          </w:rPr>
          <w:t>Table 11: Dexamethasone descriptive statistics</w:t>
        </w:r>
        <w:r w:rsidR="00224B18">
          <w:rPr>
            <w:noProof/>
            <w:webHidden/>
          </w:rPr>
          <w:tab/>
        </w:r>
        <w:r w:rsidR="001B7EC5">
          <w:rPr>
            <w:noProof/>
            <w:webHidden/>
          </w:rPr>
          <w:fldChar w:fldCharType="begin"/>
        </w:r>
        <w:r w:rsidR="00224B18">
          <w:rPr>
            <w:noProof/>
            <w:webHidden/>
          </w:rPr>
          <w:instrText xml:space="preserve"> PAGEREF _Toc515706950 \h </w:instrText>
        </w:r>
        <w:r w:rsidR="001B7EC5">
          <w:rPr>
            <w:noProof/>
            <w:webHidden/>
          </w:rPr>
        </w:r>
        <w:r w:rsidR="001B7EC5">
          <w:rPr>
            <w:noProof/>
            <w:webHidden/>
          </w:rPr>
          <w:fldChar w:fldCharType="separate"/>
        </w:r>
        <w:r w:rsidR="00224B18">
          <w:rPr>
            <w:noProof/>
            <w:webHidden/>
          </w:rPr>
          <w:t>20</w:t>
        </w:r>
        <w:r w:rsidR="001B7EC5">
          <w:rPr>
            <w:noProof/>
            <w:webHidden/>
          </w:rPr>
          <w:fldChar w:fldCharType="end"/>
        </w:r>
      </w:hyperlink>
    </w:p>
    <w:p w14:paraId="26F77D4B" w14:textId="77777777" w:rsidR="00224B18" w:rsidRDefault="00352300">
      <w:pPr>
        <w:pStyle w:val="TableofFigures"/>
        <w:tabs>
          <w:tab w:val="right" w:leader="dot" w:pos="9350"/>
        </w:tabs>
        <w:rPr>
          <w:noProof/>
        </w:rPr>
      </w:pPr>
      <w:hyperlink w:anchor="_Toc515706951" w:history="1">
        <w:r w:rsidR="00224B18" w:rsidRPr="00BB6E76">
          <w:rPr>
            <w:rStyle w:val="Hyperlink"/>
            <w:noProof/>
          </w:rPr>
          <w:t>Table 12: Welch's t-test applied to Dexamethasone use</w:t>
        </w:r>
        <w:r w:rsidR="00224B18">
          <w:rPr>
            <w:noProof/>
            <w:webHidden/>
          </w:rPr>
          <w:tab/>
        </w:r>
        <w:r w:rsidR="001B7EC5">
          <w:rPr>
            <w:noProof/>
            <w:webHidden/>
          </w:rPr>
          <w:fldChar w:fldCharType="begin"/>
        </w:r>
        <w:r w:rsidR="00224B18">
          <w:rPr>
            <w:noProof/>
            <w:webHidden/>
          </w:rPr>
          <w:instrText xml:space="preserve"> PAGEREF _Toc515706951 \h </w:instrText>
        </w:r>
        <w:r w:rsidR="001B7EC5">
          <w:rPr>
            <w:noProof/>
            <w:webHidden/>
          </w:rPr>
        </w:r>
        <w:r w:rsidR="001B7EC5">
          <w:rPr>
            <w:noProof/>
            <w:webHidden/>
          </w:rPr>
          <w:fldChar w:fldCharType="separate"/>
        </w:r>
        <w:r w:rsidR="00224B18">
          <w:rPr>
            <w:noProof/>
            <w:webHidden/>
          </w:rPr>
          <w:t>20</w:t>
        </w:r>
        <w:r w:rsidR="001B7EC5">
          <w:rPr>
            <w:noProof/>
            <w:webHidden/>
          </w:rPr>
          <w:fldChar w:fldCharType="end"/>
        </w:r>
      </w:hyperlink>
    </w:p>
    <w:p w14:paraId="7F8E7FA2" w14:textId="77777777" w:rsidR="00224B18" w:rsidRDefault="00352300">
      <w:pPr>
        <w:pStyle w:val="TableofFigures"/>
        <w:tabs>
          <w:tab w:val="right" w:leader="dot" w:pos="9350"/>
        </w:tabs>
        <w:rPr>
          <w:noProof/>
        </w:rPr>
      </w:pPr>
      <w:hyperlink w:anchor="_Toc515706952" w:history="1">
        <w:r w:rsidR="00224B18" w:rsidRPr="00BB6E76">
          <w:rPr>
            <w:rStyle w:val="Hyperlink"/>
            <w:noProof/>
          </w:rPr>
          <w:t>Table 13: Comparative changes in predictors</w:t>
        </w:r>
        <w:r w:rsidR="00224B18">
          <w:rPr>
            <w:noProof/>
            <w:webHidden/>
          </w:rPr>
          <w:tab/>
        </w:r>
        <w:r w:rsidR="001B7EC5">
          <w:rPr>
            <w:noProof/>
            <w:webHidden/>
          </w:rPr>
          <w:fldChar w:fldCharType="begin"/>
        </w:r>
        <w:r w:rsidR="00224B18">
          <w:rPr>
            <w:noProof/>
            <w:webHidden/>
          </w:rPr>
          <w:instrText xml:space="preserve"> PAGEREF _Toc515706952 \h </w:instrText>
        </w:r>
        <w:r w:rsidR="001B7EC5">
          <w:rPr>
            <w:noProof/>
            <w:webHidden/>
          </w:rPr>
        </w:r>
        <w:r w:rsidR="001B7EC5">
          <w:rPr>
            <w:noProof/>
            <w:webHidden/>
          </w:rPr>
          <w:fldChar w:fldCharType="separate"/>
        </w:r>
        <w:r w:rsidR="00224B18">
          <w:rPr>
            <w:noProof/>
            <w:webHidden/>
          </w:rPr>
          <w:t>21</w:t>
        </w:r>
        <w:r w:rsidR="001B7EC5">
          <w:rPr>
            <w:noProof/>
            <w:webHidden/>
          </w:rPr>
          <w:fldChar w:fldCharType="end"/>
        </w:r>
      </w:hyperlink>
    </w:p>
    <w:p w14:paraId="18C35E71" w14:textId="77777777" w:rsidR="00224B18" w:rsidRDefault="00352300">
      <w:pPr>
        <w:pStyle w:val="TableofFigures"/>
        <w:tabs>
          <w:tab w:val="right" w:leader="dot" w:pos="9350"/>
        </w:tabs>
        <w:rPr>
          <w:noProof/>
        </w:rPr>
      </w:pPr>
      <w:hyperlink w:anchor="_Toc515706953" w:history="1">
        <w:r w:rsidR="00224B18" w:rsidRPr="00BB6E76">
          <w:rPr>
            <w:rStyle w:val="Hyperlink"/>
            <w:noProof/>
          </w:rPr>
          <w:t>Table 14: Ordinary Least Squares applied to Admission Rate (Pre-CSW)</w:t>
        </w:r>
        <w:r w:rsidR="00224B18">
          <w:rPr>
            <w:noProof/>
            <w:webHidden/>
          </w:rPr>
          <w:tab/>
        </w:r>
        <w:r w:rsidR="001B7EC5">
          <w:rPr>
            <w:noProof/>
            <w:webHidden/>
          </w:rPr>
          <w:fldChar w:fldCharType="begin"/>
        </w:r>
        <w:r w:rsidR="00224B18">
          <w:rPr>
            <w:noProof/>
            <w:webHidden/>
          </w:rPr>
          <w:instrText xml:space="preserve"> PAGEREF _Toc515706953 \h </w:instrText>
        </w:r>
        <w:r w:rsidR="001B7EC5">
          <w:rPr>
            <w:noProof/>
            <w:webHidden/>
          </w:rPr>
        </w:r>
        <w:r w:rsidR="001B7EC5">
          <w:rPr>
            <w:noProof/>
            <w:webHidden/>
          </w:rPr>
          <w:fldChar w:fldCharType="separate"/>
        </w:r>
        <w:r w:rsidR="00224B18">
          <w:rPr>
            <w:noProof/>
            <w:webHidden/>
          </w:rPr>
          <w:t>22</w:t>
        </w:r>
        <w:r w:rsidR="001B7EC5">
          <w:rPr>
            <w:noProof/>
            <w:webHidden/>
          </w:rPr>
          <w:fldChar w:fldCharType="end"/>
        </w:r>
      </w:hyperlink>
    </w:p>
    <w:p w14:paraId="1A0AE0CE" w14:textId="77777777" w:rsidR="00224B18" w:rsidRDefault="00352300">
      <w:pPr>
        <w:pStyle w:val="TableofFigures"/>
        <w:tabs>
          <w:tab w:val="right" w:leader="dot" w:pos="9350"/>
        </w:tabs>
        <w:rPr>
          <w:noProof/>
        </w:rPr>
      </w:pPr>
      <w:hyperlink w:anchor="_Toc515706954" w:history="1">
        <w:r w:rsidR="00224B18" w:rsidRPr="00BB6E76">
          <w:rPr>
            <w:rStyle w:val="Hyperlink"/>
            <w:noProof/>
          </w:rPr>
          <w:t>Table 15: Ordinary Least Squares applied to Admission Rate (Post-CSW)</w:t>
        </w:r>
        <w:r w:rsidR="00224B18">
          <w:rPr>
            <w:noProof/>
            <w:webHidden/>
          </w:rPr>
          <w:tab/>
        </w:r>
        <w:r w:rsidR="001B7EC5">
          <w:rPr>
            <w:noProof/>
            <w:webHidden/>
          </w:rPr>
          <w:fldChar w:fldCharType="begin"/>
        </w:r>
        <w:r w:rsidR="00224B18">
          <w:rPr>
            <w:noProof/>
            <w:webHidden/>
          </w:rPr>
          <w:instrText xml:space="preserve"> PAGEREF _Toc515706954 \h </w:instrText>
        </w:r>
        <w:r w:rsidR="001B7EC5">
          <w:rPr>
            <w:noProof/>
            <w:webHidden/>
          </w:rPr>
        </w:r>
        <w:r w:rsidR="001B7EC5">
          <w:rPr>
            <w:noProof/>
            <w:webHidden/>
          </w:rPr>
          <w:fldChar w:fldCharType="separate"/>
        </w:r>
        <w:r w:rsidR="00224B18">
          <w:rPr>
            <w:noProof/>
            <w:webHidden/>
          </w:rPr>
          <w:t>22</w:t>
        </w:r>
        <w:r w:rsidR="001B7EC5">
          <w:rPr>
            <w:noProof/>
            <w:webHidden/>
          </w:rPr>
          <w:fldChar w:fldCharType="end"/>
        </w:r>
      </w:hyperlink>
    </w:p>
    <w:p w14:paraId="2E5F0AD1" w14:textId="77777777" w:rsidR="00224B18" w:rsidRDefault="00352300">
      <w:pPr>
        <w:pStyle w:val="TableofFigures"/>
        <w:tabs>
          <w:tab w:val="right" w:leader="dot" w:pos="9350"/>
        </w:tabs>
        <w:rPr>
          <w:noProof/>
        </w:rPr>
      </w:pPr>
      <w:hyperlink w:anchor="_Toc515706955" w:history="1">
        <w:r w:rsidR="00224B18" w:rsidRPr="00BB6E76">
          <w:rPr>
            <w:rStyle w:val="Hyperlink"/>
            <w:noProof/>
          </w:rPr>
          <w:t>Table 16: Ordinary Least Squares on Length of Stay Pre-CSW</w:t>
        </w:r>
        <w:r w:rsidR="00224B18">
          <w:rPr>
            <w:noProof/>
            <w:webHidden/>
          </w:rPr>
          <w:tab/>
        </w:r>
        <w:r w:rsidR="001B7EC5">
          <w:rPr>
            <w:noProof/>
            <w:webHidden/>
          </w:rPr>
          <w:fldChar w:fldCharType="begin"/>
        </w:r>
        <w:r w:rsidR="00224B18">
          <w:rPr>
            <w:noProof/>
            <w:webHidden/>
          </w:rPr>
          <w:instrText xml:space="preserve"> PAGEREF _Toc515706955 \h </w:instrText>
        </w:r>
        <w:r w:rsidR="001B7EC5">
          <w:rPr>
            <w:noProof/>
            <w:webHidden/>
          </w:rPr>
        </w:r>
        <w:r w:rsidR="001B7EC5">
          <w:rPr>
            <w:noProof/>
            <w:webHidden/>
          </w:rPr>
          <w:fldChar w:fldCharType="separate"/>
        </w:r>
        <w:r w:rsidR="00224B18">
          <w:rPr>
            <w:noProof/>
            <w:webHidden/>
          </w:rPr>
          <w:t>23</w:t>
        </w:r>
        <w:r w:rsidR="001B7EC5">
          <w:rPr>
            <w:noProof/>
            <w:webHidden/>
          </w:rPr>
          <w:fldChar w:fldCharType="end"/>
        </w:r>
      </w:hyperlink>
    </w:p>
    <w:p w14:paraId="0F2EAE73" w14:textId="77777777" w:rsidR="00224B18" w:rsidRDefault="00352300">
      <w:pPr>
        <w:pStyle w:val="TableofFigures"/>
        <w:tabs>
          <w:tab w:val="right" w:leader="dot" w:pos="9350"/>
        </w:tabs>
        <w:rPr>
          <w:noProof/>
        </w:rPr>
      </w:pPr>
      <w:hyperlink w:anchor="_Toc515706956" w:history="1">
        <w:r w:rsidR="00224B18" w:rsidRPr="00BB6E76">
          <w:rPr>
            <w:rStyle w:val="Hyperlink"/>
            <w:noProof/>
          </w:rPr>
          <w:t>Table 17: Ordinary Least Squares on Length of Stay Post-CSW</w:t>
        </w:r>
        <w:r w:rsidR="00224B18">
          <w:rPr>
            <w:noProof/>
            <w:webHidden/>
          </w:rPr>
          <w:tab/>
        </w:r>
        <w:r w:rsidR="001B7EC5">
          <w:rPr>
            <w:noProof/>
            <w:webHidden/>
          </w:rPr>
          <w:fldChar w:fldCharType="begin"/>
        </w:r>
        <w:r w:rsidR="00224B18">
          <w:rPr>
            <w:noProof/>
            <w:webHidden/>
          </w:rPr>
          <w:instrText xml:space="preserve"> PAGEREF _Toc515706956 \h </w:instrText>
        </w:r>
        <w:r w:rsidR="001B7EC5">
          <w:rPr>
            <w:noProof/>
            <w:webHidden/>
          </w:rPr>
        </w:r>
        <w:r w:rsidR="001B7EC5">
          <w:rPr>
            <w:noProof/>
            <w:webHidden/>
          </w:rPr>
          <w:fldChar w:fldCharType="separate"/>
        </w:r>
        <w:r w:rsidR="00224B18">
          <w:rPr>
            <w:noProof/>
            <w:webHidden/>
          </w:rPr>
          <w:t>23</w:t>
        </w:r>
        <w:r w:rsidR="001B7EC5">
          <w:rPr>
            <w:noProof/>
            <w:webHidden/>
          </w:rPr>
          <w:fldChar w:fldCharType="end"/>
        </w:r>
      </w:hyperlink>
    </w:p>
    <w:p w14:paraId="0CE71FF0" w14:textId="77777777" w:rsidR="00224B18" w:rsidRDefault="00352300">
      <w:pPr>
        <w:pStyle w:val="TableofFigures"/>
        <w:tabs>
          <w:tab w:val="right" w:leader="dot" w:pos="9350"/>
        </w:tabs>
        <w:rPr>
          <w:noProof/>
        </w:rPr>
      </w:pPr>
      <w:hyperlink w:anchor="_Toc515706957" w:history="1">
        <w:r w:rsidR="00224B18" w:rsidRPr="00BB6E76">
          <w:rPr>
            <w:rStyle w:val="Hyperlink"/>
            <w:noProof/>
          </w:rPr>
          <w:t>Table 18: Ordinary Least Squares on Return to the Emergency Department Pre-CSW</w:t>
        </w:r>
        <w:r w:rsidR="00224B18">
          <w:rPr>
            <w:noProof/>
            <w:webHidden/>
          </w:rPr>
          <w:tab/>
        </w:r>
        <w:r w:rsidR="001B7EC5">
          <w:rPr>
            <w:noProof/>
            <w:webHidden/>
          </w:rPr>
          <w:fldChar w:fldCharType="begin"/>
        </w:r>
        <w:r w:rsidR="00224B18">
          <w:rPr>
            <w:noProof/>
            <w:webHidden/>
          </w:rPr>
          <w:instrText xml:space="preserve"> PAGEREF _Toc515706957 \h </w:instrText>
        </w:r>
        <w:r w:rsidR="001B7EC5">
          <w:rPr>
            <w:noProof/>
            <w:webHidden/>
          </w:rPr>
        </w:r>
        <w:r w:rsidR="001B7EC5">
          <w:rPr>
            <w:noProof/>
            <w:webHidden/>
          </w:rPr>
          <w:fldChar w:fldCharType="separate"/>
        </w:r>
        <w:r w:rsidR="00224B18">
          <w:rPr>
            <w:noProof/>
            <w:webHidden/>
          </w:rPr>
          <w:t>24</w:t>
        </w:r>
        <w:r w:rsidR="001B7EC5">
          <w:rPr>
            <w:noProof/>
            <w:webHidden/>
          </w:rPr>
          <w:fldChar w:fldCharType="end"/>
        </w:r>
      </w:hyperlink>
    </w:p>
    <w:p w14:paraId="19C0E978" w14:textId="77777777" w:rsidR="00224B18" w:rsidRDefault="00352300">
      <w:pPr>
        <w:pStyle w:val="TableofFigures"/>
        <w:tabs>
          <w:tab w:val="right" w:leader="dot" w:pos="9350"/>
        </w:tabs>
        <w:rPr>
          <w:noProof/>
        </w:rPr>
      </w:pPr>
      <w:hyperlink w:anchor="_Toc515706958" w:history="1">
        <w:r w:rsidR="00224B18" w:rsidRPr="00BB6E76">
          <w:rPr>
            <w:rStyle w:val="Hyperlink"/>
            <w:noProof/>
          </w:rPr>
          <w:t>Table 19: Ordinary Least Squares on Return to the Emergency Department Post-CSW</w:t>
        </w:r>
        <w:r w:rsidR="00224B18">
          <w:rPr>
            <w:noProof/>
            <w:webHidden/>
          </w:rPr>
          <w:tab/>
        </w:r>
        <w:r w:rsidR="001B7EC5">
          <w:rPr>
            <w:noProof/>
            <w:webHidden/>
          </w:rPr>
          <w:fldChar w:fldCharType="begin"/>
        </w:r>
        <w:r w:rsidR="00224B18">
          <w:rPr>
            <w:noProof/>
            <w:webHidden/>
          </w:rPr>
          <w:instrText xml:space="preserve"> PAGEREF _Toc515706958 \h </w:instrText>
        </w:r>
        <w:r w:rsidR="001B7EC5">
          <w:rPr>
            <w:noProof/>
            <w:webHidden/>
          </w:rPr>
        </w:r>
        <w:r w:rsidR="001B7EC5">
          <w:rPr>
            <w:noProof/>
            <w:webHidden/>
          </w:rPr>
          <w:fldChar w:fldCharType="separate"/>
        </w:r>
        <w:r w:rsidR="00224B18">
          <w:rPr>
            <w:noProof/>
            <w:webHidden/>
          </w:rPr>
          <w:t>24</w:t>
        </w:r>
        <w:r w:rsidR="001B7EC5">
          <w:rPr>
            <w:noProof/>
            <w:webHidden/>
          </w:rPr>
          <w:fldChar w:fldCharType="end"/>
        </w:r>
      </w:hyperlink>
    </w:p>
    <w:p w14:paraId="18C96BAD" w14:textId="77777777" w:rsidR="00224B18" w:rsidRDefault="00352300">
      <w:pPr>
        <w:pStyle w:val="TableofFigures"/>
        <w:tabs>
          <w:tab w:val="right" w:leader="dot" w:pos="9350"/>
        </w:tabs>
        <w:rPr>
          <w:noProof/>
        </w:rPr>
      </w:pPr>
      <w:hyperlink w:anchor="_Toc515706959" w:history="1">
        <w:r w:rsidR="00224B18" w:rsidRPr="00BB6E76">
          <w:rPr>
            <w:rStyle w:val="Hyperlink"/>
            <w:noProof/>
          </w:rPr>
          <w:t>Table 20: Logistic Regression on Readmissions Pre-CSW</w:t>
        </w:r>
        <w:r w:rsidR="00224B18">
          <w:rPr>
            <w:noProof/>
            <w:webHidden/>
          </w:rPr>
          <w:tab/>
        </w:r>
        <w:r w:rsidR="001B7EC5">
          <w:rPr>
            <w:noProof/>
            <w:webHidden/>
          </w:rPr>
          <w:fldChar w:fldCharType="begin"/>
        </w:r>
        <w:r w:rsidR="00224B18">
          <w:rPr>
            <w:noProof/>
            <w:webHidden/>
          </w:rPr>
          <w:instrText xml:space="preserve"> PAGEREF _Toc515706959 \h </w:instrText>
        </w:r>
        <w:r w:rsidR="001B7EC5">
          <w:rPr>
            <w:noProof/>
            <w:webHidden/>
          </w:rPr>
        </w:r>
        <w:r w:rsidR="001B7EC5">
          <w:rPr>
            <w:noProof/>
            <w:webHidden/>
          </w:rPr>
          <w:fldChar w:fldCharType="separate"/>
        </w:r>
        <w:r w:rsidR="00224B18">
          <w:rPr>
            <w:noProof/>
            <w:webHidden/>
          </w:rPr>
          <w:t>25</w:t>
        </w:r>
        <w:r w:rsidR="001B7EC5">
          <w:rPr>
            <w:noProof/>
            <w:webHidden/>
          </w:rPr>
          <w:fldChar w:fldCharType="end"/>
        </w:r>
      </w:hyperlink>
    </w:p>
    <w:p w14:paraId="02347F7A" w14:textId="77777777" w:rsidR="00224B18" w:rsidRDefault="00352300">
      <w:pPr>
        <w:pStyle w:val="TableofFigures"/>
        <w:tabs>
          <w:tab w:val="right" w:leader="dot" w:pos="9350"/>
        </w:tabs>
        <w:rPr>
          <w:noProof/>
        </w:rPr>
      </w:pPr>
      <w:hyperlink w:anchor="_Toc515706960" w:history="1">
        <w:r w:rsidR="00224B18" w:rsidRPr="00BB6E76">
          <w:rPr>
            <w:rStyle w:val="Hyperlink"/>
            <w:noProof/>
          </w:rPr>
          <w:t>Table 21: Logistic Regression on Readmissions Post-CSW</w:t>
        </w:r>
        <w:r w:rsidR="00224B18">
          <w:rPr>
            <w:noProof/>
            <w:webHidden/>
          </w:rPr>
          <w:tab/>
        </w:r>
        <w:r w:rsidR="001B7EC5">
          <w:rPr>
            <w:noProof/>
            <w:webHidden/>
          </w:rPr>
          <w:fldChar w:fldCharType="begin"/>
        </w:r>
        <w:r w:rsidR="00224B18">
          <w:rPr>
            <w:noProof/>
            <w:webHidden/>
          </w:rPr>
          <w:instrText xml:space="preserve"> PAGEREF _Toc515706960 \h </w:instrText>
        </w:r>
        <w:r w:rsidR="001B7EC5">
          <w:rPr>
            <w:noProof/>
            <w:webHidden/>
          </w:rPr>
        </w:r>
        <w:r w:rsidR="001B7EC5">
          <w:rPr>
            <w:noProof/>
            <w:webHidden/>
          </w:rPr>
          <w:fldChar w:fldCharType="separate"/>
        </w:r>
        <w:r w:rsidR="00224B18">
          <w:rPr>
            <w:noProof/>
            <w:webHidden/>
          </w:rPr>
          <w:t>25</w:t>
        </w:r>
        <w:r w:rsidR="001B7EC5">
          <w:rPr>
            <w:noProof/>
            <w:webHidden/>
          </w:rPr>
          <w:fldChar w:fldCharType="end"/>
        </w:r>
      </w:hyperlink>
    </w:p>
    <w:p w14:paraId="330B2491" w14:textId="77777777" w:rsidR="0012641B" w:rsidRPr="006C37AC" w:rsidRDefault="001B7EC5" w:rsidP="0048040B">
      <w:pPr>
        <w:pStyle w:val="Heading1"/>
      </w:pPr>
      <w:r>
        <w:fldChar w:fldCharType="end"/>
      </w:r>
      <w:r w:rsidR="0012641B" w:rsidRPr="006C37AC">
        <w:t>Acknowledgements</w:t>
      </w:r>
    </w:p>
    <w:p w14:paraId="4D869FD3" w14:textId="77777777" w:rsidR="00C3555C" w:rsidRDefault="006C37AC" w:rsidP="00C24768">
      <w:pPr>
        <w:spacing w:line="360" w:lineRule="auto"/>
        <w:jc w:val="both"/>
      </w:pPr>
      <w:r>
        <w:t>Usha Sankrithi MB, BS, MPH, FAAP, for offering me the opportunity to work on such an interesting subject</w:t>
      </w:r>
      <w:r w:rsidR="00C24768">
        <w:t xml:space="preserve">, and for </w:t>
      </w:r>
      <w:r w:rsidR="00C24768" w:rsidRPr="00C24768">
        <w:t>guidance on clinical interpretation</w:t>
      </w:r>
      <w:r w:rsidR="00806A61">
        <w:t>;</w:t>
      </w:r>
      <w:r>
        <w:t xml:space="preserve"> </w:t>
      </w:r>
      <w:r w:rsidR="00806A61">
        <w:t>Julianna Bishop</w:t>
      </w:r>
      <w:r w:rsidR="00C05762">
        <w:t>,</w:t>
      </w:r>
      <w:r w:rsidR="00806A61">
        <w:t xml:space="preserve"> </w:t>
      </w:r>
      <w:r w:rsidR="00806A61" w:rsidRPr="001543B7">
        <w:t>MD</w:t>
      </w:r>
      <w:r w:rsidR="00806A61" w:rsidRPr="00806A61">
        <w:t xml:space="preserve">, </w:t>
      </w:r>
      <w:r w:rsidR="00806A61" w:rsidRPr="001543B7">
        <w:t>Clinical Associate Professor</w:t>
      </w:r>
      <w:r w:rsidR="00806A61">
        <w:t xml:space="preserve"> for her time and support; </w:t>
      </w:r>
      <w:r>
        <w:t>Ian Painter PhD, MSc for his guidance</w:t>
      </w:r>
      <w:r w:rsidR="0094584E">
        <w:t xml:space="preserve">; James Johnson, Data Analyst for his time </w:t>
      </w:r>
      <w:r w:rsidR="008C4DD6">
        <w:t>and support</w:t>
      </w:r>
      <w:r w:rsidR="00C24768">
        <w:t>;</w:t>
      </w:r>
      <w:r w:rsidR="003E7933">
        <w:t xml:space="preserve"> and </w:t>
      </w:r>
      <w:r w:rsidR="003E7933" w:rsidRPr="006C37AC">
        <w:t>Mark Oberle,</w:t>
      </w:r>
      <w:r w:rsidR="00AE0F90" w:rsidRPr="0024445D">
        <w:t xml:space="preserve"> MD, MPH</w:t>
      </w:r>
      <w:r w:rsidR="00A22C67" w:rsidRPr="0024445D">
        <w:t>,</w:t>
      </w:r>
      <w:r w:rsidR="00C24768" w:rsidRPr="0024445D">
        <w:t xml:space="preserve"> Professor Emeritus at the University of Washington School of Public Health for his invaluable guidance.</w:t>
      </w:r>
    </w:p>
    <w:p w14:paraId="40AE47A1" w14:textId="77777777" w:rsidR="00C3555C" w:rsidRDefault="00C3555C">
      <w:r>
        <w:br w:type="page"/>
      </w:r>
    </w:p>
    <w:p w14:paraId="78FECD7E" w14:textId="77777777" w:rsidR="007A4A3A" w:rsidRPr="0094307D" w:rsidRDefault="007A4A3A" w:rsidP="007A4A3A">
      <w:pPr>
        <w:spacing w:line="240" w:lineRule="auto"/>
        <w:jc w:val="both"/>
        <w:rPr>
          <w:rFonts w:asciiTheme="majorHAnsi" w:eastAsiaTheme="majorEastAsia" w:hAnsiTheme="majorHAnsi" w:cstheme="majorBidi"/>
          <w:color w:val="2F5496" w:themeColor="accent1" w:themeShade="BF"/>
          <w:sz w:val="32"/>
          <w:szCs w:val="32"/>
        </w:rPr>
      </w:pPr>
      <w:r w:rsidRPr="0094307D">
        <w:rPr>
          <w:rFonts w:asciiTheme="majorHAnsi" w:eastAsiaTheme="majorEastAsia" w:hAnsiTheme="majorHAnsi" w:cstheme="majorBidi"/>
          <w:color w:val="2F5496" w:themeColor="accent1" w:themeShade="BF"/>
          <w:sz w:val="32"/>
          <w:szCs w:val="32"/>
        </w:rPr>
        <w:lastRenderedPageBreak/>
        <w:t>References</w:t>
      </w:r>
    </w:p>
    <w:p w14:paraId="621E4B17" w14:textId="77777777" w:rsidR="007A4A3A" w:rsidRPr="007E7EC7" w:rsidRDefault="007A4A3A" w:rsidP="007A4A3A">
      <w:pPr>
        <w:spacing w:line="240" w:lineRule="auto"/>
        <w:jc w:val="both"/>
      </w:pPr>
      <w:r w:rsidRPr="007E7EC7">
        <w:t>1.</w:t>
      </w:r>
      <w:r w:rsidR="000C74CC">
        <w:t xml:space="preserve"> </w:t>
      </w:r>
      <w:r w:rsidRPr="007E7EC7">
        <w:t>Alshehri M, Almegamsi T, &amp; Hammdi</w:t>
      </w:r>
      <w:r w:rsidR="00D60A2E">
        <w:t xml:space="preserve"> </w:t>
      </w:r>
      <w:r w:rsidRPr="007E7EC7">
        <w:t>A. Efficacy of a small dose of oral dexamethasone in croup. Biomed Res (Aligarh)</w:t>
      </w:r>
      <w:r w:rsidR="00F63026">
        <w:t xml:space="preserve">. </w:t>
      </w:r>
      <w:r w:rsidR="00F63026" w:rsidRPr="007E7EC7">
        <w:t>2005</w:t>
      </w:r>
      <w:r w:rsidR="00F63026">
        <w:t>;</w:t>
      </w:r>
      <w:r w:rsidRPr="007E7EC7">
        <w:t xml:space="preserve"> 1</w:t>
      </w:r>
      <w:r w:rsidR="00711D26">
        <w:t>6:</w:t>
      </w:r>
      <w:r w:rsidRPr="007E7EC7">
        <w:t>65-72.</w:t>
      </w:r>
    </w:p>
    <w:p w14:paraId="3F3395FC" w14:textId="77777777" w:rsidR="007A4A3A" w:rsidRPr="007E7EC7" w:rsidRDefault="007A4A3A" w:rsidP="007A4A3A">
      <w:pPr>
        <w:pStyle w:val="Default"/>
        <w:jc w:val="both"/>
        <w:rPr>
          <w:rFonts w:asciiTheme="minorHAnsi" w:hAnsiTheme="minorHAnsi" w:cstheme="minorBidi"/>
          <w:color w:val="auto"/>
          <w:sz w:val="22"/>
          <w:szCs w:val="22"/>
        </w:rPr>
      </w:pPr>
      <w:r w:rsidRPr="007E7EC7">
        <w:rPr>
          <w:rFonts w:asciiTheme="minorHAnsi" w:hAnsiTheme="minorHAnsi" w:cstheme="minorBidi"/>
          <w:color w:val="auto"/>
          <w:sz w:val="22"/>
          <w:szCs w:val="22"/>
        </w:rPr>
        <w:t>2.</w:t>
      </w:r>
      <w:r w:rsidR="007F572C">
        <w:t xml:space="preserve"> </w:t>
      </w:r>
      <w:r w:rsidRPr="007E7EC7">
        <w:rPr>
          <w:rFonts w:asciiTheme="minorHAnsi" w:hAnsiTheme="minorHAnsi" w:cstheme="minorBidi"/>
          <w:color w:val="auto"/>
          <w:sz w:val="22"/>
          <w:szCs w:val="22"/>
        </w:rPr>
        <w:t>Bjornson C, Russell K, Vandermeer B, Klassen TP, Johnson DW. Nebulized epinephrine for croup in children. Cochrane Database of Systematic Reviews. 2013; 10</w:t>
      </w:r>
      <w:r w:rsidR="00D3793C">
        <w:rPr>
          <w:rFonts w:asciiTheme="minorHAnsi" w:hAnsiTheme="minorHAnsi" w:cstheme="minorBidi"/>
          <w:color w:val="auto"/>
          <w:sz w:val="22"/>
          <w:szCs w:val="22"/>
        </w:rPr>
        <w:t>:</w:t>
      </w:r>
      <w:r w:rsidRPr="007E7EC7">
        <w:rPr>
          <w:rFonts w:asciiTheme="minorHAnsi" w:hAnsiTheme="minorHAnsi" w:cstheme="minorBidi"/>
          <w:color w:val="auto"/>
          <w:sz w:val="22"/>
          <w:szCs w:val="22"/>
        </w:rPr>
        <w:t xml:space="preserve"> CD006619</w:t>
      </w:r>
    </w:p>
    <w:p w14:paraId="390DBC37" w14:textId="77777777" w:rsidR="007A4A3A" w:rsidRPr="007E7EC7" w:rsidRDefault="007A4A3A" w:rsidP="007A4A3A">
      <w:pPr>
        <w:pStyle w:val="Default"/>
        <w:jc w:val="both"/>
        <w:rPr>
          <w:color w:val="auto"/>
        </w:rPr>
      </w:pPr>
    </w:p>
    <w:p w14:paraId="5EFA5163" w14:textId="77777777" w:rsidR="007A4A3A" w:rsidRPr="007E7EC7" w:rsidRDefault="007A4A3A" w:rsidP="007A4A3A">
      <w:pPr>
        <w:spacing w:line="240" w:lineRule="auto"/>
        <w:jc w:val="both"/>
      </w:pPr>
      <w:r w:rsidRPr="007E7EC7">
        <w:t>3.</w:t>
      </w:r>
      <w:r w:rsidR="007F572C">
        <w:t xml:space="preserve"> </w:t>
      </w:r>
      <w:r w:rsidRPr="007E7EC7">
        <w:t>Bhatt J. Croup (Laryngotracheobronchitis). Nottingham University Hospitals. 2015</w:t>
      </w:r>
    </w:p>
    <w:p w14:paraId="441120C6" w14:textId="77777777" w:rsidR="007A4A3A" w:rsidRPr="007E7EC7" w:rsidRDefault="007A4A3A" w:rsidP="007A4A3A">
      <w:pPr>
        <w:spacing w:line="240" w:lineRule="auto"/>
        <w:jc w:val="both"/>
      </w:pPr>
      <w:r w:rsidRPr="007E7EC7">
        <w:t>4.</w:t>
      </w:r>
      <w:r w:rsidR="007F572C">
        <w:t xml:space="preserve"> </w:t>
      </w:r>
      <w:r w:rsidRPr="007E7EC7">
        <w:t>Croup v.1.1: ED Management, Inpatient Management. Seattle Children's Hospital. 2015</w:t>
      </w:r>
    </w:p>
    <w:p w14:paraId="602335A7" w14:textId="77777777" w:rsidR="007A4A3A" w:rsidRPr="007E7EC7" w:rsidRDefault="007A4A3A" w:rsidP="007A4A3A">
      <w:pPr>
        <w:spacing w:line="240" w:lineRule="auto"/>
        <w:jc w:val="both"/>
      </w:pPr>
      <w:r w:rsidRPr="007E7EC7">
        <w:t>5.</w:t>
      </w:r>
      <w:r w:rsidR="007F572C">
        <w:t xml:space="preserve"> </w:t>
      </w:r>
      <w:r w:rsidRPr="007E7EC7">
        <w:t>Donaldson D, Poleski D, Knipple E, Filips K, Reetz L, Pascual R</w:t>
      </w:r>
      <w:r w:rsidR="00D60A2E">
        <w:t xml:space="preserve">, </w:t>
      </w:r>
      <w:r w:rsidRPr="007E7EC7">
        <w:t xml:space="preserve"> G, &amp; Jackson, R. E. Intramuscular versus Oral Dexamethasone for the Treatment of Moderate-to-severe Croup: A Randomized, Double-blind Trial. Academic emergency medicine, </w:t>
      </w:r>
      <w:r w:rsidR="00A92684" w:rsidRPr="007E7EC7">
        <w:t>2003</w:t>
      </w:r>
      <w:r w:rsidR="00A92684">
        <w:t xml:space="preserve">; </w:t>
      </w:r>
      <w:r w:rsidRPr="007E7EC7">
        <w:t>10(1)</w:t>
      </w:r>
      <w:r w:rsidR="00890692">
        <w:t>;</w:t>
      </w:r>
      <w:r w:rsidRPr="007E7EC7">
        <w:t xml:space="preserve"> 16-21.</w:t>
      </w:r>
    </w:p>
    <w:p w14:paraId="41CE2CD2" w14:textId="77777777" w:rsidR="007A4A3A" w:rsidRPr="007E7EC7" w:rsidRDefault="007A4A3A" w:rsidP="007A4A3A">
      <w:pPr>
        <w:spacing w:line="240" w:lineRule="auto"/>
      </w:pPr>
      <w:r w:rsidRPr="007E7EC7">
        <w:t>6.</w:t>
      </w:r>
      <w:r w:rsidR="007F572C">
        <w:t xml:space="preserve"> </w:t>
      </w:r>
      <w:r w:rsidRPr="007E7EC7">
        <w:t xml:space="preserve">Moraa I, Sturman N, McGuire T, &amp; </w:t>
      </w:r>
      <w:r w:rsidR="00D60A2E">
        <w:t>V</w:t>
      </w:r>
      <w:r w:rsidRPr="007E7EC7">
        <w:t>an Driel M</w:t>
      </w:r>
      <w:r w:rsidR="00D60A2E">
        <w:t>,</w:t>
      </w:r>
      <w:r w:rsidRPr="007E7EC7">
        <w:t xml:space="preserve"> L. (2013). Heliox for croup in children. The Cochrane Library.</w:t>
      </w:r>
    </w:p>
    <w:p w14:paraId="1D9A565F" w14:textId="77777777" w:rsidR="007A4A3A" w:rsidRPr="007E7EC7" w:rsidRDefault="007A4A3A" w:rsidP="007A4A3A">
      <w:pPr>
        <w:spacing w:line="240" w:lineRule="auto"/>
        <w:jc w:val="both"/>
      </w:pPr>
      <w:r w:rsidRPr="007E7EC7">
        <w:t>7.</w:t>
      </w:r>
      <w:r w:rsidR="007F572C">
        <w:t xml:space="preserve"> </w:t>
      </w:r>
      <w:r w:rsidRPr="007E7EC7">
        <w:t>Rosychuk R</w:t>
      </w:r>
      <w:r w:rsidR="000C74CC">
        <w:t xml:space="preserve"> </w:t>
      </w:r>
      <w:r w:rsidRPr="007E7EC7">
        <w:t xml:space="preserve">J, Klassen TP, Voaklander DC, Senthilselvan A, Rowe BH. Seasonality patterns in croup presentations to emergency departments in Alberta, Canada: a time series analysis. Pediatr Emerg Care. </w:t>
      </w:r>
      <w:r w:rsidRPr="009B2353">
        <w:t>2011</w:t>
      </w:r>
      <w:r w:rsidRPr="007E7EC7">
        <w:t xml:space="preserve"> Apr</w:t>
      </w:r>
      <w:r w:rsidR="00B800EC">
        <w:t>;</w:t>
      </w:r>
      <w:r w:rsidR="0048040B">
        <w:t xml:space="preserve"> </w:t>
      </w:r>
      <w:r w:rsidRPr="007E7EC7">
        <w:t>27</w:t>
      </w:r>
      <w:r w:rsidR="00DD1C15">
        <w:t>:</w:t>
      </w:r>
      <w:r w:rsidR="00555110">
        <w:t xml:space="preserve"> </w:t>
      </w:r>
      <w:r w:rsidRPr="007E7EC7">
        <w:t xml:space="preserve">(4):256-60. doi: 10.1097/PEC.0b013e31821314b0. PMID: 21490537 </w:t>
      </w:r>
    </w:p>
    <w:p w14:paraId="44F04B6F" w14:textId="77777777" w:rsidR="007A4A3A" w:rsidRPr="007E7EC7" w:rsidRDefault="007A4A3A" w:rsidP="007A4A3A">
      <w:pPr>
        <w:spacing w:line="240" w:lineRule="auto"/>
        <w:jc w:val="both"/>
      </w:pPr>
      <w:r w:rsidRPr="007E7EC7">
        <w:t>8.</w:t>
      </w:r>
      <w:r w:rsidR="007F572C">
        <w:t xml:space="preserve"> </w:t>
      </w:r>
      <w:r w:rsidRPr="007E7EC7">
        <w:t xml:space="preserve">Dobrovoljac M, Geelhoed GC. 27 years of croup: an update highlighting the effectiveness of 0.15 mg/kg of dexamethasone. Emerg Med Australas. </w:t>
      </w:r>
      <w:r w:rsidRPr="009B2353">
        <w:t>2009</w:t>
      </w:r>
      <w:r w:rsidRPr="007E7EC7">
        <w:t xml:space="preserve"> Aug;</w:t>
      </w:r>
      <w:r w:rsidR="00941425">
        <w:t xml:space="preserve"> </w:t>
      </w:r>
      <w:r w:rsidRPr="007E7EC7">
        <w:t>21</w:t>
      </w:r>
      <w:r w:rsidR="00382983">
        <w:t>:</w:t>
      </w:r>
      <w:r w:rsidR="00555110">
        <w:t xml:space="preserve"> </w:t>
      </w:r>
      <w:r w:rsidRPr="007E7EC7">
        <w:t xml:space="preserve">(4):309-14. doi: 10.1111/j.1742-6723.2009.01202. x. PMID: 19682017 </w:t>
      </w:r>
    </w:p>
    <w:p w14:paraId="518AC1C2" w14:textId="77777777" w:rsidR="007A4A3A" w:rsidRPr="007E7EC7" w:rsidRDefault="007A4A3A" w:rsidP="007A4A3A">
      <w:pPr>
        <w:spacing w:line="240" w:lineRule="auto"/>
        <w:jc w:val="both"/>
      </w:pPr>
      <w:r w:rsidRPr="007E7EC7">
        <w:t>9.</w:t>
      </w:r>
      <w:r w:rsidR="007F572C">
        <w:t xml:space="preserve"> </w:t>
      </w:r>
      <w:r w:rsidRPr="007E7EC7">
        <w:t>Cutrera R, Baraldi E, Indinnimeo L, Miraglia Del Giudice M, Piacentini G, Scaglione F, Ullmann N, Moschino L, Galdo F, Duse M. Management of acute respiratory diseases in the pediatric population: the role of oral corticosteroids.</w:t>
      </w:r>
      <w:r w:rsidRPr="007E7EC7">
        <w:rPr>
          <w:i/>
        </w:rPr>
        <w:t xml:space="preserve"> </w:t>
      </w:r>
      <w:r w:rsidRPr="007E7EC7">
        <w:t xml:space="preserve">Ital J Pediatr. </w:t>
      </w:r>
      <w:r w:rsidRPr="009B2353">
        <w:t>2017</w:t>
      </w:r>
      <w:r w:rsidRPr="007E7EC7">
        <w:t xml:space="preserve"> Mar</w:t>
      </w:r>
      <w:r w:rsidR="00921A2E">
        <w:t>;</w:t>
      </w:r>
      <w:r w:rsidRPr="007E7EC7">
        <w:t xml:space="preserve"> 23</w:t>
      </w:r>
      <w:r w:rsidR="00B96E91">
        <w:t>:</w:t>
      </w:r>
      <w:r w:rsidR="00F20A92">
        <w:t xml:space="preserve"> </w:t>
      </w:r>
      <w:r w:rsidRPr="007E7EC7">
        <w:t xml:space="preserve">43(1):31. doi: 10.1186/s13052-017-0348-x. Review. PMID: 28335827 </w:t>
      </w:r>
    </w:p>
    <w:p w14:paraId="5338008C" w14:textId="77777777" w:rsidR="007A4A3A" w:rsidRPr="007E7EC7" w:rsidRDefault="007A4A3A" w:rsidP="007A4A3A">
      <w:pPr>
        <w:spacing w:line="240" w:lineRule="auto"/>
        <w:jc w:val="both"/>
      </w:pPr>
      <w:r w:rsidRPr="007E7EC7">
        <w:t>10.</w:t>
      </w:r>
      <w:r w:rsidR="007F572C">
        <w:t xml:space="preserve"> </w:t>
      </w:r>
      <w:r w:rsidRPr="007E7EC7">
        <w:t>Penezić A, Ivkić M, Ivkić B, Baudoin T. Subglottic laryngitis--Changes in therapy approach over the past 20 years. Auris Nasus Larynx. 2015 Oct;</w:t>
      </w:r>
      <w:r w:rsidR="00BC2CBA">
        <w:t xml:space="preserve"> </w:t>
      </w:r>
      <w:r w:rsidRPr="007E7EC7">
        <w:t>42(5):390-5. doi: 10.1016/j.anl.2015.03.004. Epub 2015 Apr</w:t>
      </w:r>
      <w:r w:rsidR="00EE5337">
        <w:t>;</w:t>
      </w:r>
      <w:r w:rsidRPr="007E7EC7">
        <w:t xml:space="preserve"> 24</w:t>
      </w:r>
      <w:r w:rsidR="00A92684">
        <w:t>;</w:t>
      </w:r>
      <w:r w:rsidRPr="007E7EC7">
        <w:t xml:space="preserve"> PMID: 25921270 </w:t>
      </w:r>
    </w:p>
    <w:p w14:paraId="2679E93B" w14:textId="77777777" w:rsidR="007A4A3A" w:rsidRPr="007E7EC7" w:rsidRDefault="007A4A3A" w:rsidP="007A4A3A">
      <w:pPr>
        <w:spacing w:line="240" w:lineRule="auto"/>
        <w:jc w:val="both"/>
      </w:pPr>
      <w:r w:rsidRPr="007E7EC7">
        <w:t>11.</w:t>
      </w:r>
      <w:r w:rsidR="007F572C">
        <w:t xml:space="preserve"> </w:t>
      </w:r>
      <w:r w:rsidRPr="007E7EC7">
        <w:t>Petrocheilou A, Tanou K, Kalampouka E, Malakasioti G, Giannios C, Kaditis AG. Viral croup: diagnosis and a treatment algorithm. Pediatr Pulmonol. 2014 May;</w:t>
      </w:r>
      <w:r w:rsidR="00555110">
        <w:t xml:space="preserve"> </w:t>
      </w:r>
      <w:r w:rsidRPr="007E7EC7">
        <w:t>49(5):421-9. doi: 10.1002/ppul.22993. Epub 2014 Mar</w:t>
      </w:r>
      <w:r w:rsidR="00382983">
        <w:t xml:space="preserve">; </w:t>
      </w:r>
      <w:r w:rsidRPr="007E7EC7">
        <w:t>5</w:t>
      </w:r>
      <w:r w:rsidR="00382983">
        <w:t xml:space="preserve">: </w:t>
      </w:r>
      <w:r w:rsidRPr="007E7EC7">
        <w:t xml:space="preserve"> Review. PMID: 24596395 </w:t>
      </w:r>
    </w:p>
    <w:p w14:paraId="2DF54544" w14:textId="77777777" w:rsidR="007A4A3A" w:rsidRPr="007E7EC7" w:rsidRDefault="007A4A3A" w:rsidP="007A4A3A">
      <w:pPr>
        <w:spacing w:line="240" w:lineRule="auto"/>
        <w:jc w:val="both"/>
      </w:pPr>
      <w:r w:rsidRPr="007E7EC7">
        <w:t>12.</w:t>
      </w:r>
      <w:r w:rsidR="007F572C">
        <w:t xml:space="preserve"> </w:t>
      </w:r>
      <w:r w:rsidRPr="007E7EC7">
        <w:t>Tyler A, McLeod L, Beaty B, Juarez-Colunga E, Birkholz M, Hyman D, Kempe A, Todd J, Dempsey AF. Variation in Inpatient Croup Management and Outcomes. Pediatrics. 2017 Apr;</w:t>
      </w:r>
      <w:r w:rsidR="00555110">
        <w:t xml:space="preserve"> </w:t>
      </w:r>
      <w:r w:rsidRPr="007E7EC7">
        <w:t>139(4). pii: e20163582. doi: 10.1542/peds.2016-3582. Epub 2017 Mar</w:t>
      </w:r>
      <w:r w:rsidR="00711D26">
        <w:t>;</w:t>
      </w:r>
      <w:r w:rsidRPr="007E7EC7">
        <w:t xml:space="preserve"> 14</w:t>
      </w:r>
      <w:r w:rsidR="00F911E5">
        <w:t xml:space="preserve">: </w:t>
      </w:r>
      <w:r w:rsidRPr="007E7EC7">
        <w:t xml:space="preserve"> PMID: 28292873</w:t>
      </w:r>
    </w:p>
    <w:p w14:paraId="356F0A76" w14:textId="77777777" w:rsidR="007A4A3A" w:rsidRPr="007E7EC7" w:rsidRDefault="007A4A3A" w:rsidP="007A4A3A">
      <w:pPr>
        <w:spacing w:line="240" w:lineRule="auto"/>
        <w:jc w:val="both"/>
      </w:pPr>
      <w:r w:rsidRPr="007E7EC7">
        <w:t>13.</w:t>
      </w:r>
      <w:r w:rsidR="007F572C">
        <w:t xml:space="preserve"> </w:t>
      </w:r>
      <w:r w:rsidRPr="007E7EC7">
        <w:t>Baskett TF. Resuscitation great. Joseph O'Dwyer and laryngeal intubation for croup. Resuscitation. 2007 Aug;</w:t>
      </w:r>
      <w:r w:rsidR="00555110">
        <w:t xml:space="preserve"> </w:t>
      </w:r>
      <w:r w:rsidRPr="007E7EC7">
        <w:t>74(2):211-4. Epub 2007 Mar</w:t>
      </w:r>
      <w:r w:rsidR="00711D26">
        <w:t>;</w:t>
      </w:r>
      <w:r w:rsidRPr="007E7EC7">
        <w:t xml:space="preserve"> 26</w:t>
      </w:r>
      <w:r w:rsidR="001E6BF0">
        <w:t>;</w:t>
      </w:r>
      <w:r w:rsidRPr="007E7EC7">
        <w:t xml:space="preserve"> No abstract available. PMID: 17382453 </w:t>
      </w:r>
    </w:p>
    <w:p w14:paraId="7FF112A7" w14:textId="77777777" w:rsidR="007A4A3A" w:rsidRPr="007E7EC7" w:rsidRDefault="007A4A3A" w:rsidP="007A4A3A">
      <w:pPr>
        <w:spacing w:line="240" w:lineRule="auto"/>
        <w:jc w:val="both"/>
      </w:pPr>
      <w:r w:rsidRPr="007E7EC7">
        <w:t>14.</w:t>
      </w:r>
      <w:r w:rsidR="007F572C">
        <w:t xml:space="preserve"> </w:t>
      </w:r>
      <w:r w:rsidRPr="007E7EC7">
        <w:t>Cormack JR. History and Meaning of the Terms Diphtheria and Croup. Br Med J. 1875 Apr</w:t>
      </w:r>
      <w:r w:rsidR="00F911E5">
        <w:t>;</w:t>
      </w:r>
      <w:r w:rsidRPr="007E7EC7">
        <w:t xml:space="preserve"> 24</w:t>
      </w:r>
      <w:r w:rsidR="00F02556">
        <w:t xml:space="preserve">: </w:t>
      </w:r>
      <w:r w:rsidR="00555110">
        <w:t xml:space="preserve"> </w:t>
      </w:r>
      <w:r w:rsidRPr="007E7EC7">
        <w:t xml:space="preserve">1(747):544. No abstract available. PMID: 20747841 </w:t>
      </w:r>
    </w:p>
    <w:p w14:paraId="5E657CF0" w14:textId="77777777" w:rsidR="007A4A3A" w:rsidRPr="007E7EC7" w:rsidRDefault="007A4A3A" w:rsidP="007A4A3A">
      <w:pPr>
        <w:spacing w:line="240" w:lineRule="auto"/>
        <w:jc w:val="both"/>
      </w:pPr>
      <w:r w:rsidRPr="007E7EC7">
        <w:t>15.</w:t>
      </w:r>
      <w:r w:rsidR="007F572C">
        <w:t xml:space="preserve"> </w:t>
      </w:r>
      <w:r w:rsidRPr="007E7EC7">
        <w:t>Bjornson CL, Johnson DW. Croup. Lancet. 2008 Jan 26;</w:t>
      </w:r>
      <w:r w:rsidR="00555110">
        <w:t xml:space="preserve"> </w:t>
      </w:r>
      <w:r w:rsidRPr="007E7EC7">
        <w:t xml:space="preserve">371(9609):329-39. doi: 10.1016/S0140-6736(08)60170-1. Review. PMID: 18295000 </w:t>
      </w:r>
    </w:p>
    <w:p w14:paraId="7676EF28" w14:textId="77777777" w:rsidR="007A4A3A" w:rsidRPr="007E7EC7" w:rsidRDefault="007A4A3A" w:rsidP="007A4A3A">
      <w:pPr>
        <w:spacing w:line="240" w:lineRule="auto"/>
        <w:jc w:val="both"/>
      </w:pPr>
      <w:r w:rsidRPr="007E7EC7">
        <w:lastRenderedPageBreak/>
        <w:t>16.</w:t>
      </w:r>
      <w:r w:rsidR="007F572C">
        <w:t xml:space="preserve"> </w:t>
      </w:r>
      <w:r w:rsidRPr="007E7EC7">
        <w:t>Pruikkonen H, Dunder T, Renko M, Pokka T, Uhari M. Risk factors for croup in children with recurrent respiratory infections: a case-control study. Paediatr Perinat Epidemiol. 2009 Mar;</w:t>
      </w:r>
      <w:r w:rsidR="00555110">
        <w:t xml:space="preserve"> </w:t>
      </w:r>
      <w:r w:rsidRPr="007E7EC7">
        <w:t xml:space="preserve">23(2):153-9. doi: 10.1111/j.1365-3016.2008.00986. x. PMID: 19159401 </w:t>
      </w:r>
    </w:p>
    <w:p w14:paraId="4BC1C7EB" w14:textId="77777777" w:rsidR="007A4A3A" w:rsidRPr="007E7EC7" w:rsidRDefault="007A4A3A" w:rsidP="007A4A3A">
      <w:pPr>
        <w:spacing w:line="240" w:lineRule="auto"/>
        <w:jc w:val="both"/>
      </w:pPr>
      <w:r w:rsidRPr="007E7EC7">
        <w:t>17.</w:t>
      </w:r>
      <w:r w:rsidR="007F572C">
        <w:t xml:space="preserve"> </w:t>
      </w:r>
      <w:r w:rsidRPr="007E7EC7">
        <w:t>Üzüm Ö, Çağlar A, Küme T, Sayıner A, Er A, Akgül F, Ulusoy E, Yılmaz D, Duman M. Are cytokines and cortisol important predictors for the severity of pediatric croup: A case control study. Turk J Pediatr. 2017;</w:t>
      </w:r>
      <w:r w:rsidR="00555110">
        <w:t xml:space="preserve"> </w:t>
      </w:r>
      <w:r w:rsidRPr="007E7EC7">
        <w:t xml:space="preserve">59(3):281-287. doi: 10.24953/turkjped.2017.03.008.  </w:t>
      </w:r>
    </w:p>
    <w:p w14:paraId="641F5BE9" w14:textId="77777777" w:rsidR="007A4A3A" w:rsidRPr="007E7EC7" w:rsidRDefault="007A4A3A" w:rsidP="007A4A3A">
      <w:pPr>
        <w:spacing w:line="240" w:lineRule="auto"/>
        <w:jc w:val="both"/>
      </w:pPr>
      <w:r w:rsidRPr="007E7EC7">
        <w:t>18.</w:t>
      </w:r>
      <w:r w:rsidR="007F572C">
        <w:t xml:space="preserve"> </w:t>
      </w:r>
      <w:r w:rsidRPr="007E7EC7">
        <w:t>Rajapaksa S, Starr M. Croup - assessment and management.</w:t>
      </w:r>
      <w:r w:rsidRPr="007E7EC7">
        <w:rPr>
          <w:b/>
        </w:rPr>
        <w:t xml:space="preserve"> </w:t>
      </w:r>
      <w:r w:rsidRPr="007E7EC7">
        <w:t xml:space="preserve">Aust Fam Physician. </w:t>
      </w:r>
      <w:r w:rsidRPr="009B2353">
        <w:t>2010</w:t>
      </w:r>
      <w:r w:rsidRPr="007E7EC7">
        <w:t xml:space="preserve"> May;</w:t>
      </w:r>
      <w:r w:rsidR="00555110">
        <w:t xml:space="preserve"> </w:t>
      </w:r>
      <w:r w:rsidRPr="007E7EC7">
        <w:t xml:space="preserve">39(5):280-2. Review. PMID: 20485713 </w:t>
      </w:r>
    </w:p>
    <w:p w14:paraId="2215D5CF" w14:textId="77777777" w:rsidR="007A4A3A" w:rsidRPr="007E7EC7" w:rsidRDefault="007A4A3A" w:rsidP="007A4A3A">
      <w:pPr>
        <w:spacing w:line="240" w:lineRule="auto"/>
        <w:jc w:val="both"/>
      </w:pPr>
      <w:r w:rsidRPr="007E7EC7">
        <w:t>19.</w:t>
      </w:r>
      <w:r w:rsidR="007F572C">
        <w:t xml:space="preserve"> </w:t>
      </w:r>
      <w:r w:rsidRPr="007E7EC7">
        <w:t>Ibrahimov M, Yollu U, Akil F, Aydin F, Yener M. Laryngeal foreign body mimicking croup. J Craniofac Surg. 2013 Jan;</w:t>
      </w:r>
      <w:r w:rsidR="00555110">
        <w:t xml:space="preserve"> </w:t>
      </w:r>
      <w:r w:rsidRPr="007E7EC7">
        <w:t xml:space="preserve">24(1): e7-8. doi: 10.1097/SCS.0b013e31826465e5. PMID: 23348345 </w:t>
      </w:r>
    </w:p>
    <w:p w14:paraId="3AB829B6" w14:textId="77777777" w:rsidR="007A4A3A" w:rsidRPr="007E7EC7" w:rsidRDefault="007A4A3A" w:rsidP="007A4A3A">
      <w:pPr>
        <w:spacing w:line="240" w:lineRule="auto"/>
        <w:jc w:val="both"/>
      </w:pPr>
      <w:r w:rsidRPr="007E7EC7">
        <w:t>20.</w:t>
      </w:r>
      <w:r w:rsidR="007F572C">
        <w:t xml:space="preserve"> </w:t>
      </w:r>
      <w:r w:rsidRPr="007E7EC7">
        <w:t>Louise Borland, Franz E. Babl, Nisa Sheriff, Amanda Doreen. Croup Management in Australia and New Zealand A PREDICT Study of Physician Practice and Clinical Practice Guidelines. Lippincott Williams &amp; Wilkins 2008</w:t>
      </w:r>
      <w:r w:rsidR="00240A95">
        <w:t>;</w:t>
      </w:r>
      <w:r w:rsidRPr="007E7EC7">
        <w:t xml:space="preserve"> by ISSN: 0749-5161/08/2407-0452 </w:t>
      </w:r>
    </w:p>
    <w:p w14:paraId="4624F7D8" w14:textId="77777777" w:rsidR="007A4A3A" w:rsidRPr="007E7EC7" w:rsidRDefault="007A4A3A" w:rsidP="007A4A3A">
      <w:pPr>
        <w:spacing w:line="240" w:lineRule="auto"/>
        <w:jc w:val="both"/>
      </w:pPr>
      <w:r w:rsidRPr="007E7EC7">
        <w:t>21.</w:t>
      </w:r>
      <w:r w:rsidR="007F572C">
        <w:t xml:space="preserve"> </w:t>
      </w:r>
      <w:r w:rsidRPr="007E7EC7">
        <w:t>Bjornson CL, Johnson DW. Croup in the paediatric emergency department. Paediatr Child Health. 2007 Jul;</w:t>
      </w:r>
      <w:r w:rsidR="00555110">
        <w:t xml:space="preserve"> </w:t>
      </w:r>
      <w:r w:rsidRPr="007E7EC7">
        <w:t xml:space="preserve">12(6):473-477. PMID: 19030411 </w:t>
      </w:r>
    </w:p>
    <w:p w14:paraId="1344F350" w14:textId="77777777" w:rsidR="007A4A3A" w:rsidRPr="007E7EC7" w:rsidRDefault="007A4A3A" w:rsidP="007A4A3A">
      <w:pPr>
        <w:spacing w:line="240" w:lineRule="auto"/>
        <w:jc w:val="both"/>
      </w:pPr>
      <w:r w:rsidRPr="007E7EC7">
        <w:t>22.</w:t>
      </w:r>
      <w:r w:rsidR="007F572C">
        <w:t xml:space="preserve"> </w:t>
      </w:r>
      <w:r w:rsidRPr="007E7EC7">
        <w:t>Lisa Amir, Henry Huberman, Ayelet Halevi, Meirav Mor, Marc Mimouni, Yehezkel Waisman. Oral Betamethasone Versus Intramuscular Dexamethasone for the Treatment of Mild to Moderate Viral Croup: A Prospective, Randomized Trial. Pediatr Emerg Care. 2006 Aug;</w:t>
      </w:r>
      <w:r w:rsidR="00555110">
        <w:t xml:space="preserve"> </w:t>
      </w:r>
      <w:r w:rsidRPr="007E7EC7">
        <w:t xml:space="preserve">22(8):541-4. PMID: 16912619 </w:t>
      </w:r>
    </w:p>
    <w:p w14:paraId="5736EF5F" w14:textId="77777777" w:rsidR="007A4A3A" w:rsidRPr="007E7EC7" w:rsidRDefault="007A4A3A" w:rsidP="007A4A3A">
      <w:pPr>
        <w:spacing w:line="240" w:lineRule="auto"/>
        <w:jc w:val="both"/>
      </w:pPr>
      <w:r w:rsidRPr="007E7EC7">
        <w:t>23.</w:t>
      </w:r>
      <w:r w:rsidR="007F572C">
        <w:t xml:space="preserve"> </w:t>
      </w:r>
      <w:r w:rsidRPr="007E7EC7">
        <w:t>Sarah Kline-Krammes, Christina Reed, John S. Giuliano, Jr, Hamilton P. Schwartz, Michael Forbes, John Pope, James Besunder, Michael D. Gothard, Kerry Russell, Michael T. Bigham. Heliox in Children with Croup: A Strategy to Hasten Improvement. Air Medical Journal Associates 2012</w:t>
      </w:r>
      <w:r w:rsidR="00117DD2">
        <w:t>;</w:t>
      </w:r>
      <w:r w:rsidRPr="007E7EC7">
        <w:t xml:space="preserve"> doi: 10.1016/j.amj.2011.08.004 </w:t>
      </w:r>
    </w:p>
    <w:p w14:paraId="7189E8E6" w14:textId="77777777" w:rsidR="007A4A3A" w:rsidRDefault="007A4A3A"/>
    <w:p w14:paraId="52B8B424" w14:textId="77777777" w:rsidR="00D20395" w:rsidRDefault="00D20395"/>
    <w:p w14:paraId="12E3BB32" w14:textId="77777777" w:rsidR="00D20395" w:rsidRDefault="00D20395"/>
    <w:sectPr w:rsidR="00D20395" w:rsidSect="00D14DC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718409" w14:textId="77777777" w:rsidR="00352300" w:rsidRDefault="00352300" w:rsidP="00A560DD">
      <w:pPr>
        <w:spacing w:after="0" w:line="240" w:lineRule="auto"/>
      </w:pPr>
      <w:r>
        <w:separator/>
      </w:r>
    </w:p>
  </w:endnote>
  <w:endnote w:type="continuationSeparator" w:id="0">
    <w:p w14:paraId="5D3230E9" w14:textId="77777777" w:rsidR="00352300" w:rsidRDefault="00352300" w:rsidP="00A560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4998867"/>
      <w:docPartObj>
        <w:docPartGallery w:val="Page Numbers (Bottom of Page)"/>
        <w:docPartUnique/>
      </w:docPartObj>
    </w:sdtPr>
    <w:sdtEndPr>
      <w:rPr>
        <w:color w:val="7F7F7F" w:themeColor="background1" w:themeShade="7F"/>
        <w:spacing w:val="60"/>
      </w:rPr>
    </w:sdtEndPr>
    <w:sdtContent>
      <w:p w14:paraId="5FE4F16E" w14:textId="77777777" w:rsidR="00C776DB" w:rsidRDefault="00C776D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0E5279">
          <w:rPr>
            <w:b/>
            <w:bCs/>
            <w:noProof/>
          </w:rPr>
          <w:t>31</w:t>
        </w:r>
        <w:r>
          <w:rPr>
            <w:b/>
            <w:bCs/>
            <w:noProof/>
          </w:rPr>
          <w:fldChar w:fldCharType="end"/>
        </w:r>
        <w:r>
          <w:rPr>
            <w:b/>
            <w:bCs/>
          </w:rPr>
          <w:t xml:space="preserve"> | </w:t>
        </w:r>
        <w:r>
          <w:rPr>
            <w:color w:val="7F7F7F" w:themeColor="background1" w:themeShade="7F"/>
            <w:spacing w:val="60"/>
          </w:rPr>
          <w:t>Page</w:t>
        </w:r>
      </w:p>
    </w:sdtContent>
  </w:sdt>
  <w:p w14:paraId="6D0EF0A9" w14:textId="77777777" w:rsidR="00C776DB" w:rsidRDefault="00C776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EC5EF9" w14:textId="77777777" w:rsidR="00352300" w:rsidRDefault="00352300" w:rsidP="00A560DD">
      <w:pPr>
        <w:spacing w:after="0" w:line="240" w:lineRule="auto"/>
      </w:pPr>
      <w:r>
        <w:separator/>
      </w:r>
    </w:p>
  </w:footnote>
  <w:footnote w:type="continuationSeparator" w:id="0">
    <w:p w14:paraId="0E426D94" w14:textId="77777777" w:rsidR="00352300" w:rsidRDefault="00352300" w:rsidP="00A560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141BE7"/>
    <w:multiLevelType w:val="multilevel"/>
    <w:tmpl w:val="3424A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20F2725"/>
    <w:multiLevelType w:val="hybridMultilevel"/>
    <w:tmpl w:val="62084F02"/>
    <w:lvl w:ilvl="0" w:tplc="04090013">
      <w:start w:val="1"/>
      <w:numFmt w:val="upp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540119"/>
    <w:multiLevelType w:val="multilevel"/>
    <w:tmpl w:val="AAAAC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2525225"/>
    <w:multiLevelType w:val="hybridMultilevel"/>
    <w:tmpl w:val="1B5258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7A9C0D66"/>
    <w:multiLevelType w:val="hybridMultilevel"/>
    <w:tmpl w:val="494A2B84"/>
    <w:lvl w:ilvl="0" w:tplc="7B0C17E0">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E9149A9"/>
    <w:multiLevelType w:val="multilevel"/>
    <w:tmpl w:val="13CE2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A3A"/>
    <w:rsid w:val="000028AD"/>
    <w:rsid w:val="00004598"/>
    <w:rsid w:val="00006397"/>
    <w:rsid w:val="00006DB1"/>
    <w:rsid w:val="00007416"/>
    <w:rsid w:val="0000762A"/>
    <w:rsid w:val="00007944"/>
    <w:rsid w:val="000103FF"/>
    <w:rsid w:val="0001047E"/>
    <w:rsid w:val="000135A3"/>
    <w:rsid w:val="00013839"/>
    <w:rsid w:val="000179ED"/>
    <w:rsid w:val="00020542"/>
    <w:rsid w:val="000213A7"/>
    <w:rsid w:val="00024F28"/>
    <w:rsid w:val="00025D0F"/>
    <w:rsid w:val="00035C2A"/>
    <w:rsid w:val="00037B43"/>
    <w:rsid w:val="0004004E"/>
    <w:rsid w:val="000425E5"/>
    <w:rsid w:val="000430F1"/>
    <w:rsid w:val="000451F6"/>
    <w:rsid w:val="0004792E"/>
    <w:rsid w:val="00054945"/>
    <w:rsid w:val="00057201"/>
    <w:rsid w:val="000601CB"/>
    <w:rsid w:val="00060B3C"/>
    <w:rsid w:val="00067551"/>
    <w:rsid w:val="00072C10"/>
    <w:rsid w:val="00075EDE"/>
    <w:rsid w:val="00081989"/>
    <w:rsid w:val="00082087"/>
    <w:rsid w:val="00082CCD"/>
    <w:rsid w:val="00083BAC"/>
    <w:rsid w:val="00085335"/>
    <w:rsid w:val="00090285"/>
    <w:rsid w:val="00090AE1"/>
    <w:rsid w:val="00094753"/>
    <w:rsid w:val="000949FA"/>
    <w:rsid w:val="00097ACB"/>
    <w:rsid w:val="000A007B"/>
    <w:rsid w:val="000A085E"/>
    <w:rsid w:val="000B3E6B"/>
    <w:rsid w:val="000B4E54"/>
    <w:rsid w:val="000B6E2C"/>
    <w:rsid w:val="000C0ACA"/>
    <w:rsid w:val="000C2904"/>
    <w:rsid w:val="000C3280"/>
    <w:rsid w:val="000C51A0"/>
    <w:rsid w:val="000C543D"/>
    <w:rsid w:val="000C74CC"/>
    <w:rsid w:val="000D13D5"/>
    <w:rsid w:val="000D3010"/>
    <w:rsid w:val="000D35E3"/>
    <w:rsid w:val="000D5F41"/>
    <w:rsid w:val="000D6335"/>
    <w:rsid w:val="000E14EE"/>
    <w:rsid w:val="000E224F"/>
    <w:rsid w:val="000E5279"/>
    <w:rsid w:val="000E560D"/>
    <w:rsid w:val="000E68D1"/>
    <w:rsid w:val="000E68F8"/>
    <w:rsid w:val="000E7400"/>
    <w:rsid w:val="000E784F"/>
    <w:rsid w:val="000F039E"/>
    <w:rsid w:val="000F2101"/>
    <w:rsid w:val="000F5243"/>
    <w:rsid w:val="000F5318"/>
    <w:rsid w:val="000F7847"/>
    <w:rsid w:val="00100DB4"/>
    <w:rsid w:val="0010201C"/>
    <w:rsid w:val="00103BAF"/>
    <w:rsid w:val="00111031"/>
    <w:rsid w:val="001115F1"/>
    <w:rsid w:val="00111F39"/>
    <w:rsid w:val="00113EFE"/>
    <w:rsid w:val="0011462D"/>
    <w:rsid w:val="00117AD9"/>
    <w:rsid w:val="00117DD2"/>
    <w:rsid w:val="00120F11"/>
    <w:rsid w:val="0012641B"/>
    <w:rsid w:val="00126FC6"/>
    <w:rsid w:val="00132C9E"/>
    <w:rsid w:val="0013412F"/>
    <w:rsid w:val="00135257"/>
    <w:rsid w:val="00145A0F"/>
    <w:rsid w:val="00147C42"/>
    <w:rsid w:val="00150190"/>
    <w:rsid w:val="00150C48"/>
    <w:rsid w:val="00152925"/>
    <w:rsid w:val="00153419"/>
    <w:rsid w:val="00153CCD"/>
    <w:rsid w:val="00161C1D"/>
    <w:rsid w:val="00166028"/>
    <w:rsid w:val="00176E14"/>
    <w:rsid w:val="00183ED7"/>
    <w:rsid w:val="00190CC7"/>
    <w:rsid w:val="001924C5"/>
    <w:rsid w:val="00197155"/>
    <w:rsid w:val="00197E3A"/>
    <w:rsid w:val="001A189B"/>
    <w:rsid w:val="001A1A2A"/>
    <w:rsid w:val="001A2145"/>
    <w:rsid w:val="001A4EE3"/>
    <w:rsid w:val="001A5E45"/>
    <w:rsid w:val="001A67F4"/>
    <w:rsid w:val="001B02E7"/>
    <w:rsid w:val="001B7114"/>
    <w:rsid w:val="001B7EC5"/>
    <w:rsid w:val="001C27EB"/>
    <w:rsid w:val="001C28BD"/>
    <w:rsid w:val="001C2D44"/>
    <w:rsid w:val="001C4E35"/>
    <w:rsid w:val="001D08DC"/>
    <w:rsid w:val="001D238C"/>
    <w:rsid w:val="001D6B9E"/>
    <w:rsid w:val="001E0BD9"/>
    <w:rsid w:val="001E17F7"/>
    <w:rsid w:val="001E5596"/>
    <w:rsid w:val="001E6BF0"/>
    <w:rsid w:val="001E6BFB"/>
    <w:rsid w:val="001E7083"/>
    <w:rsid w:val="001F0490"/>
    <w:rsid w:val="001F1987"/>
    <w:rsid w:val="001F1DD7"/>
    <w:rsid w:val="001F2AE2"/>
    <w:rsid w:val="00201414"/>
    <w:rsid w:val="00203E9B"/>
    <w:rsid w:val="00204A8A"/>
    <w:rsid w:val="00204BEF"/>
    <w:rsid w:val="002119EB"/>
    <w:rsid w:val="00216195"/>
    <w:rsid w:val="00217603"/>
    <w:rsid w:val="00220D97"/>
    <w:rsid w:val="00223801"/>
    <w:rsid w:val="00224B18"/>
    <w:rsid w:val="00225DD4"/>
    <w:rsid w:val="00230CD7"/>
    <w:rsid w:val="002317CB"/>
    <w:rsid w:val="00231A3B"/>
    <w:rsid w:val="00233A3D"/>
    <w:rsid w:val="002347A5"/>
    <w:rsid w:val="00240A95"/>
    <w:rsid w:val="00243745"/>
    <w:rsid w:val="0024445D"/>
    <w:rsid w:val="00244570"/>
    <w:rsid w:val="00245D08"/>
    <w:rsid w:val="00250FB5"/>
    <w:rsid w:val="002518C1"/>
    <w:rsid w:val="00252584"/>
    <w:rsid w:val="00255BB1"/>
    <w:rsid w:val="00257114"/>
    <w:rsid w:val="00265DF2"/>
    <w:rsid w:val="002664C0"/>
    <w:rsid w:val="002702BC"/>
    <w:rsid w:val="0027271D"/>
    <w:rsid w:val="00272ADB"/>
    <w:rsid w:val="002775AF"/>
    <w:rsid w:val="00277C4F"/>
    <w:rsid w:val="00281C93"/>
    <w:rsid w:val="0028329C"/>
    <w:rsid w:val="00283DAF"/>
    <w:rsid w:val="002869BE"/>
    <w:rsid w:val="00290B37"/>
    <w:rsid w:val="00296620"/>
    <w:rsid w:val="002979DB"/>
    <w:rsid w:val="002A0C72"/>
    <w:rsid w:val="002A46F8"/>
    <w:rsid w:val="002A5185"/>
    <w:rsid w:val="002A64E2"/>
    <w:rsid w:val="002A7895"/>
    <w:rsid w:val="002B3FF5"/>
    <w:rsid w:val="002B4ABA"/>
    <w:rsid w:val="002B5BD7"/>
    <w:rsid w:val="002C221C"/>
    <w:rsid w:val="002E241F"/>
    <w:rsid w:val="002E5F54"/>
    <w:rsid w:val="002F0336"/>
    <w:rsid w:val="002F1BD2"/>
    <w:rsid w:val="002F218E"/>
    <w:rsid w:val="00300FF0"/>
    <w:rsid w:val="00302640"/>
    <w:rsid w:val="003052D2"/>
    <w:rsid w:val="00307B23"/>
    <w:rsid w:val="003118ED"/>
    <w:rsid w:val="00312001"/>
    <w:rsid w:val="00314C51"/>
    <w:rsid w:val="003155CA"/>
    <w:rsid w:val="00320452"/>
    <w:rsid w:val="0032077F"/>
    <w:rsid w:val="00331F4B"/>
    <w:rsid w:val="0033206D"/>
    <w:rsid w:val="00337387"/>
    <w:rsid w:val="003414CF"/>
    <w:rsid w:val="00344EED"/>
    <w:rsid w:val="0034502E"/>
    <w:rsid w:val="00345A2B"/>
    <w:rsid w:val="00345A8A"/>
    <w:rsid w:val="00346F2E"/>
    <w:rsid w:val="0035033C"/>
    <w:rsid w:val="00352300"/>
    <w:rsid w:val="00355921"/>
    <w:rsid w:val="00360765"/>
    <w:rsid w:val="00363F44"/>
    <w:rsid w:val="00367724"/>
    <w:rsid w:val="00367D30"/>
    <w:rsid w:val="0037652A"/>
    <w:rsid w:val="00377DB5"/>
    <w:rsid w:val="003801A7"/>
    <w:rsid w:val="00382983"/>
    <w:rsid w:val="003833BE"/>
    <w:rsid w:val="00385CBC"/>
    <w:rsid w:val="00386467"/>
    <w:rsid w:val="00386D08"/>
    <w:rsid w:val="003942ED"/>
    <w:rsid w:val="00394E6E"/>
    <w:rsid w:val="0039648D"/>
    <w:rsid w:val="00396557"/>
    <w:rsid w:val="00397B1D"/>
    <w:rsid w:val="003A0DD4"/>
    <w:rsid w:val="003A5A72"/>
    <w:rsid w:val="003A7090"/>
    <w:rsid w:val="003A73A2"/>
    <w:rsid w:val="003B5B7B"/>
    <w:rsid w:val="003C02AA"/>
    <w:rsid w:val="003C0E52"/>
    <w:rsid w:val="003C4F7D"/>
    <w:rsid w:val="003D1F90"/>
    <w:rsid w:val="003E4A90"/>
    <w:rsid w:val="003E5C4E"/>
    <w:rsid w:val="003E6F73"/>
    <w:rsid w:val="003E7562"/>
    <w:rsid w:val="003E7933"/>
    <w:rsid w:val="003E7AE3"/>
    <w:rsid w:val="003E7B6E"/>
    <w:rsid w:val="003F1AC9"/>
    <w:rsid w:val="003F2C96"/>
    <w:rsid w:val="003F489A"/>
    <w:rsid w:val="003F5E62"/>
    <w:rsid w:val="004141DE"/>
    <w:rsid w:val="00416D06"/>
    <w:rsid w:val="004171AA"/>
    <w:rsid w:val="00422079"/>
    <w:rsid w:val="0042447B"/>
    <w:rsid w:val="00425128"/>
    <w:rsid w:val="00430656"/>
    <w:rsid w:val="00433B43"/>
    <w:rsid w:val="00436334"/>
    <w:rsid w:val="00441F8E"/>
    <w:rsid w:val="004421D5"/>
    <w:rsid w:val="00445AE6"/>
    <w:rsid w:val="004506A7"/>
    <w:rsid w:val="00451399"/>
    <w:rsid w:val="00452A17"/>
    <w:rsid w:val="00453109"/>
    <w:rsid w:val="004615E8"/>
    <w:rsid w:val="00462962"/>
    <w:rsid w:val="00465252"/>
    <w:rsid w:val="00471571"/>
    <w:rsid w:val="00472406"/>
    <w:rsid w:val="0048040B"/>
    <w:rsid w:val="00485C8C"/>
    <w:rsid w:val="004869EA"/>
    <w:rsid w:val="00487036"/>
    <w:rsid w:val="00490450"/>
    <w:rsid w:val="0049568D"/>
    <w:rsid w:val="00497BE5"/>
    <w:rsid w:val="004A07A8"/>
    <w:rsid w:val="004A2B60"/>
    <w:rsid w:val="004A3208"/>
    <w:rsid w:val="004B044B"/>
    <w:rsid w:val="004B6EAB"/>
    <w:rsid w:val="004B7B61"/>
    <w:rsid w:val="004C012A"/>
    <w:rsid w:val="004C04D1"/>
    <w:rsid w:val="004C361B"/>
    <w:rsid w:val="004D0EBD"/>
    <w:rsid w:val="004D1703"/>
    <w:rsid w:val="004D20BA"/>
    <w:rsid w:val="004D38C7"/>
    <w:rsid w:val="004E0BF9"/>
    <w:rsid w:val="004E37E1"/>
    <w:rsid w:val="004E48F0"/>
    <w:rsid w:val="004E65AB"/>
    <w:rsid w:val="004F24A1"/>
    <w:rsid w:val="004F685A"/>
    <w:rsid w:val="005006BC"/>
    <w:rsid w:val="00502766"/>
    <w:rsid w:val="005029DA"/>
    <w:rsid w:val="00511884"/>
    <w:rsid w:val="00513AE1"/>
    <w:rsid w:val="0051417D"/>
    <w:rsid w:val="005149DA"/>
    <w:rsid w:val="00525BDA"/>
    <w:rsid w:val="00525C9B"/>
    <w:rsid w:val="00525DEE"/>
    <w:rsid w:val="00525FD5"/>
    <w:rsid w:val="00527881"/>
    <w:rsid w:val="00530C73"/>
    <w:rsid w:val="005311AB"/>
    <w:rsid w:val="00531ADB"/>
    <w:rsid w:val="00533CF5"/>
    <w:rsid w:val="005351E6"/>
    <w:rsid w:val="00535739"/>
    <w:rsid w:val="005359DA"/>
    <w:rsid w:val="0053669F"/>
    <w:rsid w:val="005438DC"/>
    <w:rsid w:val="00543ABF"/>
    <w:rsid w:val="005464F6"/>
    <w:rsid w:val="00546F5B"/>
    <w:rsid w:val="005478DE"/>
    <w:rsid w:val="0055228E"/>
    <w:rsid w:val="00555110"/>
    <w:rsid w:val="0055583C"/>
    <w:rsid w:val="00555F33"/>
    <w:rsid w:val="00562290"/>
    <w:rsid w:val="00563008"/>
    <w:rsid w:val="0057285D"/>
    <w:rsid w:val="00573F36"/>
    <w:rsid w:val="005829B0"/>
    <w:rsid w:val="00583FA7"/>
    <w:rsid w:val="0058413B"/>
    <w:rsid w:val="005852F3"/>
    <w:rsid w:val="0058685C"/>
    <w:rsid w:val="00586D61"/>
    <w:rsid w:val="005904A1"/>
    <w:rsid w:val="005913D1"/>
    <w:rsid w:val="00592035"/>
    <w:rsid w:val="00594FA3"/>
    <w:rsid w:val="0059775A"/>
    <w:rsid w:val="00597916"/>
    <w:rsid w:val="005A0F3A"/>
    <w:rsid w:val="005A16AB"/>
    <w:rsid w:val="005B4484"/>
    <w:rsid w:val="005B46C0"/>
    <w:rsid w:val="005B65E3"/>
    <w:rsid w:val="005C154D"/>
    <w:rsid w:val="005C18B2"/>
    <w:rsid w:val="005C1D6E"/>
    <w:rsid w:val="005C2B2F"/>
    <w:rsid w:val="005C325B"/>
    <w:rsid w:val="005C4A0B"/>
    <w:rsid w:val="005C5D87"/>
    <w:rsid w:val="005C681C"/>
    <w:rsid w:val="005D213E"/>
    <w:rsid w:val="005D5501"/>
    <w:rsid w:val="005D6D78"/>
    <w:rsid w:val="005E069F"/>
    <w:rsid w:val="005E4D83"/>
    <w:rsid w:val="005E5702"/>
    <w:rsid w:val="005F12A1"/>
    <w:rsid w:val="005F29C7"/>
    <w:rsid w:val="005F39F4"/>
    <w:rsid w:val="005F3F8A"/>
    <w:rsid w:val="006019FB"/>
    <w:rsid w:val="00601A4B"/>
    <w:rsid w:val="00601EE3"/>
    <w:rsid w:val="00602FA6"/>
    <w:rsid w:val="006226F8"/>
    <w:rsid w:val="00622C65"/>
    <w:rsid w:val="00624388"/>
    <w:rsid w:val="00626B50"/>
    <w:rsid w:val="00627A2F"/>
    <w:rsid w:val="00631D61"/>
    <w:rsid w:val="00632519"/>
    <w:rsid w:val="006404C5"/>
    <w:rsid w:val="00647B18"/>
    <w:rsid w:val="00652622"/>
    <w:rsid w:val="00652CDC"/>
    <w:rsid w:val="00660996"/>
    <w:rsid w:val="00661E93"/>
    <w:rsid w:val="00663A18"/>
    <w:rsid w:val="006651FF"/>
    <w:rsid w:val="006733A7"/>
    <w:rsid w:val="00674970"/>
    <w:rsid w:val="00675F00"/>
    <w:rsid w:val="00676274"/>
    <w:rsid w:val="006768B9"/>
    <w:rsid w:val="00684B76"/>
    <w:rsid w:val="00686441"/>
    <w:rsid w:val="0068796D"/>
    <w:rsid w:val="00691FC6"/>
    <w:rsid w:val="00692136"/>
    <w:rsid w:val="0069721F"/>
    <w:rsid w:val="00697361"/>
    <w:rsid w:val="006973F5"/>
    <w:rsid w:val="006A3D91"/>
    <w:rsid w:val="006A54CA"/>
    <w:rsid w:val="006B55A1"/>
    <w:rsid w:val="006B5A3D"/>
    <w:rsid w:val="006B707E"/>
    <w:rsid w:val="006B7C0B"/>
    <w:rsid w:val="006C271D"/>
    <w:rsid w:val="006C28F4"/>
    <w:rsid w:val="006C37AC"/>
    <w:rsid w:val="006C3A46"/>
    <w:rsid w:val="006C4592"/>
    <w:rsid w:val="006C4AF9"/>
    <w:rsid w:val="006C7036"/>
    <w:rsid w:val="006C723C"/>
    <w:rsid w:val="006D1133"/>
    <w:rsid w:val="006D1961"/>
    <w:rsid w:val="006D520E"/>
    <w:rsid w:val="006F48F1"/>
    <w:rsid w:val="006F77BC"/>
    <w:rsid w:val="006F79E6"/>
    <w:rsid w:val="0070128E"/>
    <w:rsid w:val="00705822"/>
    <w:rsid w:val="0070714C"/>
    <w:rsid w:val="00710DB2"/>
    <w:rsid w:val="0071182E"/>
    <w:rsid w:val="00711D26"/>
    <w:rsid w:val="007131B9"/>
    <w:rsid w:val="00720ECB"/>
    <w:rsid w:val="00721AC3"/>
    <w:rsid w:val="00721FE8"/>
    <w:rsid w:val="007253FB"/>
    <w:rsid w:val="00725936"/>
    <w:rsid w:val="00726AC4"/>
    <w:rsid w:val="007335DD"/>
    <w:rsid w:val="00734F52"/>
    <w:rsid w:val="0073513B"/>
    <w:rsid w:val="00735426"/>
    <w:rsid w:val="00735BD7"/>
    <w:rsid w:val="00743541"/>
    <w:rsid w:val="007512B8"/>
    <w:rsid w:val="00752B0E"/>
    <w:rsid w:val="00754054"/>
    <w:rsid w:val="00755C96"/>
    <w:rsid w:val="007618B8"/>
    <w:rsid w:val="0076517B"/>
    <w:rsid w:val="00771510"/>
    <w:rsid w:val="00773AE2"/>
    <w:rsid w:val="007744C1"/>
    <w:rsid w:val="00774F80"/>
    <w:rsid w:val="00777EEF"/>
    <w:rsid w:val="00794E1F"/>
    <w:rsid w:val="007A4613"/>
    <w:rsid w:val="007A48D5"/>
    <w:rsid w:val="007A4A3A"/>
    <w:rsid w:val="007A5579"/>
    <w:rsid w:val="007B162A"/>
    <w:rsid w:val="007B2DB3"/>
    <w:rsid w:val="007B3BD1"/>
    <w:rsid w:val="007B674C"/>
    <w:rsid w:val="007C2AB3"/>
    <w:rsid w:val="007C7D40"/>
    <w:rsid w:val="007D238A"/>
    <w:rsid w:val="007D2F7B"/>
    <w:rsid w:val="007D404E"/>
    <w:rsid w:val="007D5C19"/>
    <w:rsid w:val="007E37D3"/>
    <w:rsid w:val="007E5671"/>
    <w:rsid w:val="007E6137"/>
    <w:rsid w:val="007F0384"/>
    <w:rsid w:val="007F1685"/>
    <w:rsid w:val="007F1E70"/>
    <w:rsid w:val="007F272E"/>
    <w:rsid w:val="007F2F91"/>
    <w:rsid w:val="007F508B"/>
    <w:rsid w:val="007F572C"/>
    <w:rsid w:val="007F5E96"/>
    <w:rsid w:val="007F7283"/>
    <w:rsid w:val="007F754F"/>
    <w:rsid w:val="008067BF"/>
    <w:rsid w:val="00806A61"/>
    <w:rsid w:val="00810847"/>
    <w:rsid w:val="00810BC8"/>
    <w:rsid w:val="0081218C"/>
    <w:rsid w:val="008133BA"/>
    <w:rsid w:val="00814C32"/>
    <w:rsid w:val="00815B5F"/>
    <w:rsid w:val="00815CEE"/>
    <w:rsid w:val="008179A5"/>
    <w:rsid w:val="008259C1"/>
    <w:rsid w:val="00826D72"/>
    <w:rsid w:val="00831695"/>
    <w:rsid w:val="00834641"/>
    <w:rsid w:val="008410DB"/>
    <w:rsid w:val="0084305D"/>
    <w:rsid w:val="00845D14"/>
    <w:rsid w:val="008470CC"/>
    <w:rsid w:val="00850B5A"/>
    <w:rsid w:val="00852E98"/>
    <w:rsid w:val="00854298"/>
    <w:rsid w:val="00854D05"/>
    <w:rsid w:val="00860040"/>
    <w:rsid w:val="00864815"/>
    <w:rsid w:val="008656E0"/>
    <w:rsid w:val="008665BA"/>
    <w:rsid w:val="00872AAB"/>
    <w:rsid w:val="00872CDD"/>
    <w:rsid w:val="00872DCA"/>
    <w:rsid w:val="00880C5D"/>
    <w:rsid w:val="00881B01"/>
    <w:rsid w:val="008834C0"/>
    <w:rsid w:val="00885034"/>
    <w:rsid w:val="008859CB"/>
    <w:rsid w:val="00885EF8"/>
    <w:rsid w:val="00890692"/>
    <w:rsid w:val="00892FA0"/>
    <w:rsid w:val="008967E6"/>
    <w:rsid w:val="00897CFB"/>
    <w:rsid w:val="008A1A41"/>
    <w:rsid w:val="008A39AA"/>
    <w:rsid w:val="008A6D65"/>
    <w:rsid w:val="008B4BE9"/>
    <w:rsid w:val="008B5247"/>
    <w:rsid w:val="008C01A5"/>
    <w:rsid w:val="008C14A3"/>
    <w:rsid w:val="008C1FE4"/>
    <w:rsid w:val="008C231C"/>
    <w:rsid w:val="008C2C33"/>
    <w:rsid w:val="008C4DD6"/>
    <w:rsid w:val="008C5F94"/>
    <w:rsid w:val="008C68FF"/>
    <w:rsid w:val="008D09FA"/>
    <w:rsid w:val="008D1090"/>
    <w:rsid w:val="008D6CA0"/>
    <w:rsid w:val="008D74CB"/>
    <w:rsid w:val="008E0F18"/>
    <w:rsid w:val="008E4F07"/>
    <w:rsid w:val="008F016B"/>
    <w:rsid w:val="008F5BB7"/>
    <w:rsid w:val="00906473"/>
    <w:rsid w:val="00907B07"/>
    <w:rsid w:val="00907D32"/>
    <w:rsid w:val="00907E93"/>
    <w:rsid w:val="00912ECD"/>
    <w:rsid w:val="00921A2E"/>
    <w:rsid w:val="009248ED"/>
    <w:rsid w:val="009260DC"/>
    <w:rsid w:val="00926150"/>
    <w:rsid w:val="00927407"/>
    <w:rsid w:val="00933C10"/>
    <w:rsid w:val="00940990"/>
    <w:rsid w:val="00941425"/>
    <w:rsid w:val="00941B8A"/>
    <w:rsid w:val="0094584E"/>
    <w:rsid w:val="00947B5E"/>
    <w:rsid w:val="00947BF5"/>
    <w:rsid w:val="00957B01"/>
    <w:rsid w:val="00961064"/>
    <w:rsid w:val="00961658"/>
    <w:rsid w:val="00963563"/>
    <w:rsid w:val="00966CD7"/>
    <w:rsid w:val="00967BD6"/>
    <w:rsid w:val="00970324"/>
    <w:rsid w:val="00971BC1"/>
    <w:rsid w:val="009727F7"/>
    <w:rsid w:val="00973E28"/>
    <w:rsid w:val="00973EF7"/>
    <w:rsid w:val="0097679A"/>
    <w:rsid w:val="00976C09"/>
    <w:rsid w:val="00980710"/>
    <w:rsid w:val="00980996"/>
    <w:rsid w:val="0098500E"/>
    <w:rsid w:val="009856F5"/>
    <w:rsid w:val="00994FF7"/>
    <w:rsid w:val="009968F0"/>
    <w:rsid w:val="009975CC"/>
    <w:rsid w:val="009A4413"/>
    <w:rsid w:val="009B1D59"/>
    <w:rsid w:val="009B2353"/>
    <w:rsid w:val="009B663D"/>
    <w:rsid w:val="009B6F8A"/>
    <w:rsid w:val="009C2346"/>
    <w:rsid w:val="009C257A"/>
    <w:rsid w:val="009C37DB"/>
    <w:rsid w:val="009C41CE"/>
    <w:rsid w:val="009C4A23"/>
    <w:rsid w:val="009C63DD"/>
    <w:rsid w:val="009D258B"/>
    <w:rsid w:val="009D3D68"/>
    <w:rsid w:val="009D61FE"/>
    <w:rsid w:val="009D7AB5"/>
    <w:rsid w:val="009E4141"/>
    <w:rsid w:val="009E44E6"/>
    <w:rsid w:val="009E7D0F"/>
    <w:rsid w:val="009F73FE"/>
    <w:rsid w:val="00A112EA"/>
    <w:rsid w:val="00A115DC"/>
    <w:rsid w:val="00A136D4"/>
    <w:rsid w:val="00A153A6"/>
    <w:rsid w:val="00A22C67"/>
    <w:rsid w:val="00A40D48"/>
    <w:rsid w:val="00A41547"/>
    <w:rsid w:val="00A51990"/>
    <w:rsid w:val="00A523A8"/>
    <w:rsid w:val="00A55118"/>
    <w:rsid w:val="00A551FC"/>
    <w:rsid w:val="00A560DD"/>
    <w:rsid w:val="00A64B07"/>
    <w:rsid w:val="00A71685"/>
    <w:rsid w:val="00A7229F"/>
    <w:rsid w:val="00A723E3"/>
    <w:rsid w:val="00A81818"/>
    <w:rsid w:val="00A82136"/>
    <w:rsid w:val="00A84E6F"/>
    <w:rsid w:val="00A85FA1"/>
    <w:rsid w:val="00A86229"/>
    <w:rsid w:val="00A91D45"/>
    <w:rsid w:val="00A92684"/>
    <w:rsid w:val="00AA31A8"/>
    <w:rsid w:val="00AA77CA"/>
    <w:rsid w:val="00AB0D2D"/>
    <w:rsid w:val="00AB2BCE"/>
    <w:rsid w:val="00AB3D6B"/>
    <w:rsid w:val="00AB5A2F"/>
    <w:rsid w:val="00AC09FE"/>
    <w:rsid w:val="00AC264F"/>
    <w:rsid w:val="00AC28A9"/>
    <w:rsid w:val="00AC435E"/>
    <w:rsid w:val="00AC5B53"/>
    <w:rsid w:val="00AD463D"/>
    <w:rsid w:val="00AD72B1"/>
    <w:rsid w:val="00AE0743"/>
    <w:rsid w:val="00AE0E1E"/>
    <w:rsid w:val="00AE0F90"/>
    <w:rsid w:val="00AE18D6"/>
    <w:rsid w:val="00AE3CD8"/>
    <w:rsid w:val="00AE631D"/>
    <w:rsid w:val="00AF071E"/>
    <w:rsid w:val="00AF43C8"/>
    <w:rsid w:val="00AF4742"/>
    <w:rsid w:val="00AF6978"/>
    <w:rsid w:val="00AF6EFF"/>
    <w:rsid w:val="00AF7A7F"/>
    <w:rsid w:val="00B01B4C"/>
    <w:rsid w:val="00B0495D"/>
    <w:rsid w:val="00B06974"/>
    <w:rsid w:val="00B0709D"/>
    <w:rsid w:val="00B1220B"/>
    <w:rsid w:val="00B14962"/>
    <w:rsid w:val="00B27EF3"/>
    <w:rsid w:val="00B3132C"/>
    <w:rsid w:val="00B31686"/>
    <w:rsid w:val="00B31DF0"/>
    <w:rsid w:val="00B43C4A"/>
    <w:rsid w:val="00B43DC7"/>
    <w:rsid w:val="00B44232"/>
    <w:rsid w:val="00B52BA3"/>
    <w:rsid w:val="00B53763"/>
    <w:rsid w:val="00B54C1B"/>
    <w:rsid w:val="00B62DA9"/>
    <w:rsid w:val="00B64286"/>
    <w:rsid w:val="00B67EE8"/>
    <w:rsid w:val="00B715D6"/>
    <w:rsid w:val="00B75115"/>
    <w:rsid w:val="00B800EC"/>
    <w:rsid w:val="00B80CFE"/>
    <w:rsid w:val="00B82CAB"/>
    <w:rsid w:val="00B93FF1"/>
    <w:rsid w:val="00B9406F"/>
    <w:rsid w:val="00B95B0C"/>
    <w:rsid w:val="00B96DE8"/>
    <w:rsid w:val="00B96E91"/>
    <w:rsid w:val="00BA01AA"/>
    <w:rsid w:val="00BA2A8B"/>
    <w:rsid w:val="00BA363A"/>
    <w:rsid w:val="00BA4B97"/>
    <w:rsid w:val="00BA53AD"/>
    <w:rsid w:val="00BB4E57"/>
    <w:rsid w:val="00BB52E6"/>
    <w:rsid w:val="00BB6125"/>
    <w:rsid w:val="00BB7D0A"/>
    <w:rsid w:val="00BC2CBA"/>
    <w:rsid w:val="00BD2873"/>
    <w:rsid w:val="00BD40C0"/>
    <w:rsid w:val="00BD638A"/>
    <w:rsid w:val="00BE011E"/>
    <w:rsid w:val="00BE4EC9"/>
    <w:rsid w:val="00BE5FEB"/>
    <w:rsid w:val="00BE6D1A"/>
    <w:rsid w:val="00BF0A09"/>
    <w:rsid w:val="00BF4429"/>
    <w:rsid w:val="00C0327C"/>
    <w:rsid w:val="00C05762"/>
    <w:rsid w:val="00C0741A"/>
    <w:rsid w:val="00C119F0"/>
    <w:rsid w:val="00C11F24"/>
    <w:rsid w:val="00C124FE"/>
    <w:rsid w:val="00C1262E"/>
    <w:rsid w:val="00C163E5"/>
    <w:rsid w:val="00C17FB0"/>
    <w:rsid w:val="00C2012E"/>
    <w:rsid w:val="00C22D59"/>
    <w:rsid w:val="00C24768"/>
    <w:rsid w:val="00C26453"/>
    <w:rsid w:val="00C3555C"/>
    <w:rsid w:val="00C36D65"/>
    <w:rsid w:val="00C37345"/>
    <w:rsid w:val="00C379F4"/>
    <w:rsid w:val="00C4069D"/>
    <w:rsid w:val="00C42023"/>
    <w:rsid w:val="00C43067"/>
    <w:rsid w:val="00C43957"/>
    <w:rsid w:val="00C440B9"/>
    <w:rsid w:val="00C4715D"/>
    <w:rsid w:val="00C5300E"/>
    <w:rsid w:val="00C55ECA"/>
    <w:rsid w:val="00C56996"/>
    <w:rsid w:val="00C57DA9"/>
    <w:rsid w:val="00C62470"/>
    <w:rsid w:val="00C660E0"/>
    <w:rsid w:val="00C7567F"/>
    <w:rsid w:val="00C76463"/>
    <w:rsid w:val="00C76C7E"/>
    <w:rsid w:val="00C77667"/>
    <w:rsid w:val="00C776DB"/>
    <w:rsid w:val="00C86682"/>
    <w:rsid w:val="00C9043D"/>
    <w:rsid w:val="00C91770"/>
    <w:rsid w:val="00C93DCE"/>
    <w:rsid w:val="00C95CE6"/>
    <w:rsid w:val="00CA00F9"/>
    <w:rsid w:val="00CA1291"/>
    <w:rsid w:val="00CA6917"/>
    <w:rsid w:val="00CB5B18"/>
    <w:rsid w:val="00CC18BE"/>
    <w:rsid w:val="00CC4216"/>
    <w:rsid w:val="00CD415D"/>
    <w:rsid w:val="00CE096D"/>
    <w:rsid w:val="00CE25B6"/>
    <w:rsid w:val="00CE4B39"/>
    <w:rsid w:val="00CE516C"/>
    <w:rsid w:val="00CF2DF3"/>
    <w:rsid w:val="00CF4772"/>
    <w:rsid w:val="00D00A63"/>
    <w:rsid w:val="00D07BAB"/>
    <w:rsid w:val="00D1142E"/>
    <w:rsid w:val="00D12DE5"/>
    <w:rsid w:val="00D12E38"/>
    <w:rsid w:val="00D132C2"/>
    <w:rsid w:val="00D1341E"/>
    <w:rsid w:val="00D14638"/>
    <w:rsid w:val="00D14DC8"/>
    <w:rsid w:val="00D16C68"/>
    <w:rsid w:val="00D20395"/>
    <w:rsid w:val="00D21C9F"/>
    <w:rsid w:val="00D21CA2"/>
    <w:rsid w:val="00D22168"/>
    <w:rsid w:val="00D2443F"/>
    <w:rsid w:val="00D24D82"/>
    <w:rsid w:val="00D26F73"/>
    <w:rsid w:val="00D3412B"/>
    <w:rsid w:val="00D3793C"/>
    <w:rsid w:val="00D40580"/>
    <w:rsid w:val="00D42C77"/>
    <w:rsid w:val="00D438DA"/>
    <w:rsid w:val="00D43E07"/>
    <w:rsid w:val="00D467DE"/>
    <w:rsid w:val="00D543CE"/>
    <w:rsid w:val="00D550F8"/>
    <w:rsid w:val="00D576C5"/>
    <w:rsid w:val="00D57C8D"/>
    <w:rsid w:val="00D60A2E"/>
    <w:rsid w:val="00D61326"/>
    <w:rsid w:val="00D7284D"/>
    <w:rsid w:val="00D804EF"/>
    <w:rsid w:val="00D8469C"/>
    <w:rsid w:val="00D87A97"/>
    <w:rsid w:val="00D90084"/>
    <w:rsid w:val="00D91D20"/>
    <w:rsid w:val="00D950A1"/>
    <w:rsid w:val="00D95FC6"/>
    <w:rsid w:val="00D973D3"/>
    <w:rsid w:val="00DA3A1C"/>
    <w:rsid w:val="00DA5778"/>
    <w:rsid w:val="00DA675C"/>
    <w:rsid w:val="00DA7E5F"/>
    <w:rsid w:val="00DB0AC6"/>
    <w:rsid w:val="00DB2354"/>
    <w:rsid w:val="00DB3BEA"/>
    <w:rsid w:val="00DB4597"/>
    <w:rsid w:val="00DB4732"/>
    <w:rsid w:val="00DB7412"/>
    <w:rsid w:val="00DB7B85"/>
    <w:rsid w:val="00DC30C8"/>
    <w:rsid w:val="00DC3CB6"/>
    <w:rsid w:val="00DC5756"/>
    <w:rsid w:val="00DC7E35"/>
    <w:rsid w:val="00DD1A5D"/>
    <w:rsid w:val="00DD1C15"/>
    <w:rsid w:val="00DD244D"/>
    <w:rsid w:val="00DD283E"/>
    <w:rsid w:val="00DD6B6F"/>
    <w:rsid w:val="00DD7BCD"/>
    <w:rsid w:val="00DE13FA"/>
    <w:rsid w:val="00DE7461"/>
    <w:rsid w:val="00DF51D2"/>
    <w:rsid w:val="00DF5EAD"/>
    <w:rsid w:val="00E02300"/>
    <w:rsid w:val="00E040E5"/>
    <w:rsid w:val="00E06815"/>
    <w:rsid w:val="00E13AB2"/>
    <w:rsid w:val="00E21004"/>
    <w:rsid w:val="00E21411"/>
    <w:rsid w:val="00E22D62"/>
    <w:rsid w:val="00E37A49"/>
    <w:rsid w:val="00E40A6A"/>
    <w:rsid w:val="00E45B0A"/>
    <w:rsid w:val="00E50126"/>
    <w:rsid w:val="00E5331C"/>
    <w:rsid w:val="00E54ACC"/>
    <w:rsid w:val="00E579AD"/>
    <w:rsid w:val="00E611C1"/>
    <w:rsid w:val="00E62CDC"/>
    <w:rsid w:val="00E62D14"/>
    <w:rsid w:val="00E71A7E"/>
    <w:rsid w:val="00E81D2C"/>
    <w:rsid w:val="00E81FE2"/>
    <w:rsid w:val="00E82CB2"/>
    <w:rsid w:val="00E82CCC"/>
    <w:rsid w:val="00E84D2F"/>
    <w:rsid w:val="00E93203"/>
    <w:rsid w:val="00E9456C"/>
    <w:rsid w:val="00E97DB5"/>
    <w:rsid w:val="00EA407C"/>
    <w:rsid w:val="00EA4A2C"/>
    <w:rsid w:val="00EA78D9"/>
    <w:rsid w:val="00EB2D76"/>
    <w:rsid w:val="00EB52F9"/>
    <w:rsid w:val="00EB5AB8"/>
    <w:rsid w:val="00EC1A8F"/>
    <w:rsid w:val="00EC2F52"/>
    <w:rsid w:val="00EC538D"/>
    <w:rsid w:val="00ED5BBE"/>
    <w:rsid w:val="00EE387F"/>
    <w:rsid w:val="00EE5337"/>
    <w:rsid w:val="00EE5C67"/>
    <w:rsid w:val="00EE6244"/>
    <w:rsid w:val="00EE7B0D"/>
    <w:rsid w:val="00EF0486"/>
    <w:rsid w:val="00EF2AD4"/>
    <w:rsid w:val="00EF73EF"/>
    <w:rsid w:val="00F009D7"/>
    <w:rsid w:val="00F02556"/>
    <w:rsid w:val="00F10668"/>
    <w:rsid w:val="00F11959"/>
    <w:rsid w:val="00F14AB4"/>
    <w:rsid w:val="00F16556"/>
    <w:rsid w:val="00F16CE8"/>
    <w:rsid w:val="00F209FE"/>
    <w:rsid w:val="00F20A92"/>
    <w:rsid w:val="00F221E8"/>
    <w:rsid w:val="00F221FC"/>
    <w:rsid w:val="00F229B9"/>
    <w:rsid w:val="00F25082"/>
    <w:rsid w:val="00F25B5C"/>
    <w:rsid w:val="00F32F80"/>
    <w:rsid w:val="00F357FD"/>
    <w:rsid w:val="00F36A04"/>
    <w:rsid w:val="00F36E57"/>
    <w:rsid w:val="00F374D4"/>
    <w:rsid w:val="00F401D2"/>
    <w:rsid w:val="00F44117"/>
    <w:rsid w:val="00F4493B"/>
    <w:rsid w:val="00F45100"/>
    <w:rsid w:val="00F46493"/>
    <w:rsid w:val="00F46CB3"/>
    <w:rsid w:val="00F46E30"/>
    <w:rsid w:val="00F471E0"/>
    <w:rsid w:val="00F4753C"/>
    <w:rsid w:val="00F47865"/>
    <w:rsid w:val="00F50FB7"/>
    <w:rsid w:val="00F529E8"/>
    <w:rsid w:val="00F54B1A"/>
    <w:rsid w:val="00F567C9"/>
    <w:rsid w:val="00F571AD"/>
    <w:rsid w:val="00F60A63"/>
    <w:rsid w:val="00F618B3"/>
    <w:rsid w:val="00F63026"/>
    <w:rsid w:val="00F63DD9"/>
    <w:rsid w:val="00F65EDD"/>
    <w:rsid w:val="00F70BBB"/>
    <w:rsid w:val="00F739B8"/>
    <w:rsid w:val="00F9087D"/>
    <w:rsid w:val="00F911E5"/>
    <w:rsid w:val="00F92A2F"/>
    <w:rsid w:val="00F94F5C"/>
    <w:rsid w:val="00F958F8"/>
    <w:rsid w:val="00F95979"/>
    <w:rsid w:val="00F97871"/>
    <w:rsid w:val="00FA1547"/>
    <w:rsid w:val="00FA3020"/>
    <w:rsid w:val="00FA4820"/>
    <w:rsid w:val="00FA582E"/>
    <w:rsid w:val="00FA5A91"/>
    <w:rsid w:val="00FA73A0"/>
    <w:rsid w:val="00FB33AD"/>
    <w:rsid w:val="00FB4793"/>
    <w:rsid w:val="00FC0855"/>
    <w:rsid w:val="00FC1349"/>
    <w:rsid w:val="00FC1A52"/>
    <w:rsid w:val="00FC3AD7"/>
    <w:rsid w:val="00FC5EA2"/>
    <w:rsid w:val="00FD2B6B"/>
    <w:rsid w:val="00FD359D"/>
    <w:rsid w:val="00FD5BC4"/>
    <w:rsid w:val="00FD67B1"/>
    <w:rsid w:val="00FE1B72"/>
    <w:rsid w:val="00FE1D56"/>
    <w:rsid w:val="00FE4F9D"/>
    <w:rsid w:val="00FE6984"/>
    <w:rsid w:val="00FE6A86"/>
    <w:rsid w:val="00FF59B6"/>
    <w:rsid w:val="00FF5A15"/>
    <w:rsid w:val="00FF78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DD60E"/>
  <w15:docId w15:val="{B15E73AC-CA53-46F2-B9F2-0A2FE69D7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4A3A"/>
  </w:style>
  <w:style w:type="paragraph" w:styleId="Heading1">
    <w:name w:val="heading 1"/>
    <w:basedOn w:val="Normal"/>
    <w:next w:val="Normal"/>
    <w:link w:val="Heading1Char"/>
    <w:uiPriority w:val="9"/>
    <w:qFormat/>
    <w:rsid w:val="007A4A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A4A3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958F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4A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A4A3A"/>
    <w:rPr>
      <w:rFonts w:asciiTheme="majorHAnsi" w:eastAsiaTheme="majorEastAsia" w:hAnsiTheme="majorHAnsi" w:cstheme="majorBidi"/>
      <w:color w:val="2F5496" w:themeColor="accent1" w:themeShade="BF"/>
      <w:sz w:val="26"/>
      <w:szCs w:val="26"/>
    </w:rPr>
  </w:style>
  <w:style w:type="paragraph" w:customStyle="1" w:styleId="Default">
    <w:name w:val="Default"/>
    <w:rsid w:val="007A4A3A"/>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7A4A3A"/>
    <w:pPr>
      <w:ind w:left="720"/>
      <w:contextualSpacing/>
    </w:pPr>
  </w:style>
  <w:style w:type="character" w:styleId="CommentReference">
    <w:name w:val="annotation reference"/>
    <w:basedOn w:val="DefaultParagraphFont"/>
    <w:uiPriority w:val="99"/>
    <w:semiHidden/>
    <w:unhideWhenUsed/>
    <w:rsid w:val="007A4A3A"/>
    <w:rPr>
      <w:sz w:val="16"/>
      <w:szCs w:val="16"/>
    </w:rPr>
  </w:style>
  <w:style w:type="paragraph" w:styleId="CommentText">
    <w:name w:val="annotation text"/>
    <w:basedOn w:val="Normal"/>
    <w:link w:val="CommentTextChar"/>
    <w:uiPriority w:val="99"/>
    <w:semiHidden/>
    <w:unhideWhenUsed/>
    <w:rsid w:val="007A4A3A"/>
    <w:pPr>
      <w:spacing w:line="240" w:lineRule="auto"/>
    </w:pPr>
    <w:rPr>
      <w:sz w:val="20"/>
      <w:szCs w:val="20"/>
    </w:rPr>
  </w:style>
  <w:style w:type="character" w:customStyle="1" w:styleId="CommentTextChar">
    <w:name w:val="Comment Text Char"/>
    <w:basedOn w:val="DefaultParagraphFont"/>
    <w:link w:val="CommentText"/>
    <w:uiPriority w:val="99"/>
    <w:semiHidden/>
    <w:rsid w:val="007A4A3A"/>
    <w:rPr>
      <w:sz w:val="20"/>
      <w:szCs w:val="20"/>
    </w:rPr>
  </w:style>
  <w:style w:type="paragraph" w:styleId="BalloonText">
    <w:name w:val="Balloon Text"/>
    <w:basedOn w:val="Normal"/>
    <w:link w:val="BalloonTextChar"/>
    <w:uiPriority w:val="99"/>
    <w:semiHidden/>
    <w:unhideWhenUsed/>
    <w:rsid w:val="007A4A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4A3A"/>
    <w:rPr>
      <w:rFonts w:ascii="Segoe UI" w:hAnsi="Segoe UI" w:cs="Segoe UI"/>
      <w:sz w:val="18"/>
      <w:szCs w:val="18"/>
    </w:rPr>
  </w:style>
  <w:style w:type="paragraph" w:styleId="Revision">
    <w:name w:val="Revision"/>
    <w:hidden/>
    <w:uiPriority w:val="99"/>
    <w:semiHidden/>
    <w:rsid w:val="00250FB5"/>
    <w:pPr>
      <w:spacing w:after="0" w:line="240" w:lineRule="auto"/>
    </w:pPr>
  </w:style>
  <w:style w:type="character" w:customStyle="1" w:styleId="Heading3Char">
    <w:name w:val="Heading 3 Char"/>
    <w:basedOn w:val="DefaultParagraphFont"/>
    <w:link w:val="Heading3"/>
    <w:uiPriority w:val="9"/>
    <w:rsid w:val="00F958F8"/>
    <w:rPr>
      <w:rFonts w:asciiTheme="majorHAnsi" w:eastAsiaTheme="majorEastAsia" w:hAnsiTheme="majorHAnsi" w:cstheme="majorBidi"/>
      <w:color w:val="1F3763" w:themeColor="accent1" w:themeShade="7F"/>
      <w:sz w:val="24"/>
      <w:szCs w:val="24"/>
    </w:rPr>
  </w:style>
  <w:style w:type="paragraph" w:styleId="Caption">
    <w:name w:val="caption"/>
    <w:basedOn w:val="Normal"/>
    <w:next w:val="Normal"/>
    <w:uiPriority w:val="35"/>
    <w:unhideWhenUsed/>
    <w:qFormat/>
    <w:rsid w:val="00C76463"/>
    <w:pPr>
      <w:spacing w:after="200" w:line="240" w:lineRule="auto"/>
    </w:pPr>
    <w:rPr>
      <w:i/>
      <w:iCs/>
      <w:color w:val="44546A" w:themeColor="text2"/>
      <w:sz w:val="18"/>
      <w:szCs w:val="18"/>
    </w:rPr>
  </w:style>
  <w:style w:type="character" w:styleId="Hyperlink">
    <w:name w:val="Hyperlink"/>
    <w:basedOn w:val="DefaultParagraphFont"/>
    <w:uiPriority w:val="99"/>
    <w:unhideWhenUsed/>
    <w:rsid w:val="004171AA"/>
    <w:rPr>
      <w:color w:val="0000FF"/>
      <w:u w:val="single"/>
    </w:rPr>
  </w:style>
  <w:style w:type="paragraph" w:styleId="Header">
    <w:name w:val="header"/>
    <w:basedOn w:val="Normal"/>
    <w:link w:val="HeaderChar"/>
    <w:uiPriority w:val="99"/>
    <w:unhideWhenUsed/>
    <w:rsid w:val="002775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75AF"/>
  </w:style>
  <w:style w:type="paragraph" w:styleId="Footer">
    <w:name w:val="footer"/>
    <w:basedOn w:val="Normal"/>
    <w:link w:val="FooterChar"/>
    <w:uiPriority w:val="99"/>
    <w:unhideWhenUsed/>
    <w:rsid w:val="002775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75AF"/>
  </w:style>
  <w:style w:type="character" w:styleId="IntenseEmphasis">
    <w:name w:val="Intense Emphasis"/>
    <w:basedOn w:val="DefaultParagraphFont"/>
    <w:uiPriority w:val="21"/>
    <w:qFormat/>
    <w:rsid w:val="00652622"/>
    <w:rPr>
      <w:i/>
      <w:iCs/>
      <w:color w:val="4472C4" w:themeColor="accent1"/>
    </w:rPr>
  </w:style>
  <w:style w:type="paragraph" w:styleId="CommentSubject">
    <w:name w:val="annotation subject"/>
    <w:basedOn w:val="CommentText"/>
    <w:next w:val="CommentText"/>
    <w:link w:val="CommentSubjectChar"/>
    <w:uiPriority w:val="99"/>
    <w:semiHidden/>
    <w:unhideWhenUsed/>
    <w:rsid w:val="00F36A04"/>
    <w:rPr>
      <w:b/>
      <w:bCs/>
    </w:rPr>
  </w:style>
  <w:style w:type="character" w:customStyle="1" w:styleId="CommentSubjectChar">
    <w:name w:val="Comment Subject Char"/>
    <w:basedOn w:val="CommentTextChar"/>
    <w:link w:val="CommentSubject"/>
    <w:uiPriority w:val="99"/>
    <w:semiHidden/>
    <w:rsid w:val="00F36A04"/>
    <w:rPr>
      <w:b/>
      <w:bCs/>
      <w:sz w:val="20"/>
      <w:szCs w:val="20"/>
    </w:rPr>
  </w:style>
  <w:style w:type="character" w:styleId="Emphasis">
    <w:name w:val="Emphasis"/>
    <w:basedOn w:val="DefaultParagraphFont"/>
    <w:uiPriority w:val="20"/>
    <w:qFormat/>
    <w:rsid w:val="00D20395"/>
    <w:rPr>
      <w:i/>
      <w:iCs/>
    </w:rPr>
  </w:style>
  <w:style w:type="paragraph" w:styleId="Title">
    <w:name w:val="Title"/>
    <w:basedOn w:val="Normal"/>
    <w:next w:val="Normal"/>
    <w:link w:val="TitleChar"/>
    <w:uiPriority w:val="10"/>
    <w:qFormat/>
    <w:rsid w:val="0067627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76274"/>
    <w:rPr>
      <w:rFonts w:asciiTheme="majorHAnsi" w:eastAsiaTheme="majorEastAsia" w:hAnsiTheme="majorHAnsi" w:cstheme="majorBidi"/>
      <w:spacing w:val="-10"/>
      <w:kern w:val="28"/>
      <w:sz w:val="56"/>
      <w:szCs w:val="56"/>
    </w:rPr>
  </w:style>
  <w:style w:type="table" w:customStyle="1" w:styleId="GridTable1Light-Accent11">
    <w:name w:val="Grid Table 1 Light - Accent 11"/>
    <w:basedOn w:val="TableNormal"/>
    <w:uiPriority w:val="46"/>
    <w:rsid w:val="00D14DC8"/>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TableofFigures">
    <w:name w:val="table of figures"/>
    <w:basedOn w:val="Normal"/>
    <w:next w:val="Normal"/>
    <w:uiPriority w:val="99"/>
    <w:unhideWhenUsed/>
    <w:rsid w:val="00224B1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335149">
      <w:bodyDiv w:val="1"/>
      <w:marLeft w:val="0"/>
      <w:marRight w:val="0"/>
      <w:marTop w:val="0"/>
      <w:marBottom w:val="0"/>
      <w:divBdr>
        <w:top w:val="none" w:sz="0" w:space="0" w:color="auto"/>
        <w:left w:val="none" w:sz="0" w:space="0" w:color="auto"/>
        <w:bottom w:val="none" w:sz="0" w:space="0" w:color="auto"/>
        <w:right w:val="none" w:sz="0" w:space="0" w:color="auto"/>
      </w:divBdr>
    </w:div>
    <w:div w:id="198009858">
      <w:bodyDiv w:val="1"/>
      <w:marLeft w:val="0"/>
      <w:marRight w:val="0"/>
      <w:marTop w:val="0"/>
      <w:marBottom w:val="0"/>
      <w:divBdr>
        <w:top w:val="none" w:sz="0" w:space="0" w:color="auto"/>
        <w:left w:val="none" w:sz="0" w:space="0" w:color="auto"/>
        <w:bottom w:val="none" w:sz="0" w:space="0" w:color="auto"/>
        <w:right w:val="none" w:sz="0" w:space="0" w:color="auto"/>
      </w:divBdr>
      <w:divsChild>
        <w:div w:id="1894152703">
          <w:marLeft w:val="375"/>
          <w:marRight w:val="0"/>
          <w:marTop w:val="0"/>
          <w:marBottom w:val="375"/>
          <w:divBdr>
            <w:top w:val="none" w:sz="0" w:space="0" w:color="auto"/>
            <w:left w:val="none" w:sz="0" w:space="0" w:color="auto"/>
            <w:bottom w:val="none" w:sz="0" w:space="0" w:color="auto"/>
            <w:right w:val="none" w:sz="0" w:space="0" w:color="auto"/>
          </w:divBdr>
        </w:div>
        <w:div w:id="1660187850">
          <w:marLeft w:val="375"/>
          <w:marRight w:val="0"/>
          <w:marTop w:val="0"/>
          <w:marBottom w:val="375"/>
          <w:divBdr>
            <w:top w:val="none" w:sz="0" w:space="0" w:color="auto"/>
            <w:left w:val="none" w:sz="0" w:space="0" w:color="auto"/>
            <w:bottom w:val="none" w:sz="0" w:space="0" w:color="auto"/>
            <w:right w:val="none" w:sz="0" w:space="0" w:color="auto"/>
          </w:divBdr>
        </w:div>
      </w:divsChild>
    </w:div>
    <w:div w:id="600140174">
      <w:bodyDiv w:val="1"/>
      <w:marLeft w:val="0"/>
      <w:marRight w:val="0"/>
      <w:marTop w:val="0"/>
      <w:marBottom w:val="0"/>
      <w:divBdr>
        <w:top w:val="none" w:sz="0" w:space="0" w:color="auto"/>
        <w:left w:val="none" w:sz="0" w:space="0" w:color="auto"/>
        <w:bottom w:val="none" w:sz="0" w:space="0" w:color="auto"/>
        <w:right w:val="none" w:sz="0" w:space="0" w:color="auto"/>
      </w:divBdr>
    </w:div>
    <w:div w:id="916400553">
      <w:bodyDiv w:val="1"/>
      <w:marLeft w:val="0"/>
      <w:marRight w:val="0"/>
      <w:marTop w:val="0"/>
      <w:marBottom w:val="0"/>
      <w:divBdr>
        <w:top w:val="none" w:sz="0" w:space="0" w:color="auto"/>
        <w:left w:val="none" w:sz="0" w:space="0" w:color="auto"/>
        <w:bottom w:val="none" w:sz="0" w:space="0" w:color="auto"/>
        <w:right w:val="none" w:sz="0" w:space="0" w:color="auto"/>
      </w:divBdr>
    </w:div>
    <w:div w:id="938488733">
      <w:bodyDiv w:val="1"/>
      <w:marLeft w:val="0"/>
      <w:marRight w:val="0"/>
      <w:marTop w:val="0"/>
      <w:marBottom w:val="0"/>
      <w:divBdr>
        <w:top w:val="none" w:sz="0" w:space="0" w:color="auto"/>
        <w:left w:val="none" w:sz="0" w:space="0" w:color="auto"/>
        <w:bottom w:val="none" w:sz="0" w:space="0" w:color="auto"/>
        <w:right w:val="none" w:sz="0" w:space="0" w:color="auto"/>
      </w:divBdr>
    </w:div>
    <w:div w:id="1188177538">
      <w:bodyDiv w:val="1"/>
      <w:marLeft w:val="0"/>
      <w:marRight w:val="0"/>
      <w:marTop w:val="0"/>
      <w:marBottom w:val="0"/>
      <w:divBdr>
        <w:top w:val="none" w:sz="0" w:space="0" w:color="auto"/>
        <w:left w:val="none" w:sz="0" w:space="0" w:color="auto"/>
        <w:bottom w:val="none" w:sz="0" w:space="0" w:color="auto"/>
        <w:right w:val="none" w:sz="0" w:space="0" w:color="auto"/>
      </w:divBdr>
    </w:div>
    <w:div w:id="1203445107">
      <w:bodyDiv w:val="1"/>
      <w:marLeft w:val="0"/>
      <w:marRight w:val="0"/>
      <w:marTop w:val="0"/>
      <w:marBottom w:val="0"/>
      <w:divBdr>
        <w:top w:val="none" w:sz="0" w:space="0" w:color="auto"/>
        <w:left w:val="none" w:sz="0" w:space="0" w:color="auto"/>
        <w:bottom w:val="none" w:sz="0" w:space="0" w:color="auto"/>
        <w:right w:val="none" w:sz="0" w:space="0" w:color="auto"/>
      </w:divBdr>
    </w:div>
    <w:div w:id="1603882453">
      <w:bodyDiv w:val="1"/>
      <w:marLeft w:val="0"/>
      <w:marRight w:val="0"/>
      <w:marTop w:val="0"/>
      <w:marBottom w:val="0"/>
      <w:divBdr>
        <w:top w:val="none" w:sz="0" w:space="0" w:color="auto"/>
        <w:left w:val="none" w:sz="0" w:space="0" w:color="auto"/>
        <w:bottom w:val="none" w:sz="0" w:space="0" w:color="auto"/>
        <w:right w:val="none" w:sz="0" w:space="0" w:color="auto"/>
      </w:divBdr>
    </w:div>
    <w:div w:id="1626892414">
      <w:bodyDiv w:val="1"/>
      <w:marLeft w:val="0"/>
      <w:marRight w:val="0"/>
      <w:marTop w:val="0"/>
      <w:marBottom w:val="0"/>
      <w:divBdr>
        <w:top w:val="none" w:sz="0" w:space="0" w:color="auto"/>
        <w:left w:val="none" w:sz="0" w:space="0" w:color="auto"/>
        <w:bottom w:val="none" w:sz="0" w:space="0" w:color="auto"/>
        <w:right w:val="none" w:sz="0" w:space="0" w:color="auto"/>
      </w:divBdr>
    </w:div>
    <w:div w:id="1752966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4.png"/><Relationship Id="rId33"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www.stata.com/" TargetMode="External"/><Relationship Id="rId32" Type="http://schemas.openxmlformats.org/officeDocument/2006/relationships/image" Target="media/image21.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3.png"/><Relationship Id="rId28" Type="http://schemas.openxmlformats.org/officeDocument/2006/relationships/image" Target="media/image17.png"/><Relationship Id="rId10" Type="http://schemas.openxmlformats.org/officeDocument/2006/relationships/image" Target="media/image3.png"/><Relationship Id="rId19" Type="http://schemas.openxmlformats.org/officeDocument/2006/relationships/image" Target="cid:image003.png@01D3FAC5.6CFA2330" TargetMode="External"/><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cid:image002.png@01D3FAC5.6CFA2330" TargetMode="External"/><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B6F39A-B2B1-44F0-A8CA-F658221E2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9213</Words>
  <Characters>52515</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Jeanne Anyouzoa</dc:creator>
  <cp:lastModifiedBy>Jeanne Anyouzoa</cp:lastModifiedBy>
  <cp:revision>5</cp:revision>
  <cp:lastPrinted>2018-06-09T05:50:00Z</cp:lastPrinted>
  <dcterms:created xsi:type="dcterms:W3CDTF">2018-06-09T05:53:00Z</dcterms:created>
  <dcterms:modified xsi:type="dcterms:W3CDTF">2018-06-09T06:49:00Z</dcterms:modified>
</cp:coreProperties>
</file>