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1EFD84" w14:textId="143386D9" w:rsidR="008B017B" w:rsidRPr="00964D25" w:rsidRDefault="008B017B" w:rsidP="008B017B">
      <w:pPr>
        <w:jc w:val="center"/>
        <w:rPr>
          <w:rFonts w:ascii="Times New Roman" w:hAnsi="Times New Roman" w:cs="Times New Roman"/>
          <w:sz w:val="24"/>
          <w:szCs w:val="24"/>
        </w:rPr>
      </w:pPr>
      <w:bookmarkStart w:id="0" w:name="_GoBack"/>
      <w:bookmarkEnd w:id="0"/>
      <w:r w:rsidRPr="00964D25">
        <w:rPr>
          <w:rFonts w:ascii="Times New Roman" w:hAnsi="Times New Roman" w:cs="Times New Roman"/>
          <w:sz w:val="24"/>
          <w:szCs w:val="24"/>
        </w:rPr>
        <w:t>Heavy metal contamination in the greater Puget Sound from various anthropogenic point sources; concentrations in the sediment in</w:t>
      </w:r>
      <w:r w:rsidR="003D1692">
        <w:rPr>
          <w:rFonts w:ascii="Times New Roman" w:hAnsi="Times New Roman" w:cs="Times New Roman"/>
          <w:sz w:val="24"/>
          <w:szCs w:val="24"/>
        </w:rPr>
        <w:t xml:space="preserve"> comparison to</w:t>
      </w:r>
      <w:r w:rsidRPr="00964D25">
        <w:rPr>
          <w:rFonts w:ascii="Times New Roman" w:hAnsi="Times New Roman" w:cs="Times New Roman"/>
          <w:sz w:val="24"/>
          <w:szCs w:val="24"/>
        </w:rPr>
        <w:t xml:space="preserve"> marine biota</w:t>
      </w:r>
    </w:p>
    <w:p w14:paraId="17F079DC" w14:textId="77777777" w:rsidR="008B017B" w:rsidRPr="00964D25" w:rsidRDefault="008B017B" w:rsidP="008B017B">
      <w:pPr>
        <w:spacing w:after="0" w:line="240" w:lineRule="auto"/>
        <w:jc w:val="center"/>
        <w:rPr>
          <w:rFonts w:ascii="Times New Roman" w:hAnsi="Times New Roman" w:cs="Times New Roman"/>
          <w:sz w:val="24"/>
          <w:szCs w:val="24"/>
        </w:rPr>
      </w:pPr>
    </w:p>
    <w:p w14:paraId="7F7FBCA4" w14:textId="77777777" w:rsidR="008B017B" w:rsidRPr="00964D25" w:rsidRDefault="008B017B" w:rsidP="008B017B">
      <w:pPr>
        <w:spacing w:after="0" w:line="240" w:lineRule="auto"/>
        <w:jc w:val="center"/>
        <w:rPr>
          <w:rFonts w:ascii="Times New Roman" w:hAnsi="Times New Roman" w:cs="Times New Roman"/>
          <w:sz w:val="24"/>
          <w:szCs w:val="24"/>
        </w:rPr>
      </w:pPr>
      <w:r w:rsidRPr="00964D25">
        <w:rPr>
          <w:rFonts w:ascii="Times New Roman" w:hAnsi="Times New Roman" w:cs="Times New Roman"/>
          <w:sz w:val="24"/>
          <w:szCs w:val="24"/>
        </w:rPr>
        <w:t>Karrin Leazer</w:t>
      </w:r>
    </w:p>
    <w:p w14:paraId="6274E9F8" w14:textId="77777777" w:rsidR="008B017B" w:rsidRPr="00964D25" w:rsidRDefault="008B017B" w:rsidP="008B017B">
      <w:pPr>
        <w:spacing w:after="0" w:line="240" w:lineRule="auto"/>
        <w:jc w:val="center"/>
        <w:rPr>
          <w:rFonts w:ascii="Times New Roman" w:hAnsi="Times New Roman" w:cs="Times New Roman"/>
          <w:sz w:val="24"/>
          <w:szCs w:val="24"/>
        </w:rPr>
      </w:pPr>
      <w:r w:rsidRPr="00964D25">
        <w:rPr>
          <w:rFonts w:ascii="Times New Roman" w:hAnsi="Times New Roman" w:cs="Times New Roman"/>
          <w:sz w:val="24"/>
          <w:szCs w:val="24"/>
        </w:rPr>
        <w:t>University of Washington, Seattle, WA</w:t>
      </w:r>
    </w:p>
    <w:p w14:paraId="607209E7" w14:textId="52222465" w:rsidR="008B017B" w:rsidRPr="00964D25" w:rsidRDefault="008B017B" w:rsidP="00E373C8">
      <w:pPr>
        <w:spacing w:after="0" w:line="240" w:lineRule="auto"/>
        <w:jc w:val="center"/>
        <w:rPr>
          <w:rFonts w:ascii="Times New Roman" w:hAnsi="Times New Roman" w:cs="Times New Roman"/>
          <w:sz w:val="24"/>
          <w:szCs w:val="24"/>
        </w:rPr>
      </w:pPr>
      <w:r w:rsidRPr="00964D25">
        <w:rPr>
          <w:rFonts w:ascii="Times New Roman" w:hAnsi="Times New Roman" w:cs="Times New Roman"/>
          <w:sz w:val="24"/>
          <w:szCs w:val="24"/>
        </w:rPr>
        <w:t>School of Oceanography, Box 357940</w:t>
      </w:r>
    </w:p>
    <w:p w14:paraId="11F2DFFA" w14:textId="77777777" w:rsidR="008B017B" w:rsidRPr="00964D25" w:rsidRDefault="008B017B" w:rsidP="008B017B">
      <w:pPr>
        <w:spacing w:after="0" w:line="240" w:lineRule="auto"/>
        <w:jc w:val="center"/>
        <w:rPr>
          <w:rStyle w:val="Hyperlink"/>
          <w:rFonts w:ascii="Times New Roman" w:hAnsi="Times New Roman" w:cs="Times New Roman"/>
          <w:sz w:val="24"/>
          <w:szCs w:val="24"/>
        </w:rPr>
      </w:pPr>
      <w:r w:rsidRPr="00964D25">
        <w:rPr>
          <w:rFonts w:ascii="Times New Roman" w:hAnsi="Times New Roman" w:cs="Times New Roman"/>
          <w:sz w:val="24"/>
          <w:szCs w:val="24"/>
        </w:rPr>
        <w:t xml:space="preserve">email: </w:t>
      </w:r>
      <w:hyperlink r:id="rId6" w:history="1">
        <w:r w:rsidRPr="00964D25">
          <w:rPr>
            <w:rStyle w:val="Hyperlink"/>
            <w:rFonts w:ascii="Times New Roman" w:hAnsi="Times New Roman" w:cs="Times New Roman"/>
            <w:sz w:val="24"/>
            <w:szCs w:val="24"/>
          </w:rPr>
          <w:t>knleazer@uw.edu</w:t>
        </w:r>
      </w:hyperlink>
    </w:p>
    <w:p w14:paraId="2D87335E" w14:textId="77777777" w:rsidR="008B017B" w:rsidRPr="00964D25" w:rsidRDefault="008B017B" w:rsidP="008B017B">
      <w:pPr>
        <w:spacing w:after="0" w:line="240" w:lineRule="auto"/>
        <w:jc w:val="center"/>
        <w:rPr>
          <w:rFonts w:ascii="Times New Roman" w:hAnsi="Times New Roman" w:cs="Times New Roman"/>
          <w:sz w:val="24"/>
          <w:szCs w:val="24"/>
        </w:rPr>
      </w:pPr>
    </w:p>
    <w:p w14:paraId="36CA63CF" w14:textId="1C4978C4" w:rsidR="008B017B" w:rsidRPr="00964D25" w:rsidRDefault="0079745A" w:rsidP="008B017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5/27</w:t>
      </w:r>
      <w:r w:rsidR="002D00FF">
        <w:rPr>
          <w:rFonts w:ascii="Times New Roman" w:hAnsi="Times New Roman" w:cs="Times New Roman"/>
          <w:sz w:val="24"/>
          <w:szCs w:val="24"/>
        </w:rPr>
        <w:t>/2018</w:t>
      </w:r>
    </w:p>
    <w:p w14:paraId="0D63BAB1" w14:textId="77777777" w:rsidR="008B017B" w:rsidRPr="00897B6F" w:rsidRDefault="008B017B" w:rsidP="008B017B">
      <w:pPr>
        <w:spacing w:after="0" w:line="240" w:lineRule="auto"/>
        <w:jc w:val="center"/>
        <w:rPr>
          <w:rFonts w:asciiTheme="majorHAnsi" w:hAnsiTheme="majorHAnsi"/>
        </w:rPr>
      </w:pPr>
    </w:p>
    <w:p w14:paraId="45FDDE82" w14:textId="77777777" w:rsidR="008B017B" w:rsidRPr="00897B6F" w:rsidRDefault="008B017B" w:rsidP="008B017B">
      <w:pPr>
        <w:spacing w:after="0" w:line="240" w:lineRule="auto"/>
        <w:jc w:val="center"/>
        <w:rPr>
          <w:rFonts w:asciiTheme="majorHAnsi" w:hAnsiTheme="majorHAnsi"/>
        </w:rPr>
      </w:pPr>
    </w:p>
    <w:p w14:paraId="5AC2A548" w14:textId="77777777" w:rsidR="007F4266" w:rsidRDefault="007F4266" w:rsidP="007F4266">
      <w:pPr>
        <w:spacing w:after="0" w:line="480" w:lineRule="auto"/>
        <w:rPr>
          <w:rFonts w:ascii="Times New Roman" w:hAnsi="Times New Roman" w:cs="Times New Roman"/>
          <w:b/>
          <w:sz w:val="24"/>
          <w:szCs w:val="24"/>
          <w:u w:val="single"/>
        </w:rPr>
      </w:pPr>
    </w:p>
    <w:p w14:paraId="784BACAB" w14:textId="77777777" w:rsidR="007F4266" w:rsidRDefault="007F4266" w:rsidP="007F4266">
      <w:pPr>
        <w:spacing w:after="0" w:line="480" w:lineRule="auto"/>
        <w:rPr>
          <w:rFonts w:ascii="Times New Roman" w:hAnsi="Times New Roman" w:cs="Times New Roman"/>
          <w:b/>
          <w:sz w:val="24"/>
          <w:szCs w:val="24"/>
          <w:u w:val="single"/>
        </w:rPr>
      </w:pPr>
    </w:p>
    <w:p w14:paraId="0A2C2372" w14:textId="77777777" w:rsidR="007F4266" w:rsidRDefault="007F4266" w:rsidP="007F4266">
      <w:pPr>
        <w:spacing w:after="0" w:line="480" w:lineRule="auto"/>
        <w:rPr>
          <w:rFonts w:ascii="Times New Roman" w:hAnsi="Times New Roman" w:cs="Times New Roman"/>
          <w:b/>
          <w:sz w:val="24"/>
          <w:szCs w:val="24"/>
          <w:u w:val="single"/>
        </w:rPr>
      </w:pPr>
    </w:p>
    <w:p w14:paraId="5A5881B0" w14:textId="77777777" w:rsidR="007F4266" w:rsidRDefault="007F4266" w:rsidP="007F4266">
      <w:pPr>
        <w:spacing w:after="0" w:line="480" w:lineRule="auto"/>
        <w:rPr>
          <w:rFonts w:ascii="Times New Roman" w:hAnsi="Times New Roman" w:cs="Times New Roman"/>
          <w:b/>
          <w:sz w:val="24"/>
          <w:szCs w:val="24"/>
          <w:u w:val="single"/>
        </w:rPr>
      </w:pPr>
    </w:p>
    <w:p w14:paraId="10741C66" w14:textId="77777777" w:rsidR="007F4266" w:rsidRDefault="007F4266" w:rsidP="007F4266">
      <w:pPr>
        <w:spacing w:after="0" w:line="480" w:lineRule="auto"/>
        <w:rPr>
          <w:rFonts w:ascii="Times New Roman" w:hAnsi="Times New Roman" w:cs="Times New Roman"/>
          <w:b/>
          <w:sz w:val="24"/>
          <w:szCs w:val="24"/>
          <w:u w:val="single"/>
        </w:rPr>
      </w:pPr>
    </w:p>
    <w:p w14:paraId="51723844" w14:textId="77777777" w:rsidR="007F4266" w:rsidRDefault="007F4266" w:rsidP="007F4266">
      <w:pPr>
        <w:spacing w:after="0" w:line="480" w:lineRule="auto"/>
        <w:rPr>
          <w:rFonts w:ascii="Times New Roman" w:hAnsi="Times New Roman" w:cs="Times New Roman"/>
          <w:b/>
          <w:sz w:val="24"/>
          <w:szCs w:val="24"/>
          <w:u w:val="single"/>
        </w:rPr>
      </w:pPr>
    </w:p>
    <w:p w14:paraId="25E55FEC" w14:textId="77777777" w:rsidR="007F4266" w:rsidRDefault="007F4266" w:rsidP="007F4266">
      <w:pPr>
        <w:spacing w:after="0" w:line="480" w:lineRule="auto"/>
        <w:rPr>
          <w:rFonts w:ascii="Times New Roman" w:hAnsi="Times New Roman" w:cs="Times New Roman"/>
          <w:b/>
          <w:sz w:val="24"/>
          <w:szCs w:val="24"/>
          <w:u w:val="single"/>
        </w:rPr>
      </w:pPr>
    </w:p>
    <w:p w14:paraId="6B9DA4B1" w14:textId="77777777" w:rsidR="007F4266" w:rsidRDefault="007F4266" w:rsidP="007F4266">
      <w:pPr>
        <w:spacing w:after="0" w:line="480" w:lineRule="auto"/>
        <w:rPr>
          <w:rFonts w:ascii="Times New Roman" w:hAnsi="Times New Roman" w:cs="Times New Roman"/>
          <w:b/>
          <w:sz w:val="24"/>
          <w:szCs w:val="24"/>
          <w:u w:val="single"/>
        </w:rPr>
      </w:pPr>
    </w:p>
    <w:p w14:paraId="19C410D7" w14:textId="77777777" w:rsidR="007F4266" w:rsidRDefault="007F4266" w:rsidP="007F4266">
      <w:pPr>
        <w:spacing w:after="0" w:line="480" w:lineRule="auto"/>
        <w:rPr>
          <w:rFonts w:ascii="Times New Roman" w:hAnsi="Times New Roman" w:cs="Times New Roman"/>
          <w:b/>
          <w:sz w:val="24"/>
          <w:szCs w:val="24"/>
          <w:u w:val="single"/>
        </w:rPr>
      </w:pPr>
    </w:p>
    <w:p w14:paraId="11C6C95F" w14:textId="77777777" w:rsidR="007F4266" w:rsidRDefault="007F4266" w:rsidP="007F4266">
      <w:pPr>
        <w:spacing w:after="0" w:line="480" w:lineRule="auto"/>
        <w:rPr>
          <w:rFonts w:ascii="Times New Roman" w:hAnsi="Times New Roman" w:cs="Times New Roman"/>
          <w:b/>
          <w:sz w:val="24"/>
          <w:szCs w:val="24"/>
          <w:u w:val="single"/>
        </w:rPr>
      </w:pPr>
    </w:p>
    <w:p w14:paraId="1227FD02" w14:textId="77777777" w:rsidR="007F4266" w:rsidRDefault="007F4266" w:rsidP="007F4266">
      <w:pPr>
        <w:spacing w:after="0" w:line="480" w:lineRule="auto"/>
        <w:rPr>
          <w:rFonts w:ascii="Times New Roman" w:hAnsi="Times New Roman" w:cs="Times New Roman"/>
          <w:b/>
          <w:sz w:val="24"/>
          <w:szCs w:val="24"/>
          <w:u w:val="single"/>
        </w:rPr>
      </w:pPr>
    </w:p>
    <w:p w14:paraId="2321F1BF" w14:textId="77777777" w:rsidR="007F4266" w:rsidRDefault="007F4266" w:rsidP="007F4266">
      <w:pPr>
        <w:spacing w:after="0" w:line="480" w:lineRule="auto"/>
        <w:rPr>
          <w:rFonts w:ascii="Times New Roman" w:hAnsi="Times New Roman" w:cs="Times New Roman"/>
          <w:b/>
          <w:sz w:val="24"/>
          <w:szCs w:val="24"/>
          <w:u w:val="single"/>
        </w:rPr>
      </w:pPr>
    </w:p>
    <w:p w14:paraId="6843F2D1" w14:textId="77777777" w:rsidR="007F4266" w:rsidRDefault="007F4266" w:rsidP="007F4266">
      <w:pPr>
        <w:spacing w:after="0" w:line="480" w:lineRule="auto"/>
        <w:rPr>
          <w:rFonts w:ascii="Times New Roman" w:hAnsi="Times New Roman" w:cs="Times New Roman"/>
          <w:b/>
          <w:sz w:val="24"/>
          <w:szCs w:val="24"/>
          <w:u w:val="single"/>
        </w:rPr>
      </w:pPr>
    </w:p>
    <w:p w14:paraId="11C7323E" w14:textId="77777777" w:rsidR="007F4266" w:rsidRDefault="007F4266" w:rsidP="007F4266">
      <w:pPr>
        <w:spacing w:after="0" w:line="480" w:lineRule="auto"/>
        <w:rPr>
          <w:rFonts w:ascii="Times New Roman" w:hAnsi="Times New Roman" w:cs="Times New Roman"/>
          <w:b/>
          <w:sz w:val="24"/>
          <w:szCs w:val="24"/>
          <w:u w:val="single"/>
        </w:rPr>
      </w:pPr>
    </w:p>
    <w:p w14:paraId="21DF20BC" w14:textId="77777777" w:rsidR="007F4266" w:rsidRDefault="007F4266" w:rsidP="007F4266">
      <w:pPr>
        <w:spacing w:after="0" w:line="480" w:lineRule="auto"/>
        <w:rPr>
          <w:rFonts w:ascii="Times New Roman" w:hAnsi="Times New Roman" w:cs="Times New Roman"/>
          <w:b/>
          <w:sz w:val="24"/>
          <w:szCs w:val="24"/>
          <w:u w:val="single"/>
        </w:rPr>
      </w:pPr>
    </w:p>
    <w:p w14:paraId="07F78638" w14:textId="77777777" w:rsidR="007F4266" w:rsidRDefault="007F4266" w:rsidP="007F4266">
      <w:pPr>
        <w:spacing w:after="0" w:line="480" w:lineRule="auto"/>
        <w:rPr>
          <w:rFonts w:ascii="Times New Roman" w:hAnsi="Times New Roman" w:cs="Times New Roman"/>
          <w:b/>
          <w:sz w:val="24"/>
          <w:szCs w:val="24"/>
          <w:u w:val="single"/>
        </w:rPr>
      </w:pPr>
    </w:p>
    <w:p w14:paraId="0DAA5BE9" w14:textId="77777777" w:rsidR="007F4266" w:rsidRDefault="007F4266" w:rsidP="007F4266">
      <w:pPr>
        <w:spacing w:after="0" w:line="480" w:lineRule="auto"/>
        <w:rPr>
          <w:rFonts w:ascii="Times New Roman" w:hAnsi="Times New Roman" w:cs="Times New Roman"/>
          <w:b/>
          <w:sz w:val="24"/>
          <w:szCs w:val="24"/>
          <w:u w:val="single"/>
        </w:rPr>
      </w:pPr>
    </w:p>
    <w:p w14:paraId="6E6E35C9" w14:textId="794227A5" w:rsidR="00CB4880" w:rsidRPr="00964D25" w:rsidRDefault="00CB4880" w:rsidP="00CB4880">
      <w:pPr>
        <w:spacing w:after="0" w:line="480" w:lineRule="auto"/>
        <w:rPr>
          <w:rFonts w:ascii="Times New Roman" w:hAnsi="Times New Roman" w:cs="Times New Roman"/>
          <w:b/>
          <w:sz w:val="24"/>
          <w:szCs w:val="24"/>
          <w:u w:val="single"/>
        </w:rPr>
      </w:pPr>
      <w:r>
        <w:rPr>
          <w:rFonts w:ascii="Times New Roman" w:hAnsi="Times New Roman" w:cs="Times New Roman"/>
          <w:b/>
          <w:sz w:val="24"/>
          <w:szCs w:val="24"/>
          <w:u w:val="single"/>
        </w:rPr>
        <w:t>Abstract</w:t>
      </w:r>
    </w:p>
    <w:p w14:paraId="0DA5EFDE" w14:textId="5A0B1DD7" w:rsidR="007F4266" w:rsidRPr="003069BD" w:rsidRDefault="00D369BF" w:rsidP="007F4266">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9F1A22">
        <w:rPr>
          <w:rFonts w:ascii="Times New Roman" w:hAnsi="Times New Roman" w:cs="Times New Roman"/>
          <w:sz w:val="24"/>
          <w:szCs w:val="24"/>
        </w:rPr>
        <w:t>Heavy metals are naturally occurring elements tha</w:t>
      </w:r>
      <w:r w:rsidR="00FE121A">
        <w:rPr>
          <w:rFonts w:ascii="Times New Roman" w:hAnsi="Times New Roman" w:cs="Times New Roman"/>
          <w:sz w:val="24"/>
          <w:szCs w:val="24"/>
        </w:rPr>
        <w:t>t have a high atomic weight and</w:t>
      </w:r>
      <w:r w:rsidR="00B412DB">
        <w:rPr>
          <w:rFonts w:ascii="Times New Roman" w:hAnsi="Times New Roman" w:cs="Times New Roman"/>
          <w:sz w:val="24"/>
          <w:szCs w:val="24"/>
        </w:rPr>
        <w:t xml:space="preserve"> are usually found in trace levels</w:t>
      </w:r>
      <w:r w:rsidR="009F1A22">
        <w:rPr>
          <w:rFonts w:ascii="Times New Roman" w:hAnsi="Times New Roman" w:cs="Times New Roman"/>
          <w:sz w:val="24"/>
          <w:szCs w:val="24"/>
        </w:rPr>
        <w:t xml:space="preserve"> within the environment</w:t>
      </w:r>
      <w:r w:rsidR="00FE121A">
        <w:rPr>
          <w:rFonts w:ascii="Times New Roman" w:hAnsi="Times New Roman" w:cs="Times New Roman"/>
          <w:sz w:val="24"/>
          <w:szCs w:val="24"/>
        </w:rPr>
        <w:t>, but can become toxic to marine organisms at elevated concentrations</w:t>
      </w:r>
      <w:r w:rsidR="00B412DB">
        <w:rPr>
          <w:rFonts w:ascii="Times New Roman" w:hAnsi="Times New Roman" w:cs="Times New Roman"/>
          <w:sz w:val="24"/>
          <w:szCs w:val="24"/>
        </w:rPr>
        <w:t>.  They can enter the marine environment from a variety of anthropogenic point sources, including from</w:t>
      </w:r>
      <w:r w:rsidR="009F1A22">
        <w:rPr>
          <w:rFonts w:ascii="Times New Roman" w:hAnsi="Times New Roman" w:cs="Times New Roman"/>
          <w:sz w:val="24"/>
          <w:szCs w:val="24"/>
        </w:rPr>
        <w:t xml:space="preserve"> anti-fouling paint from fish farms as well as</w:t>
      </w:r>
      <w:r w:rsidR="00B412DB">
        <w:rPr>
          <w:rFonts w:ascii="Times New Roman" w:hAnsi="Times New Roman" w:cs="Times New Roman"/>
          <w:sz w:val="24"/>
          <w:szCs w:val="24"/>
        </w:rPr>
        <w:t xml:space="preserve"> from</w:t>
      </w:r>
      <w:r w:rsidR="009F1A22">
        <w:rPr>
          <w:rFonts w:ascii="Times New Roman" w:hAnsi="Times New Roman" w:cs="Times New Roman"/>
          <w:sz w:val="24"/>
          <w:szCs w:val="24"/>
        </w:rPr>
        <w:t xml:space="preserve"> mining activities</w:t>
      </w:r>
      <w:r w:rsidR="00B412DB">
        <w:rPr>
          <w:rFonts w:ascii="Times New Roman" w:hAnsi="Times New Roman" w:cs="Times New Roman"/>
          <w:sz w:val="24"/>
          <w:szCs w:val="24"/>
        </w:rPr>
        <w:t>.</w:t>
      </w:r>
      <w:r w:rsidR="003069BD">
        <w:rPr>
          <w:rFonts w:ascii="Times New Roman" w:hAnsi="Times New Roman" w:cs="Times New Roman"/>
          <w:sz w:val="24"/>
          <w:szCs w:val="24"/>
        </w:rPr>
        <w:t xml:space="preserve">  In this study, heavy metals in the surface sediments and within the marine biota were analyzed at four different stations within the greater Puget Sound area: at</w:t>
      </w:r>
      <w:r w:rsidR="00B75ADF">
        <w:rPr>
          <w:rFonts w:ascii="Times New Roman" w:hAnsi="Times New Roman" w:cs="Times New Roman"/>
          <w:sz w:val="24"/>
          <w:szCs w:val="24"/>
        </w:rPr>
        <w:t xml:space="preserve"> one fish farm site and at</w:t>
      </w:r>
      <w:r w:rsidR="003069BD">
        <w:rPr>
          <w:rFonts w:ascii="Times New Roman" w:hAnsi="Times New Roman" w:cs="Times New Roman"/>
          <w:sz w:val="24"/>
          <w:szCs w:val="24"/>
        </w:rPr>
        <w:t xml:space="preserve"> three mining sites.  </w:t>
      </w:r>
      <w:r w:rsidR="004D2560">
        <w:rPr>
          <w:rFonts w:ascii="Times New Roman" w:hAnsi="Times New Roman" w:cs="Times New Roman"/>
          <w:sz w:val="24"/>
          <w:szCs w:val="24"/>
        </w:rPr>
        <w:t>There was elevated heavy metal contamination present in the surface sediments at all four of the stations</w:t>
      </w:r>
      <w:r w:rsidR="003069BD">
        <w:rPr>
          <w:rFonts w:ascii="Times New Roman" w:hAnsi="Times New Roman" w:cs="Times New Roman"/>
          <w:sz w:val="24"/>
          <w:szCs w:val="24"/>
        </w:rPr>
        <w:t>, and when these heavy metals were detectable within the surface sediments, they were found within both benthic and pelagic organisms at enrichments approximately one order of magnitude higher</w:t>
      </w:r>
      <w:r w:rsidR="00B75ADF">
        <w:rPr>
          <w:rFonts w:ascii="Times New Roman" w:hAnsi="Times New Roman" w:cs="Times New Roman"/>
          <w:sz w:val="24"/>
          <w:szCs w:val="24"/>
        </w:rPr>
        <w:t xml:space="preserve"> than in the sediments</w:t>
      </w:r>
      <w:r w:rsidR="003069BD">
        <w:rPr>
          <w:rFonts w:ascii="Times New Roman" w:hAnsi="Times New Roman" w:cs="Times New Roman"/>
          <w:sz w:val="24"/>
          <w:szCs w:val="24"/>
        </w:rPr>
        <w:t xml:space="preserve">.  It is now known that heavy metals are present within the local region at highly enriched concentrations and have made their way into the biota; more work is needed to begin to understand the implications of this enrichment for the greater Puget Sound ecosystem.  </w:t>
      </w:r>
    </w:p>
    <w:p w14:paraId="7D00BEBB" w14:textId="77777777" w:rsidR="004D2560" w:rsidRDefault="004D2560" w:rsidP="007F4266">
      <w:pPr>
        <w:spacing w:after="0" w:line="480" w:lineRule="auto"/>
        <w:rPr>
          <w:rFonts w:ascii="Times New Roman" w:hAnsi="Times New Roman" w:cs="Times New Roman"/>
          <w:b/>
          <w:sz w:val="24"/>
          <w:szCs w:val="24"/>
          <w:u w:val="single"/>
        </w:rPr>
      </w:pPr>
    </w:p>
    <w:p w14:paraId="5987CD0B" w14:textId="77777777" w:rsidR="007E5B56" w:rsidRDefault="007E5B56" w:rsidP="007F4266">
      <w:pPr>
        <w:spacing w:after="0" w:line="480" w:lineRule="auto"/>
        <w:rPr>
          <w:rFonts w:ascii="Times New Roman" w:hAnsi="Times New Roman" w:cs="Times New Roman"/>
          <w:b/>
          <w:sz w:val="24"/>
          <w:szCs w:val="24"/>
          <w:u w:val="single"/>
        </w:rPr>
      </w:pPr>
    </w:p>
    <w:p w14:paraId="49D1FD08" w14:textId="77777777" w:rsidR="007E5B56" w:rsidRDefault="007E5B56" w:rsidP="007F4266">
      <w:pPr>
        <w:spacing w:after="0" w:line="480" w:lineRule="auto"/>
        <w:rPr>
          <w:rFonts w:ascii="Times New Roman" w:hAnsi="Times New Roman" w:cs="Times New Roman"/>
          <w:b/>
          <w:sz w:val="24"/>
          <w:szCs w:val="24"/>
          <w:u w:val="single"/>
        </w:rPr>
      </w:pPr>
    </w:p>
    <w:p w14:paraId="17E4F42D" w14:textId="77777777" w:rsidR="007E5B56" w:rsidRDefault="007E5B56" w:rsidP="007F4266">
      <w:pPr>
        <w:spacing w:after="0" w:line="480" w:lineRule="auto"/>
        <w:rPr>
          <w:rFonts w:ascii="Times New Roman" w:hAnsi="Times New Roman" w:cs="Times New Roman"/>
          <w:b/>
          <w:sz w:val="24"/>
          <w:szCs w:val="24"/>
          <w:u w:val="single"/>
        </w:rPr>
      </w:pPr>
    </w:p>
    <w:p w14:paraId="457814C6" w14:textId="77777777" w:rsidR="007E5B56" w:rsidRDefault="007E5B56" w:rsidP="007F4266">
      <w:pPr>
        <w:spacing w:after="0" w:line="480" w:lineRule="auto"/>
        <w:rPr>
          <w:rFonts w:ascii="Times New Roman" w:hAnsi="Times New Roman" w:cs="Times New Roman"/>
          <w:b/>
          <w:sz w:val="24"/>
          <w:szCs w:val="24"/>
          <w:u w:val="single"/>
        </w:rPr>
      </w:pPr>
    </w:p>
    <w:p w14:paraId="2AC1D323" w14:textId="77777777" w:rsidR="007E5B56" w:rsidRDefault="007E5B56" w:rsidP="007F4266">
      <w:pPr>
        <w:spacing w:after="0" w:line="480" w:lineRule="auto"/>
        <w:rPr>
          <w:rFonts w:ascii="Times New Roman" w:hAnsi="Times New Roman" w:cs="Times New Roman"/>
          <w:b/>
          <w:sz w:val="24"/>
          <w:szCs w:val="24"/>
          <w:u w:val="single"/>
        </w:rPr>
      </w:pPr>
    </w:p>
    <w:p w14:paraId="68CDAC12" w14:textId="77777777" w:rsidR="007E5B56" w:rsidRDefault="007E5B56" w:rsidP="007F4266">
      <w:pPr>
        <w:spacing w:after="0" w:line="480" w:lineRule="auto"/>
        <w:rPr>
          <w:rFonts w:ascii="Times New Roman" w:hAnsi="Times New Roman" w:cs="Times New Roman"/>
          <w:b/>
          <w:sz w:val="24"/>
          <w:szCs w:val="24"/>
          <w:u w:val="single"/>
        </w:rPr>
      </w:pPr>
    </w:p>
    <w:p w14:paraId="354F1DE2" w14:textId="77777777" w:rsidR="007E5B56" w:rsidRDefault="007E5B56" w:rsidP="007F4266">
      <w:pPr>
        <w:spacing w:after="0" w:line="480" w:lineRule="auto"/>
        <w:rPr>
          <w:rFonts w:ascii="Times New Roman" w:hAnsi="Times New Roman" w:cs="Times New Roman"/>
          <w:b/>
          <w:sz w:val="24"/>
          <w:szCs w:val="24"/>
          <w:u w:val="single"/>
        </w:rPr>
      </w:pPr>
    </w:p>
    <w:p w14:paraId="373A3DCB" w14:textId="77777777" w:rsidR="007E5B56" w:rsidRDefault="007E5B56" w:rsidP="007F4266">
      <w:pPr>
        <w:spacing w:after="0" w:line="480" w:lineRule="auto"/>
        <w:rPr>
          <w:rFonts w:ascii="Times New Roman" w:hAnsi="Times New Roman" w:cs="Times New Roman"/>
          <w:b/>
          <w:sz w:val="24"/>
          <w:szCs w:val="24"/>
          <w:u w:val="single"/>
        </w:rPr>
      </w:pPr>
    </w:p>
    <w:p w14:paraId="753A5B04" w14:textId="77777777" w:rsidR="007F4266" w:rsidRPr="00964D25" w:rsidRDefault="007F4266" w:rsidP="007F4266">
      <w:pPr>
        <w:spacing w:after="0" w:line="480" w:lineRule="auto"/>
        <w:rPr>
          <w:rFonts w:ascii="Times New Roman" w:hAnsi="Times New Roman" w:cs="Times New Roman"/>
          <w:b/>
          <w:sz w:val="24"/>
          <w:szCs w:val="24"/>
          <w:u w:val="single"/>
        </w:rPr>
      </w:pPr>
      <w:r w:rsidRPr="00964D25">
        <w:rPr>
          <w:rFonts w:ascii="Times New Roman" w:hAnsi="Times New Roman" w:cs="Times New Roman"/>
          <w:b/>
          <w:sz w:val="24"/>
          <w:szCs w:val="24"/>
          <w:u w:val="single"/>
        </w:rPr>
        <w:t>Introduction</w:t>
      </w:r>
    </w:p>
    <w:p w14:paraId="37EF5D76" w14:textId="5E08908A" w:rsidR="00E71596" w:rsidRPr="007912C1" w:rsidRDefault="00562847" w:rsidP="00E71596">
      <w:pPr>
        <w:widowControl w:val="0"/>
        <w:autoSpaceDE w:val="0"/>
        <w:autoSpaceDN w:val="0"/>
        <w:adjustRightInd w:val="0"/>
        <w:spacing w:after="24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r>
      <w:r w:rsidR="00E71596">
        <w:rPr>
          <w:rFonts w:ascii="Times New Roman" w:hAnsi="Times New Roman" w:cs="Times New Roman"/>
          <w:sz w:val="24"/>
          <w:szCs w:val="24"/>
        </w:rPr>
        <w:t>Heavy metals are defined as naturally occurring elements that have a high atomic weight and a density at least 5 times greater than that of water (Fergusson 1990, Tchounwou et al. 2012.)  They are also considered “trace” element</w:t>
      </w:r>
      <w:r w:rsidR="002C0001">
        <w:rPr>
          <w:rFonts w:ascii="Times New Roman" w:hAnsi="Times New Roman" w:cs="Times New Roman"/>
          <w:sz w:val="24"/>
          <w:szCs w:val="24"/>
        </w:rPr>
        <w:t>s due to their presence in low</w:t>
      </w:r>
      <w:r w:rsidR="00E71596">
        <w:rPr>
          <w:rFonts w:ascii="Times New Roman" w:hAnsi="Times New Roman" w:cs="Times New Roman"/>
          <w:sz w:val="24"/>
          <w:szCs w:val="24"/>
        </w:rPr>
        <w:t xml:space="preserve"> concentrations within the environment, ra</w:t>
      </w:r>
      <w:r w:rsidR="002C0001">
        <w:rPr>
          <w:rFonts w:ascii="Times New Roman" w:hAnsi="Times New Roman" w:cs="Times New Roman"/>
          <w:sz w:val="24"/>
          <w:szCs w:val="24"/>
        </w:rPr>
        <w:t>nging from concentrations in parts per billion</w:t>
      </w:r>
      <w:r w:rsidR="00E71596">
        <w:rPr>
          <w:rFonts w:ascii="Times New Roman" w:hAnsi="Times New Roman" w:cs="Times New Roman"/>
          <w:sz w:val="24"/>
          <w:szCs w:val="24"/>
        </w:rPr>
        <w:t xml:space="preserve"> to concentrations less than 10ppm (</w:t>
      </w:r>
      <w:r w:rsidR="00E71596" w:rsidRPr="002D5876">
        <w:rPr>
          <w:rFonts w:ascii="Times New Roman" w:eastAsiaTheme="minorEastAsia" w:hAnsi="Times New Roman" w:cs="Times New Roman"/>
          <w:sz w:val="24"/>
          <w:szCs w:val="24"/>
        </w:rPr>
        <w:t>Kabata-Pendia</w:t>
      </w:r>
      <w:r w:rsidR="00E71596">
        <w:rPr>
          <w:rFonts w:ascii="Times New Roman" w:eastAsiaTheme="minorEastAsia" w:hAnsi="Times New Roman" w:cs="Times New Roman"/>
          <w:sz w:val="24"/>
          <w:szCs w:val="24"/>
        </w:rPr>
        <w:t xml:space="preserve"> 2001, </w:t>
      </w:r>
      <w:r w:rsidR="00E71596">
        <w:rPr>
          <w:rFonts w:ascii="Times New Roman" w:hAnsi="Times New Roman" w:cs="Times New Roman"/>
          <w:sz w:val="24"/>
          <w:szCs w:val="24"/>
        </w:rPr>
        <w:t>Tchounwou et al. 2012.)  Although heavy metals are naturally occurring, they can become toxic if they are present at increased concentrations within the environment (Tchounwou et al. 2012.)  Heavy metals can enter the marine environment from a variety of sources, including from weathering, volcanic eruptions, metal corrosion, atmospheric deposition, leaching of heavy metals from soil, and sediment re-suspension (</w:t>
      </w:r>
      <w:r w:rsidR="00E71596" w:rsidRPr="00213850">
        <w:rPr>
          <w:rFonts w:ascii="Times New Roman" w:eastAsiaTheme="minorEastAsia" w:hAnsi="Times New Roman" w:cs="Times New Roman"/>
          <w:sz w:val="24"/>
          <w:szCs w:val="24"/>
        </w:rPr>
        <w:t>Nriagu</w:t>
      </w:r>
      <w:r w:rsidR="00E71596">
        <w:rPr>
          <w:rFonts w:ascii="Times New Roman" w:hAnsi="Times New Roman" w:cs="Times New Roman"/>
          <w:sz w:val="24"/>
          <w:szCs w:val="24"/>
        </w:rPr>
        <w:t xml:space="preserve"> 1989, Tchounwou et al. 2012.)  Anthropogenic point sources can be significant contributors of heavy metal contamination to the marine environment, and can include ant</w:t>
      </w:r>
      <w:r w:rsidR="00F01388">
        <w:rPr>
          <w:rFonts w:ascii="Times New Roman" w:hAnsi="Times New Roman" w:cs="Times New Roman"/>
          <w:sz w:val="24"/>
          <w:szCs w:val="24"/>
        </w:rPr>
        <w:t xml:space="preserve">i-fouling paint from fish farms and </w:t>
      </w:r>
      <w:r w:rsidR="00E71596">
        <w:rPr>
          <w:rFonts w:ascii="Times New Roman" w:hAnsi="Times New Roman" w:cs="Times New Roman"/>
          <w:sz w:val="24"/>
          <w:szCs w:val="24"/>
        </w:rPr>
        <w:t>mining activities (Haggarty et al. 2003.)</w:t>
      </w:r>
    </w:p>
    <w:p w14:paraId="74E158E5" w14:textId="77777777" w:rsidR="00E71596" w:rsidRDefault="00E71596" w:rsidP="00E71596">
      <w:pPr>
        <w:widowControl w:val="0"/>
        <w:autoSpaceDE w:val="0"/>
        <w:autoSpaceDN w:val="0"/>
        <w:adjustRightInd w:val="0"/>
        <w:spacing w:after="240" w:line="480" w:lineRule="auto"/>
        <w:contextualSpacing/>
        <w:rPr>
          <w:rFonts w:ascii="Times New Roman" w:eastAsiaTheme="minorEastAsia" w:hAnsi="Times New Roman" w:cs="Times New Roman"/>
          <w:sz w:val="24"/>
          <w:szCs w:val="24"/>
        </w:rPr>
      </w:pPr>
      <w:r w:rsidRPr="00964D25">
        <w:rPr>
          <w:rFonts w:ascii="Times New Roman" w:hAnsi="Times New Roman" w:cs="Times New Roman"/>
          <w:sz w:val="24"/>
          <w:szCs w:val="24"/>
        </w:rPr>
        <w:tab/>
        <w:t>Fish farms could be potential sources of heavy metal c</w:t>
      </w:r>
      <w:r>
        <w:rPr>
          <w:rFonts w:ascii="Times New Roman" w:hAnsi="Times New Roman" w:cs="Times New Roman"/>
          <w:sz w:val="24"/>
          <w:szCs w:val="24"/>
        </w:rPr>
        <w:t>ontamination to the environment via anti-fouling paint.</w:t>
      </w:r>
      <w:r w:rsidRPr="00964D25">
        <w:rPr>
          <w:rFonts w:ascii="Times New Roman" w:hAnsi="Times New Roman" w:cs="Times New Roman"/>
          <w:sz w:val="24"/>
          <w:szCs w:val="24"/>
        </w:rPr>
        <w:t xml:space="preserve">  Many sessile organisms, such as mussels, barnacles, ascidians, bryozoans, polychaetes, and anemones, attach to fish farm nets (Haggarty et al. 2003.)  In order to prevent such fouling, fish farms can either remove the nets from the water and scrape them off, or they can apply anti-fouling chemicals that will altogether prevent the growth of organisms on net pens.  Tributyltin (TBT) was a common antifouling paint that was banned in British Columbia fish farms in 1988 due to the discovery of its harmful environmental effects (Haggarty et al. 2003.)  Once TBT was banned, many BC fish farms started to use antifouling chemicals with copper compounds instead (</w:t>
      </w:r>
      <w:r>
        <w:rPr>
          <w:rFonts w:ascii="Times New Roman" w:eastAsiaTheme="minorEastAsia" w:hAnsi="Times New Roman" w:cs="Times New Roman"/>
          <w:sz w:val="24"/>
          <w:szCs w:val="24"/>
        </w:rPr>
        <w:t>Gardner and Peterson 2003.)  Anti</w:t>
      </w:r>
      <w:r w:rsidRPr="00964D25">
        <w:rPr>
          <w:rFonts w:ascii="Times New Roman" w:eastAsiaTheme="minorEastAsia" w:hAnsi="Times New Roman" w:cs="Times New Roman"/>
          <w:sz w:val="24"/>
          <w:szCs w:val="24"/>
        </w:rPr>
        <w:t xml:space="preserve">-foulants may provide a significant source of copper, and possibly zinc, to the marine environment </w:t>
      </w:r>
      <w:r w:rsidRPr="00964D25">
        <w:rPr>
          <w:rFonts w:ascii="Times New Roman" w:hAnsi="Times New Roman" w:cs="Times New Roman"/>
          <w:sz w:val="24"/>
          <w:szCs w:val="24"/>
        </w:rPr>
        <w:t>(</w:t>
      </w:r>
      <w:r w:rsidRPr="00964D25">
        <w:rPr>
          <w:rFonts w:ascii="Times New Roman" w:eastAsiaTheme="minorEastAsia" w:hAnsi="Times New Roman" w:cs="Times New Roman"/>
          <w:sz w:val="24"/>
          <w:szCs w:val="24"/>
        </w:rPr>
        <w:t xml:space="preserve">Brooks and Mahnken 2003; Dean et al. 2007.)  </w:t>
      </w:r>
    </w:p>
    <w:p w14:paraId="041C5204" w14:textId="77777777" w:rsidR="00E71596" w:rsidRPr="00964D25" w:rsidRDefault="00E71596" w:rsidP="00E71596">
      <w:pPr>
        <w:widowControl w:val="0"/>
        <w:autoSpaceDE w:val="0"/>
        <w:autoSpaceDN w:val="0"/>
        <w:adjustRightInd w:val="0"/>
        <w:spacing w:after="240" w:line="480" w:lineRule="auto"/>
        <w:contextualSpacing/>
        <w:rPr>
          <w:rFonts w:ascii="Times New Roman" w:hAnsi="Times New Roman" w:cs="Times New Roman"/>
          <w:sz w:val="24"/>
          <w:szCs w:val="24"/>
        </w:rPr>
      </w:pPr>
      <w:r>
        <w:rPr>
          <w:rFonts w:ascii="Times New Roman" w:eastAsiaTheme="minorEastAsia" w:hAnsi="Times New Roman" w:cs="Times New Roman"/>
          <w:sz w:val="24"/>
          <w:szCs w:val="24"/>
        </w:rPr>
        <w:lastRenderedPageBreak/>
        <w:tab/>
      </w:r>
      <w:r w:rsidRPr="00964D25">
        <w:rPr>
          <w:rFonts w:ascii="Times New Roman" w:eastAsiaTheme="minorEastAsia" w:hAnsi="Times New Roman" w:cs="Times New Roman"/>
          <w:sz w:val="24"/>
          <w:szCs w:val="24"/>
        </w:rPr>
        <w:t xml:space="preserve">In a study conducted in the Bay of Arcachon in France, where oysters were </w:t>
      </w:r>
      <w:r>
        <w:rPr>
          <w:rFonts w:ascii="Times New Roman" w:eastAsiaTheme="minorEastAsia" w:hAnsi="Times New Roman" w:cs="Times New Roman"/>
          <w:sz w:val="24"/>
          <w:szCs w:val="24"/>
        </w:rPr>
        <w:t xml:space="preserve">previously </w:t>
      </w:r>
      <w:r w:rsidRPr="00964D25">
        <w:rPr>
          <w:rFonts w:ascii="Times New Roman" w:eastAsiaTheme="minorEastAsia" w:hAnsi="Times New Roman" w:cs="Times New Roman"/>
          <w:sz w:val="24"/>
          <w:szCs w:val="24"/>
        </w:rPr>
        <w:t>observed to be very negatively affected by TBT, researchers found an increase in copper concentrations within the oysters after 1982-when TBT was banned in France</w:t>
      </w:r>
      <w:r>
        <w:rPr>
          <w:rFonts w:ascii="Times New Roman" w:eastAsiaTheme="minorEastAsia" w:hAnsi="Times New Roman" w:cs="Times New Roman"/>
          <w:sz w:val="24"/>
          <w:szCs w:val="24"/>
        </w:rPr>
        <w:t xml:space="preserve"> and copper-based anti-fouling paints were used instead</w:t>
      </w:r>
      <w:r w:rsidRPr="00964D25">
        <w:rPr>
          <w:rFonts w:ascii="Times New Roman" w:eastAsiaTheme="minorEastAsia" w:hAnsi="Times New Roman" w:cs="Times New Roman"/>
          <w:sz w:val="24"/>
          <w:szCs w:val="24"/>
        </w:rPr>
        <w:t xml:space="preserve"> </w:t>
      </w:r>
      <w:r w:rsidRPr="00964D25">
        <w:rPr>
          <w:rFonts w:ascii="Times New Roman" w:hAnsi="Times New Roman" w:cs="Times New Roman"/>
          <w:sz w:val="24"/>
          <w:szCs w:val="24"/>
        </w:rPr>
        <w:t>(Claisse and Alzieu 1993.)  Additionally, Katranitsas et al. (2003) found that copper-based anti-fouling paint was not only very harmful to the target sessile organisms on the fish farm nets, but was very toxic to a “non-target” species of brine shrimp, effectively decreasing the shrimp’s enzymatic activity.  These results signify that copper from anti-fouling net treatments is</w:t>
      </w:r>
      <w:r>
        <w:rPr>
          <w:rFonts w:ascii="Times New Roman" w:hAnsi="Times New Roman" w:cs="Times New Roman"/>
          <w:sz w:val="24"/>
          <w:szCs w:val="24"/>
        </w:rPr>
        <w:t xml:space="preserve"> entering the environment and</w:t>
      </w:r>
      <w:r w:rsidRPr="00964D25">
        <w:rPr>
          <w:rFonts w:ascii="Times New Roman" w:hAnsi="Times New Roman" w:cs="Times New Roman"/>
          <w:sz w:val="24"/>
          <w:szCs w:val="24"/>
        </w:rPr>
        <w:t xml:space="preserve"> </w:t>
      </w:r>
      <w:r>
        <w:rPr>
          <w:rFonts w:ascii="Times New Roman" w:hAnsi="Times New Roman" w:cs="Times New Roman"/>
          <w:sz w:val="24"/>
          <w:szCs w:val="24"/>
        </w:rPr>
        <w:t>bioaccumulating within</w:t>
      </w:r>
      <w:r w:rsidRPr="00964D25">
        <w:rPr>
          <w:rFonts w:ascii="Times New Roman" w:hAnsi="Times New Roman" w:cs="Times New Roman"/>
          <w:sz w:val="24"/>
          <w:szCs w:val="24"/>
        </w:rPr>
        <w:t xml:space="preserve"> non-target organisms. </w:t>
      </w:r>
    </w:p>
    <w:p w14:paraId="4D830AA4" w14:textId="5DA6D2C2" w:rsidR="00E71596" w:rsidRPr="00964D25" w:rsidRDefault="00E71596" w:rsidP="00E71596">
      <w:pPr>
        <w:widowControl w:val="0"/>
        <w:autoSpaceDE w:val="0"/>
        <w:autoSpaceDN w:val="0"/>
        <w:adjustRightInd w:val="0"/>
        <w:spacing w:after="240" w:line="480" w:lineRule="auto"/>
        <w:contextualSpacing/>
        <w:rPr>
          <w:rFonts w:ascii="Times New Roman" w:hAnsi="Times New Roman" w:cs="Times New Roman"/>
          <w:sz w:val="24"/>
          <w:szCs w:val="24"/>
        </w:rPr>
      </w:pPr>
      <w:r w:rsidRPr="00964D25">
        <w:rPr>
          <w:rFonts w:ascii="Times New Roman" w:hAnsi="Times New Roman" w:cs="Times New Roman"/>
          <w:sz w:val="24"/>
          <w:szCs w:val="24"/>
        </w:rPr>
        <w:tab/>
        <w:t>Mining activities could be another potential source of heavy metal contamination to the environment.  In 2016, Shon Purdy-a senior oceanography student at the University of Washington-found a spatial difference in heavy metal contamination within the surface sediments of Nootka Sound, located in northwest Vancouver Island, with more elevated metal concentrations near river mouths that ran from old mi</w:t>
      </w:r>
      <w:r w:rsidR="00582A0C">
        <w:rPr>
          <w:rFonts w:ascii="Times New Roman" w:hAnsi="Times New Roman" w:cs="Times New Roman"/>
          <w:sz w:val="24"/>
          <w:szCs w:val="24"/>
        </w:rPr>
        <w:t>ning sites (Purdy et al. 2016</w:t>
      </w:r>
      <w:r>
        <w:rPr>
          <w:rFonts w:ascii="Times New Roman" w:hAnsi="Times New Roman" w:cs="Times New Roman"/>
          <w:sz w:val="24"/>
          <w:szCs w:val="24"/>
        </w:rPr>
        <w:t>)</w:t>
      </w:r>
      <w:r w:rsidR="000134FB">
        <w:rPr>
          <w:rFonts w:ascii="Times New Roman" w:hAnsi="Times New Roman" w:cs="Times New Roman"/>
          <w:sz w:val="24"/>
          <w:szCs w:val="24"/>
        </w:rPr>
        <w:t xml:space="preserve"> (Fig. 1</w:t>
      </w:r>
      <w:r w:rsidR="00582A0C">
        <w:rPr>
          <w:rFonts w:ascii="Times New Roman" w:hAnsi="Times New Roman" w:cs="Times New Roman"/>
          <w:sz w:val="24"/>
          <w:szCs w:val="24"/>
        </w:rPr>
        <w:t>.)</w:t>
      </w:r>
      <w:r>
        <w:rPr>
          <w:rFonts w:ascii="Times New Roman" w:hAnsi="Times New Roman" w:cs="Times New Roman"/>
          <w:sz w:val="24"/>
          <w:szCs w:val="24"/>
        </w:rPr>
        <w:t xml:space="preserve">  There are many possible environmental impacts that the disposal of mine tailings could have, including</w:t>
      </w:r>
      <w:r w:rsidRPr="00964D25">
        <w:rPr>
          <w:rFonts w:ascii="Times New Roman" w:hAnsi="Times New Roman" w:cs="Times New Roman"/>
          <w:sz w:val="24"/>
          <w:szCs w:val="24"/>
        </w:rPr>
        <w:t xml:space="preserve"> loss of natural benthic habitat, increased concentrations of metals in the water column and the sediments, toxic effects on plants/animals, loss of diversity, bioaccumulation, and change in benthic community structure</w:t>
      </w:r>
      <w:r>
        <w:rPr>
          <w:rFonts w:ascii="Times New Roman" w:hAnsi="Times New Roman" w:cs="Times New Roman"/>
          <w:sz w:val="24"/>
          <w:szCs w:val="24"/>
        </w:rPr>
        <w:t>, and in some cases the</w:t>
      </w:r>
      <w:r w:rsidRPr="00964D25">
        <w:rPr>
          <w:rFonts w:ascii="Times New Roman" w:hAnsi="Times New Roman" w:cs="Times New Roman"/>
          <w:sz w:val="24"/>
          <w:szCs w:val="24"/>
        </w:rPr>
        <w:t xml:space="preserve"> disappearance of life</w:t>
      </w:r>
      <w:r>
        <w:rPr>
          <w:rFonts w:ascii="Times New Roman" w:hAnsi="Times New Roman" w:cs="Times New Roman"/>
          <w:sz w:val="24"/>
          <w:szCs w:val="24"/>
        </w:rPr>
        <w:t xml:space="preserve"> </w:t>
      </w:r>
      <w:r w:rsidRPr="00175ED3">
        <w:rPr>
          <w:rFonts w:ascii="Times New Roman" w:hAnsi="Times New Roman" w:cs="Times New Roman"/>
          <w:sz w:val="24"/>
          <w:szCs w:val="24"/>
        </w:rPr>
        <w:t>(</w:t>
      </w:r>
      <w:r>
        <w:rPr>
          <w:rFonts w:ascii="Times New Roman" w:hAnsi="Times New Roman" w:cs="Times New Roman"/>
          <w:sz w:val="24"/>
          <w:szCs w:val="24"/>
        </w:rPr>
        <w:t>Kay et al. 1989, Haggarty et al. 2003</w:t>
      </w:r>
      <w:r w:rsidRPr="00175ED3">
        <w:rPr>
          <w:rFonts w:ascii="Times New Roman" w:hAnsi="Times New Roman" w:cs="Times New Roman"/>
          <w:sz w:val="24"/>
          <w:szCs w:val="24"/>
        </w:rPr>
        <w:t>.</w:t>
      </w:r>
      <w:r>
        <w:rPr>
          <w:rFonts w:ascii="Times New Roman" w:hAnsi="Times New Roman" w:cs="Times New Roman"/>
          <w:sz w:val="24"/>
          <w:szCs w:val="24"/>
        </w:rPr>
        <w:t>)</w:t>
      </w:r>
      <w:r w:rsidRPr="00964D25">
        <w:rPr>
          <w:rFonts w:ascii="Times New Roman" w:hAnsi="Times New Roman" w:cs="Times New Roman"/>
          <w:sz w:val="24"/>
          <w:szCs w:val="24"/>
        </w:rPr>
        <w:t xml:space="preserve">  According to a study conducted in the Atacama region of northern Chile, there was a significant measurable decrease in the density and diversity of species assemblages at sites that were exposed to copper mine tailings (Lee and Correa 2005.)</w:t>
      </w:r>
    </w:p>
    <w:p w14:paraId="373C0F58" w14:textId="3C4E86A9" w:rsidR="00E71596" w:rsidRPr="00964D25" w:rsidRDefault="00E71596" w:rsidP="00E71596">
      <w:pPr>
        <w:spacing w:line="480" w:lineRule="auto"/>
        <w:contextualSpacing/>
        <w:rPr>
          <w:rFonts w:ascii="Times New Roman" w:hAnsi="Times New Roman" w:cs="Times New Roman"/>
          <w:sz w:val="24"/>
          <w:szCs w:val="24"/>
        </w:rPr>
      </w:pPr>
      <w:r w:rsidRPr="00964D25">
        <w:rPr>
          <w:rFonts w:ascii="Times New Roman" w:hAnsi="Times New Roman" w:cs="Times New Roman"/>
          <w:sz w:val="24"/>
          <w:szCs w:val="24"/>
        </w:rPr>
        <w:tab/>
        <w:t xml:space="preserve">There have been many studies on the presence of heavy metals in marine organisms.  The </w:t>
      </w:r>
      <w:r w:rsidR="00796A1A">
        <w:rPr>
          <w:rFonts w:ascii="Times New Roman" w:hAnsi="Times New Roman" w:cs="Times New Roman"/>
          <w:sz w:val="24"/>
          <w:szCs w:val="24"/>
        </w:rPr>
        <w:t>major</w:t>
      </w:r>
      <w:r w:rsidRPr="00964D25">
        <w:rPr>
          <w:rFonts w:ascii="Times New Roman" w:hAnsi="Times New Roman" w:cs="Times New Roman"/>
          <w:sz w:val="24"/>
          <w:szCs w:val="24"/>
        </w:rPr>
        <w:t xml:space="preserve"> point of entry of metals into the food web is through uptake by primary producers, which </w:t>
      </w:r>
      <w:r w:rsidRPr="00964D25">
        <w:rPr>
          <w:rFonts w:ascii="Times New Roman" w:hAnsi="Times New Roman" w:cs="Times New Roman"/>
          <w:sz w:val="24"/>
          <w:szCs w:val="24"/>
        </w:rPr>
        <w:lastRenderedPageBreak/>
        <w:t xml:space="preserve">happens when metal ions bind to receptors on membrane proteins and are then subsequently transported into the cell (Sunda and Huntsman 1998.)  From the primary producers, heavy metals can bioaccumulate up the food chain </w:t>
      </w:r>
      <w:r>
        <w:rPr>
          <w:rFonts w:ascii="Times New Roman" w:hAnsi="Times New Roman" w:cs="Times New Roman"/>
          <w:sz w:val="24"/>
          <w:szCs w:val="24"/>
        </w:rPr>
        <w:t>through</w:t>
      </w:r>
      <w:r w:rsidRPr="00964D25">
        <w:rPr>
          <w:rFonts w:ascii="Times New Roman" w:hAnsi="Times New Roman" w:cs="Times New Roman"/>
          <w:sz w:val="24"/>
          <w:szCs w:val="24"/>
        </w:rPr>
        <w:t xml:space="preserve"> trophic interactions.  Wang (2002) investigated the biological accumulation of heavy metals in both pelagic and benthic marine food chains, and found that the concentrations of metals within predatory benthic organisms were much higher than they were within pelagic predators.  This supports Bryan and Langston’s (1992) finding that concentrations of heavy metals in marine sediments are between three to five orders of magnitude greater than the concentrations in the overlying water column.  </w:t>
      </w:r>
      <w:r>
        <w:rPr>
          <w:rFonts w:ascii="Times New Roman" w:hAnsi="Times New Roman" w:cs="Times New Roman"/>
          <w:sz w:val="24"/>
          <w:szCs w:val="24"/>
        </w:rPr>
        <w:t>In this study,</w:t>
      </w:r>
      <w:r w:rsidRPr="00964D25">
        <w:rPr>
          <w:rFonts w:ascii="Times New Roman" w:hAnsi="Times New Roman" w:cs="Times New Roman"/>
          <w:sz w:val="24"/>
          <w:szCs w:val="24"/>
        </w:rPr>
        <w:t xml:space="preserve"> </w:t>
      </w:r>
      <w:r>
        <w:rPr>
          <w:rFonts w:ascii="Times New Roman" w:hAnsi="Times New Roman" w:cs="Times New Roman"/>
          <w:sz w:val="24"/>
          <w:szCs w:val="24"/>
        </w:rPr>
        <w:t xml:space="preserve">the sediments and marine benthic invertebrates were </w:t>
      </w:r>
      <w:r w:rsidRPr="00964D25">
        <w:rPr>
          <w:rFonts w:ascii="Times New Roman" w:hAnsi="Times New Roman" w:cs="Times New Roman"/>
          <w:sz w:val="24"/>
          <w:szCs w:val="24"/>
        </w:rPr>
        <w:t xml:space="preserve">sampled given the fact that the concentrations of heavy metals are so much higher in the sediments than in the water column. </w:t>
      </w:r>
    </w:p>
    <w:p w14:paraId="16256DAD" w14:textId="202039C7" w:rsidR="00E71596" w:rsidRPr="00964D25" w:rsidRDefault="00E71596" w:rsidP="00E71596">
      <w:pPr>
        <w:spacing w:line="480" w:lineRule="auto"/>
        <w:contextualSpacing/>
        <w:rPr>
          <w:rFonts w:ascii="Times New Roman" w:hAnsi="Times New Roman" w:cs="Times New Roman"/>
          <w:sz w:val="24"/>
          <w:szCs w:val="24"/>
        </w:rPr>
      </w:pPr>
      <w:r w:rsidRPr="00964D25">
        <w:rPr>
          <w:rFonts w:ascii="Times New Roman" w:hAnsi="Times New Roman" w:cs="Times New Roman"/>
          <w:sz w:val="24"/>
          <w:szCs w:val="24"/>
        </w:rPr>
        <w:tab/>
        <w:t>Despite the fact that the heavy metal contamination signal is strongest within the sediments and within benthic organisms, the contamination sign</w:t>
      </w:r>
      <w:r>
        <w:rPr>
          <w:rFonts w:ascii="Times New Roman" w:hAnsi="Times New Roman" w:cs="Times New Roman"/>
          <w:sz w:val="24"/>
          <w:szCs w:val="24"/>
        </w:rPr>
        <w:t>al within pelagic organisms canno</w:t>
      </w:r>
      <w:r w:rsidRPr="00964D25">
        <w:rPr>
          <w:rFonts w:ascii="Times New Roman" w:hAnsi="Times New Roman" w:cs="Times New Roman"/>
          <w:sz w:val="24"/>
          <w:szCs w:val="24"/>
        </w:rPr>
        <w:t>t be ignored (Wang 2002.)  In 2016, Ashley Maloney-a PhD student in oceanography at the University of Washington-analyzed zooplankton from Nootka Sound to determine whe</w:t>
      </w:r>
      <w:r>
        <w:rPr>
          <w:rFonts w:ascii="Times New Roman" w:hAnsi="Times New Roman" w:cs="Times New Roman"/>
          <w:sz w:val="24"/>
          <w:szCs w:val="24"/>
        </w:rPr>
        <w:t>ther heavy metals were present.  She</w:t>
      </w:r>
      <w:r w:rsidRPr="00964D25">
        <w:rPr>
          <w:rFonts w:ascii="Times New Roman" w:hAnsi="Times New Roman" w:cs="Times New Roman"/>
          <w:sz w:val="24"/>
          <w:szCs w:val="24"/>
        </w:rPr>
        <w:t xml:space="preserve"> found a positive correlation between the sediment contamination and the zooplankton contamination (Ashley Maloney, personal co</w:t>
      </w:r>
      <w:r w:rsidR="00D94C43">
        <w:rPr>
          <w:rFonts w:ascii="Times New Roman" w:hAnsi="Times New Roman" w:cs="Times New Roman"/>
          <w:sz w:val="24"/>
          <w:szCs w:val="24"/>
        </w:rPr>
        <w:t xml:space="preserve">mmunication, October 13, 2017.)  </w:t>
      </w:r>
      <w:r w:rsidRPr="00964D25">
        <w:rPr>
          <w:rFonts w:ascii="Times New Roman" w:hAnsi="Times New Roman" w:cs="Times New Roman"/>
          <w:sz w:val="24"/>
          <w:szCs w:val="24"/>
        </w:rPr>
        <w:t xml:space="preserve">Additionally, a study conducted in the Barents Sea found heavy metals present within zooplankton, although the concentrations of each specific kind of metal varied </w:t>
      </w:r>
      <w:r w:rsidR="00D95873">
        <w:rPr>
          <w:rFonts w:ascii="Times New Roman" w:hAnsi="Times New Roman" w:cs="Times New Roman"/>
          <w:sz w:val="24"/>
          <w:szCs w:val="24"/>
        </w:rPr>
        <w:t>among</w:t>
      </w:r>
      <w:r w:rsidRPr="00964D25">
        <w:rPr>
          <w:rFonts w:ascii="Times New Roman" w:hAnsi="Times New Roman" w:cs="Times New Roman"/>
          <w:sz w:val="24"/>
          <w:szCs w:val="24"/>
        </w:rPr>
        <w:t xml:space="preserve"> species of zooplankton (Zauke and Schmalenbach 2006.)  </w:t>
      </w:r>
    </w:p>
    <w:p w14:paraId="34ED3CFF" w14:textId="77777777" w:rsidR="00E71596" w:rsidRPr="00964D25" w:rsidRDefault="00E71596" w:rsidP="00E71596">
      <w:pPr>
        <w:spacing w:line="480" w:lineRule="auto"/>
        <w:contextualSpacing/>
        <w:rPr>
          <w:rFonts w:ascii="Times New Roman" w:hAnsi="Times New Roman" w:cs="Times New Roman"/>
          <w:sz w:val="24"/>
          <w:szCs w:val="24"/>
        </w:rPr>
      </w:pPr>
      <w:r w:rsidRPr="00964D25">
        <w:rPr>
          <w:rFonts w:ascii="Times New Roman" w:hAnsi="Times New Roman" w:cs="Times New Roman"/>
          <w:sz w:val="24"/>
          <w:szCs w:val="24"/>
        </w:rPr>
        <w:tab/>
        <w:t xml:space="preserve">Toxicity of heavy metals is hard to measure, both in the environment and in the biota (Haggarty et al. 2003.)  In aquatic environments, toxicity of copper is related to the concentration of highly reactive cupric (Cu2+) ions (Brooks and Mahnken, 2003; EPA 1984.)  According to Haggarty et al. (2003), the cupric ion can be toxic to marine organisms at relatively low </w:t>
      </w:r>
      <w:r w:rsidRPr="00964D25">
        <w:rPr>
          <w:rFonts w:ascii="Times New Roman" w:hAnsi="Times New Roman" w:cs="Times New Roman"/>
          <w:sz w:val="24"/>
          <w:szCs w:val="24"/>
        </w:rPr>
        <w:lastRenderedPageBreak/>
        <w:t xml:space="preserve">concentrations.  Sometimes however, the cupric ions can react to make chemical species of copper that are not bioavailable for uptake, and are therefore non-toxic (Haggarty et al. 2003.)  The many different chemical species of copper are maintained in an equilibrium that depends on salinity, temperature, pH, alkalinity, dissolved oxygen, sediment physicochemical characteristics, and the presence of other inorganic and organic molecules (Brooks and Mahnken, 2003; Haggarty et al., 2003.)  Additionally, organisms can react differently and have different tolerances to elevated copper concentrations.  For example, in a study that compared the copper tolerances of two different marine diatoms, one diatom exhibited a decreased growth rate with increased copper concentrations while the other diatom grew faster with exposure to elevated copper concentrations (Metaxas and Lewis 1991.)  Even if copper and other heavy metal contaminants are present within the environment, it is very hard to determine the effects these contaminants will have on the environment or on the organisms that live within the environment, due to the complexity of ecosystem interactions.  The goal of this study is not to determine the effects of heavy metals, but to take the first step in determining if the metals are present at all, either within the environment or within the organisms that live there. </w:t>
      </w:r>
    </w:p>
    <w:p w14:paraId="0C49D07E" w14:textId="77777777" w:rsidR="00E71596" w:rsidRPr="00964D25" w:rsidRDefault="00E71596" w:rsidP="00E71596">
      <w:pPr>
        <w:spacing w:line="480" w:lineRule="auto"/>
        <w:contextualSpacing/>
        <w:rPr>
          <w:rFonts w:ascii="Times New Roman" w:hAnsi="Times New Roman" w:cs="Times New Roman"/>
          <w:sz w:val="24"/>
          <w:szCs w:val="24"/>
        </w:rPr>
      </w:pPr>
      <w:r w:rsidRPr="00964D25">
        <w:rPr>
          <w:rFonts w:ascii="Times New Roman" w:hAnsi="Times New Roman" w:cs="Times New Roman"/>
          <w:sz w:val="24"/>
          <w:szCs w:val="24"/>
        </w:rPr>
        <w:tab/>
        <w:t>It is hypothesized that:</w:t>
      </w:r>
    </w:p>
    <w:p w14:paraId="06D01AB0" w14:textId="28B9B98B" w:rsidR="00E71596" w:rsidRPr="00964D25" w:rsidRDefault="00E71596" w:rsidP="00E71596">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964D25">
        <w:rPr>
          <w:rFonts w:ascii="Times New Roman" w:hAnsi="Times New Roman" w:cs="Times New Roman"/>
          <w:sz w:val="24"/>
          <w:szCs w:val="24"/>
        </w:rPr>
        <w:t xml:space="preserve">1).  There will be elevated heavy metal contamination present in the surface sediments at all of the experimental stations within the greater Puget Sound area.  There will likely be elevated concentrations of </w:t>
      </w:r>
      <w:r w:rsidRPr="00964D25">
        <w:rPr>
          <w:rFonts w:ascii="Times New Roman" w:eastAsiaTheme="minorEastAsia" w:hAnsi="Times New Roman" w:cs="Times New Roman"/>
          <w:sz w:val="24"/>
          <w:szCs w:val="24"/>
        </w:rPr>
        <w:t xml:space="preserve">copper and possibly zinc </w:t>
      </w:r>
      <w:r w:rsidRPr="00964D25">
        <w:rPr>
          <w:rFonts w:ascii="Times New Roman" w:hAnsi="Times New Roman" w:cs="Times New Roman"/>
          <w:sz w:val="24"/>
          <w:szCs w:val="24"/>
        </w:rPr>
        <w:t>at the fish farm site due to runoff from anti-fouling paint</w:t>
      </w:r>
      <w:r w:rsidRPr="00964D25">
        <w:rPr>
          <w:rFonts w:ascii="Times New Roman" w:eastAsiaTheme="minorEastAsia" w:hAnsi="Times New Roman" w:cs="Times New Roman"/>
          <w:sz w:val="24"/>
          <w:szCs w:val="24"/>
        </w:rPr>
        <w:t xml:space="preserve"> </w:t>
      </w:r>
      <w:r w:rsidRPr="00964D25">
        <w:rPr>
          <w:rFonts w:ascii="Times New Roman" w:hAnsi="Times New Roman" w:cs="Times New Roman"/>
          <w:sz w:val="24"/>
          <w:szCs w:val="24"/>
        </w:rPr>
        <w:t>(</w:t>
      </w:r>
      <w:r w:rsidRPr="00964D25">
        <w:rPr>
          <w:rFonts w:ascii="Times New Roman" w:eastAsiaTheme="minorEastAsia" w:hAnsi="Times New Roman" w:cs="Times New Roman"/>
          <w:sz w:val="24"/>
          <w:szCs w:val="24"/>
        </w:rPr>
        <w:t xml:space="preserve">Brooks and Mahnken 2003; Dean et al. 2007) </w:t>
      </w:r>
      <w:r w:rsidRPr="00964D25">
        <w:rPr>
          <w:rFonts w:ascii="Times New Roman" w:hAnsi="Times New Roman" w:cs="Times New Roman"/>
          <w:sz w:val="24"/>
          <w:szCs w:val="24"/>
        </w:rPr>
        <w:t>and of copper and arsenic</w:t>
      </w:r>
      <w:r w:rsidRPr="00964D25">
        <w:rPr>
          <w:rFonts w:ascii="Times New Roman" w:hAnsi="Times New Roman" w:cs="Times New Roman"/>
          <w:color w:val="0000FF"/>
          <w:sz w:val="24"/>
          <w:szCs w:val="24"/>
        </w:rPr>
        <w:t xml:space="preserve"> </w:t>
      </w:r>
      <w:r w:rsidRPr="00964D25">
        <w:rPr>
          <w:rFonts w:ascii="Times New Roman" w:hAnsi="Times New Roman" w:cs="Times New Roman"/>
          <w:sz w:val="24"/>
          <w:szCs w:val="24"/>
        </w:rPr>
        <w:t>at the historic metal mining sites from mining activities.</w:t>
      </w:r>
    </w:p>
    <w:p w14:paraId="73648769" w14:textId="10A8D8EC" w:rsidR="00B629D1" w:rsidRDefault="00E71596" w:rsidP="00411E55">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964D25">
        <w:rPr>
          <w:rFonts w:ascii="Times New Roman" w:hAnsi="Times New Roman" w:cs="Times New Roman"/>
          <w:sz w:val="24"/>
          <w:szCs w:val="24"/>
        </w:rPr>
        <w:t>2).  When these contaminants are detectable within the sediment, they will also be detectable within the benthic invertebrates and within the pelagic zooplankton.</w:t>
      </w:r>
    </w:p>
    <w:p w14:paraId="38969799" w14:textId="77777777" w:rsidR="00E71596" w:rsidRPr="00E71596" w:rsidRDefault="00E71596" w:rsidP="00411E55">
      <w:pPr>
        <w:spacing w:after="0" w:line="480" w:lineRule="auto"/>
        <w:rPr>
          <w:rFonts w:ascii="Times New Roman" w:hAnsi="Times New Roman" w:cs="Times New Roman"/>
          <w:sz w:val="24"/>
          <w:szCs w:val="24"/>
        </w:rPr>
      </w:pPr>
    </w:p>
    <w:p w14:paraId="5314846E" w14:textId="77777777" w:rsidR="00411E55" w:rsidRPr="002D00FF" w:rsidRDefault="00411E55" w:rsidP="00411E55">
      <w:pPr>
        <w:spacing w:after="0" w:line="480" w:lineRule="auto"/>
        <w:rPr>
          <w:rFonts w:ascii="Times New Roman" w:hAnsi="Times New Roman" w:cs="Times New Roman"/>
          <w:b/>
          <w:sz w:val="24"/>
          <w:szCs w:val="24"/>
          <w:u w:val="single"/>
        </w:rPr>
      </w:pPr>
      <w:r w:rsidRPr="002D00FF">
        <w:rPr>
          <w:rFonts w:ascii="Times New Roman" w:hAnsi="Times New Roman" w:cs="Times New Roman"/>
          <w:b/>
          <w:sz w:val="24"/>
          <w:szCs w:val="24"/>
          <w:u w:val="single"/>
        </w:rPr>
        <w:t>Methods</w:t>
      </w:r>
    </w:p>
    <w:p w14:paraId="55294E72" w14:textId="77777777" w:rsidR="00411E55" w:rsidRPr="000D15B4" w:rsidRDefault="00411E55" w:rsidP="00411E55">
      <w:pPr>
        <w:spacing w:after="0" w:line="480" w:lineRule="auto"/>
        <w:rPr>
          <w:rFonts w:ascii="Times New Roman" w:hAnsi="Times New Roman" w:cs="Times New Roman"/>
          <w:sz w:val="24"/>
          <w:szCs w:val="24"/>
          <w:u w:val="single"/>
        </w:rPr>
      </w:pPr>
      <w:r>
        <w:rPr>
          <w:rFonts w:ascii="Times New Roman" w:hAnsi="Times New Roman" w:cs="Times New Roman"/>
          <w:sz w:val="24"/>
          <w:szCs w:val="24"/>
          <w:u w:val="single"/>
        </w:rPr>
        <w:t>Sampling locations</w:t>
      </w:r>
    </w:p>
    <w:p w14:paraId="2CB34721" w14:textId="3C17B5B9" w:rsidR="00411E55" w:rsidRDefault="00411E55" w:rsidP="00411E55">
      <w:pPr>
        <w:spacing w:after="0" w:line="480" w:lineRule="auto"/>
        <w:rPr>
          <w:rFonts w:ascii="Times New Roman" w:hAnsi="Times New Roman" w:cs="Times New Roman"/>
          <w:sz w:val="24"/>
          <w:szCs w:val="24"/>
        </w:rPr>
      </w:pPr>
      <w:r>
        <w:rPr>
          <w:rFonts w:ascii="Times New Roman" w:hAnsi="Times New Roman" w:cs="Times New Roman"/>
          <w:sz w:val="24"/>
          <w:szCs w:val="24"/>
        </w:rPr>
        <w:tab/>
        <w:t>Three stations were sampled which were likely deposits f</w:t>
      </w:r>
      <w:r w:rsidR="00396725">
        <w:rPr>
          <w:rFonts w:ascii="Times New Roman" w:hAnsi="Times New Roman" w:cs="Times New Roman"/>
          <w:sz w:val="24"/>
          <w:szCs w:val="24"/>
        </w:rPr>
        <w:t>rom historic metal mines (Fig. 2</w:t>
      </w:r>
      <w:r>
        <w:rPr>
          <w:rFonts w:ascii="Times New Roman" w:hAnsi="Times New Roman" w:cs="Times New Roman"/>
          <w:sz w:val="24"/>
          <w:szCs w:val="24"/>
        </w:rPr>
        <w:t xml:space="preserve">.)  </w:t>
      </w:r>
      <w:r w:rsidRPr="007A1B57">
        <w:rPr>
          <w:rFonts w:ascii="Times New Roman" w:hAnsi="Times New Roman" w:cs="Times New Roman"/>
          <w:sz w:val="24"/>
          <w:szCs w:val="24"/>
        </w:rPr>
        <w:t>CB01 is located near a tributary that runs into Cowichan Bay, near the town of Duncan.  The tributary runs past three historic polymetallic mines, one of which was copper (Ministry of Energy, Mines, and Petroleu</w:t>
      </w:r>
      <w:r w:rsidR="00396725">
        <w:rPr>
          <w:rFonts w:ascii="Times New Roman" w:hAnsi="Times New Roman" w:cs="Times New Roman"/>
          <w:sz w:val="24"/>
          <w:szCs w:val="24"/>
        </w:rPr>
        <w:t>m Resources et al. 2003) (Fig. 2</w:t>
      </w:r>
      <w:r w:rsidRPr="007A1B57">
        <w:rPr>
          <w:rFonts w:ascii="Times New Roman" w:hAnsi="Times New Roman" w:cs="Times New Roman"/>
          <w:sz w:val="24"/>
          <w:szCs w:val="24"/>
        </w:rPr>
        <w:t>.)  SC01 is located between the towns of Chemainus to the north and Crofton to the south, and is near two tributaries that empty into the inlet (</w:t>
      </w:r>
      <w:r w:rsidR="00396725">
        <w:rPr>
          <w:rFonts w:ascii="Times New Roman" w:hAnsi="Times New Roman" w:cs="Times New Roman"/>
          <w:sz w:val="24"/>
          <w:szCs w:val="24"/>
        </w:rPr>
        <w:t>Fig. 2</w:t>
      </w:r>
      <w:r w:rsidRPr="007A1B57">
        <w:rPr>
          <w:rFonts w:ascii="Times New Roman" w:hAnsi="Times New Roman" w:cs="Times New Roman"/>
          <w:sz w:val="24"/>
          <w:szCs w:val="24"/>
        </w:rPr>
        <w:t>.)  Each of these tributaries run</w:t>
      </w:r>
      <w:r>
        <w:rPr>
          <w:rFonts w:ascii="Times New Roman" w:hAnsi="Times New Roman" w:cs="Times New Roman"/>
          <w:sz w:val="24"/>
          <w:szCs w:val="24"/>
        </w:rPr>
        <w:t>s</w:t>
      </w:r>
      <w:r w:rsidRPr="007A1B57">
        <w:rPr>
          <w:rFonts w:ascii="Times New Roman" w:hAnsi="Times New Roman" w:cs="Times New Roman"/>
          <w:sz w:val="24"/>
          <w:szCs w:val="24"/>
        </w:rPr>
        <w:t xml:space="preserve"> from four hist</w:t>
      </w:r>
      <w:r>
        <w:rPr>
          <w:rFonts w:ascii="Times New Roman" w:hAnsi="Times New Roman" w:cs="Times New Roman"/>
          <w:sz w:val="24"/>
          <w:szCs w:val="24"/>
        </w:rPr>
        <w:t>oric copper mines on Mt. Sicker,</w:t>
      </w:r>
      <w:r w:rsidRPr="007A1B57">
        <w:rPr>
          <w:rFonts w:ascii="Times New Roman" w:hAnsi="Times New Roman" w:cs="Times New Roman"/>
          <w:sz w:val="24"/>
          <w:szCs w:val="24"/>
        </w:rPr>
        <w:t xml:space="preserve"> all four of which were affiliated with the Lenora, Tyee, and Richard III mines</w:t>
      </w:r>
      <w:r>
        <w:rPr>
          <w:rFonts w:ascii="Times New Roman" w:hAnsi="Times New Roman" w:cs="Times New Roman"/>
          <w:sz w:val="24"/>
          <w:szCs w:val="24"/>
        </w:rPr>
        <w:t xml:space="preserve"> which were in operation between approximately 1898-1910, and then were amalgamated and operated again between 1942-1952</w:t>
      </w:r>
      <w:r w:rsidRPr="007A1B57">
        <w:rPr>
          <w:rFonts w:ascii="Times New Roman" w:hAnsi="Times New Roman" w:cs="Times New Roman"/>
          <w:sz w:val="24"/>
          <w:szCs w:val="24"/>
        </w:rPr>
        <w:t xml:space="preserve"> (Ministry of Energy, Mines, and Pe</w:t>
      </w:r>
      <w:r>
        <w:rPr>
          <w:rFonts w:ascii="Times New Roman" w:hAnsi="Times New Roman" w:cs="Times New Roman"/>
          <w:sz w:val="24"/>
          <w:szCs w:val="24"/>
        </w:rPr>
        <w:t xml:space="preserve">troleum Resources et al. 2003.)  Copper </w:t>
      </w:r>
      <w:r w:rsidRPr="007A1B57">
        <w:rPr>
          <w:rFonts w:ascii="Times New Roman" w:hAnsi="Times New Roman" w:cs="Times New Roman"/>
          <w:sz w:val="24"/>
          <w:szCs w:val="24"/>
        </w:rPr>
        <w:t>would be extracted from them on Mt. Sicker, and then would be sent to the Crofton smelter for processing (MINFILE Record Summary No 092B001, Ministry of Energy and Mines.)</w:t>
      </w:r>
      <w:r>
        <w:rPr>
          <w:rFonts w:ascii="Times New Roman" w:hAnsi="Times New Roman" w:cs="Times New Roman"/>
          <w:sz w:val="24"/>
          <w:szCs w:val="24"/>
        </w:rPr>
        <w:t xml:space="preserve">  PS01 is located at the mouth of the Snohomish River.  The Snohomish River watershed runs through the Cascades, and past many historic metal mining sites including the Kromona mine, the Zeta mine, and the Copper Belle mine (&lt;http://www.ghosttownsofwashington.com/&gt;;</w:t>
      </w:r>
      <w:r>
        <w:rPr>
          <w:rFonts w:eastAsia="Times New Roman" w:cs="Times New Roman"/>
        </w:rPr>
        <w:t xml:space="preserve"> </w:t>
      </w:r>
      <w:r>
        <w:rPr>
          <w:rFonts w:ascii="Times New Roman" w:hAnsi="Times New Roman" w:cs="Times New Roman"/>
          <w:sz w:val="24"/>
          <w:szCs w:val="24"/>
        </w:rPr>
        <w:t>accessed April 10, 2018.</w:t>
      </w:r>
      <w:r w:rsidRPr="00B0472E">
        <w:rPr>
          <w:rFonts w:ascii="Times New Roman" w:hAnsi="Times New Roman" w:cs="Times New Roman"/>
          <w:sz w:val="24"/>
          <w:szCs w:val="24"/>
        </w:rPr>
        <w:t>)</w:t>
      </w:r>
    </w:p>
    <w:p w14:paraId="74BC7D0D" w14:textId="39CD972B" w:rsidR="00411E55" w:rsidRPr="00066477" w:rsidRDefault="00411E55" w:rsidP="00411E55">
      <w:pPr>
        <w:spacing w:after="0" w:line="480" w:lineRule="auto"/>
        <w:rPr>
          <w:rFonts w:ascii="Times New Roman" w:eastAsia="Times New Roman" w:hAnsi="Times New Roman" w:cs="Times New Roman"/>
          <w:sz w:val="24"/>
          <w:szCs w:val="24"/>
        </w:rPr>
      </w:pPr>
      <w:r>
        <w:rPr>
          <w:rFonts w:ascii="Times New Roman" w:hAnsi="Times New Roman" w:cs="Times New Roman"/>
          <w:sz w:val="24"/>
          <w:szCs w:val="24"/>
        </w:rPr>
        <w:tab/>
        <w:t xml:space="preserve">One station was sampled which was near three fish farms owned by Cooke Aquaculture Pacific.  </w:t>
      </w:r>
      <w:r>
        <w:rPr>
          <w:rFonts w:ascii="Times New Roman" w:eastAsia="Times New Roman" w:hAnsi="Times New Roman" w:cs="Times New Roman"/>
          <w:sz w:val="24"/>
          <w:szCs w:val="24"/>
        </w:rPr>
        <w:t>RP01 is located off the southern end of Bainbridge Island, and is adjacent to one of the fish net pens owned by C</w:t>
      </w:r>
      <w:r w:rsidR="00396725">
        <w:rPr>
          <w:rFonts w:ascii="Times New Roman" w:eastAsia="Times New Roman" w:hAnsi="Times New Roman" w:cs="Times New Roman"/>
          <w:sz w:val="24"/>
          <w:szCs w:val="24"/>
        </w:rPr>
        <w:t>ooke Aquaculture Pacific (Fig. 2</w:t>
      </w:r>
      <w:r>
        <w:rPr>
          <w:rFonts w:ascii="Times New Roman" w:eastAsia="Times New Roman" w:hAnsi="Times New Roman" w:cs="Times New Roman"/>
          <w:sz w:val="24"/>
          <w:szCs w:val="24"/>
        </w:rPr>
        <w:t xml:space="preserve">.)  Two other net pens owned by the same company are in near proximity to the sampling site.  </w:t>
      </w:r>
    </w:p>
    <w:p w14:paraId="7E16412C" w14:textId="77777777" w:rsidR="00411E55" w:rsidRPr="007A1B57" w:rsidRDefault="00411E55" w:rsidP="00411E55">
      <w:pPr>
        <w:spacing w:after="0" w:line="480" w:lineRule="auto"/>
        <w:rPr>
          <w:rFonts w:ascii="Times New Roman" w:hAnsi="Times New Roman" w:cs="Times New Roman"/>
          <w:sz w:val="24"/>
          <w:szCs w:val="24"/>
          <w:u w:val="single"/>
        </w:rPr>
      </w:pPr>
      <w:r w:rsidRPr="007A1B57">
        <w:rPr>
          <w:rFonts w:ascii="Times New Roman" w:hAnsi="Times New Roman" w:cs="Times New Roman"/>
          <w:sz w:val="24"/>
          <w:szCs w:val="24"/>
          <w:u w:val="single"/>
        </w:rPr>
        <w:t>Field-sampling methods</w:t>
      </w:r>
    </w:p>
    <w:p w14:paraId="36CF3317" w14:textId="77777777" w:rsidR="00411E55" w:rsidRPr="007A1B57" w:rsidRDefault="00411E55" w:rsidP="00411E55">
      <w:pPr>
        <w:spacing w:after="0" w:line="480" w:lineRule="auto"/>
        <w:rPr>
          <w:rFonts w:ascii="Times New Roman" w:hAnsi="Times New Roman" w:cs="Times New Roman"/>
          <w:sz w:val="24"/>
          <w:szCs w:val="24"/>
        </w:rPr>
      </w:pPr>
      <w:r w:rsidRPr="007A1B57">
        <w:rPr>
          <w:rFonts w:ascii="Times New Roman" w:hAnsi="Times New Roman" w:cs="Times New Roman"/>
          <w:sz w:val="24"/>
          <w:szCs w:val="24"/>
        </w:rPr>
        <w:lastRenderedPageBreak/>
        <w:tab/>
        <w:t xml:space="preserve">A surface sediment sample at each location was collected using a Shipek Grab.  Once the collected sediment was on board the ship, ~5cm of the intact surface sediment was scooped up and stored in a Ziploc bag at 4°C onboard the ship.  The rest of the surface sediment sample was filtered through a 1mm mesh sieve (Aylagas et al. 2016), and any invertebrates that were living in the sediment were rinsed off with </w:t>
      </w:r>
      <w:r>
        <w:rPr>
          <w:rFonts w:ascii="Times New Roman" w:hAnsi="Times New Roman" w:cs="Times New Roman"/>
          <w:sz w:val="24"/>
          <w:szCs w:val="24"/>
        </w:rPr>
        <w:t>deionized (</w:t>
      </w:r>
      <w:r w:rsidRPr="007A1B57">
        <w:rPr>
          <w:rFonts w:ascii="Times New Roman" w:hAnsi="Times New Roman" w:cs="Times New Roman"/>
          <w:sz w:val="24"/>
          <w:szCs w:val="24"/>
        </w:rPr>
        <w:t>DI</w:t>
      </w:r>
      <w:r>
        <w:rPr>
          <w:rFonts w:ascii="Times New Roman" w:hAnsi="Times New Roman" w:cs="Times New Roman"/>
          <w:sz w:val="24"/>
          <w:szCs w:val="24"/>
        </w:rPr>
        <w:t>)</w:t>
      </w:r>
      <w:r w:rsidRPr="007A1B57">
        <w:rPr>
          <w:rFonts w:ascii="Times New Roman" w:hAnsi="Times New Roman" w:cs="Times New Roman"/>
          <w:sz w:val="24"/>
          <w:szCs w:val="24"/>
        </w:rPr>
        <w:t xml:space="preserve"> water and placed within an acid clean/trace-metal free bottle labeled with the sample stati</w:t>
      </w:r>
      <w:r>
        <w:rPr>
          <w:rFonts w:ascii="Times New Roman" w:hAnsi="Times New Roman" w:cs="Times New Roman"/>
          <w:sz w:val="24"/>
          <w:szCs w:val="24"/>
        </w:rPr>
        <w:t>on.  In the lab onboard</w:t>
      </w:r>
      <w:r w:rsidRPr="007A1B57">
        <w:rPr>
          <w:rFonts w:ascii="Times New Roman" w:hAnsi="Times New Roman" w:cs="Times New Roman"/>
          <w:sz w:val="24"/>
          <w:szCs w:val="24"/>
        </w:rPr>
        <w:t>, all invertebrates within this bottle were separated out by phylum,</w:t>
      </w:r>
      <w:r>
        <w:rPr>
          <w:rFonts w:ascii="Times New Roman" w:hAnsi="Times New Roman" w:cs="Times New Roman"/>
          <w:sz w:val="24"/>
          <w:szCs w:val="24"/>
        </w:rPr>
        <w:t xml:space="preserve"> re-rinsed with DI water, and stored in clean petri dishes</w:t>
      </w:r>
      <w:r w:rsidRPr="007A1B57">
        <w:rPr>
          <w:rFonts w:ascii="Times New Roman" w:hAnsi="Times New Roman" w:cs="Times New Roman"/>
          <w:sz w:val="24"/>
          <w:szCs w:val="24"/>
        </w:rPr>
        <w:t xml:space="preserve"> which were then fr</w:t>
      </w:r>
      <w:r>
        <w:rPr>
          <w:rFonts w:ascii="Times New Roman" w:hAnsi="Times New Roman" w:cs="Times New Roman"/>
          <w:sz w:val="24"/>
          <w:szCs w:val="24"/>
        </w:rPr>
        <w:t>ozen at -20°C onboard the ship, following the protocol of Kathy Newell (</w:t>
      </w:r>
      <w:r w:rsidRPr="007A1B57">
        <w:rPr>
          <w:rFonts w:ascii="Times New Roman" w:hAnsi="Times New Roman" w:cs="Times New Roman"/>
          <w:sz w:val="24"/>
          <w:szCs w:val="24"/>
        </w:rPr>
        <w:t xml:space="preserve">personal communication, November 29, 2017.) </w:t>
      </w:r>
    </w:p>
    <w:p w14:paraId="45E7C7CE" w14:textId="77777777" w:rsidR="00411E55" w:rsidRPr="007A1B57" w:rsidRDefault="00411E55" w:rsidP="00411E55">
      <w:pPr>
        <w:spacing w:line="480" w:lineRule="auto"/>
        <w:contextualSpacing/>
        <w:rPr>
          <w:rFonts w:ascii="Times New Roman" w:hAnsi="Times New Roman" w:cs="Times New Roman"/>
          <w:sz w:val="24"/>
          <w:szCs w:val="24"/>
        </w:rPr>
      </w:pPr>
      <w:r w:rsidRPr="007A1B57">
        <w:rPr>
          <w:rFonts w:ascii="Times New Roman" w:hAnsi="Times New Roman" w:cs="Times New Roman"/>
          <w:sz w:val="24"/>
          <w:szCs w:val="24"/>
        </w:rPr>
        <w:tab/>
        <w:t>Additionally, at each location, a zooplankton</w:t>
      </w:r>
      <w:r>
        <w:rPr>
          <w:rFonts w:ascii="Times New Roman" w:hAnsi="Times New Roman" w:cs="Times New Roman"/>
          <w:sz w:val="24"/>
          <w:szCs w:val="24"/>
        </w:rPr>
        <w:t xml:space="preserve"> vertical</w:t>
      </w:r>
      <w:r w:rsidRPr="007A1B57">
        <w:rPr>
          <w:rFonts w:ascii="Times New Roman" w:hAnsi="Times New Roman" w:cs="Times New Roman"/>
          <w:sz w:val="24"/>
          <w:szCs w:val="24"/>
        </w:rPr>
        <w:t xml:space="preserve"> net tow was</w:t>
      </w:r>
      <w:r>
        <w:rPr>
          <w:rFonts w:ascii="Times New Roman" w:hAnsi="Times New Roman" w:cs="Times New Roman"/>
          <w:sz w:val="24"/>
          <w:szCs w:val="24"/>
        </w:rPr>
        <w:t xml:space="preserve"> taken right above the sediments</w:t>
      </w:r>
      <w:r w:rsidRPr="007A1B57">
        <w:rPr>
          <w:rFonts w:ascii="Times New Roman" w:hAnsi="Times New Roman" w:cs="Times New Roman"/>
          <w:sz w:val="24"/>
          <w:szCs w:val="24"/>
        </w:rPr>
        <w:t xml:space="preserve">.  Once the net tow was taken, the contents of the cod-end </w:t>
      </w:r>
      <w:r>
        <w:rPr>
          <w:rFonts w:ascii="Times New Roman" w:hAnsi="Times New Roman" w:cs="Times New Roman"/>
          <w:sz w:val="24"/>
          <w:szCs w:val="24"/>
        </w:rPr>
        <w:t>were</w:t>
      </w:r>
      <w:r w:rsidRPr="007A1B57">
        <w:rPr>
          <w:rFonts w:ascii="Times New Roman" w:hAnsi="Times New Roman" w:cs="Times New Roman"/>
          <w:sz w:val="24"/>
          <w:szCs w:val="24"/>
        </w:rPr>
        <w:t xml:space="preserve"> filtered through a &gt;0.7μm filter in order to</w:t>
      </w:r>
      <w:r>
        <w:rPr>
          <w:rFonts w:ascii="Times New Roman" w:hAnsi="Times New Roman" w:cs="Times New Roman"/>
          <w:sz w:val="24"/>
          <w:szCs w:val="24"/>
        </w:rPr>
        <w:t xml:space="preserve"> separate the zooplankton </w:t>
      </w:r>
      <w:r w:rsidRPr="007A1B57">
        <w:rPr>
          <w:rFonts w:ascii="Times New Roman" w:hAnsi="Times New Roman" w:cs="Times New Roman"/>
          <w:sz w:val="24"/>
          <w:szCs w:val="24"/>
        </w:rPr>
        <w:t xml:space="preserve">from the seawater.  The zooplankton were then </w:t>
      </w:r>
      <w:r>
        <w:rPr>
          <w:rFonts w:ascii="Times New Roman" w:hAnsi="Times New Roman" w:cs="Times New Roman"/>
          <w:sz w:val="24"/>
          <w:szCs w:val="24"/>
        </w:rPr>
        <w:t>back-</w:t>
      </w:r>
      <w:r w:rsidRPr="007A1B57">
        <w:rPr>
          <w:rFonts w:ascii="Times New Roman" w:hAnsi="Times New Roman" w:cs="Times New Roman"/>
          <w:sz w:val="24"/>
          <w:szCs w:val="24"/>
        </w:rPr>
        <w:t xml:space="preserve">rinsed off of the filter with DI water into an acid clean/trace-metal free bottle labeled with the sample station, and </w:t>
      </w:r>
      <w:r>
        <w:rPr>
          <w:rFonts w:ascii="Times New Roman" w:hAnsi="Times New Roman" w:cs="Times New Roman"/>
          <w:sz w:val="24"/>
          <w:szCs w:val="24"/>
        </w:rPr>
        <w:t xml:space="preserve">were </w:t>
      </w:r>
      <w:r w:rsidRPr="007A1B57">
        <w:rPr>
          <w:rFonts w:ascii="Times New Roman" w:hAnsi="Times New Roman" w:cs="Times New Roman"/>
          <w:sz w:val="24"/>
          <w:szCs w:val="24"/>
        </w:rPr>
        <w:t xml:space="preserve">then frozen at -20°C onboard the ship (Ashley Maloney, personal communication, November 17, 2017.)  </w:t>
      </w:r>
    </w:p>
    <w:p w14:paraId="67E90A7E" w14:textId="77777777" w:rsidR="00411E55" w:rsidRPr="007A1B57" w:rsidRDefault="00411E55" w:rsidP="00411E55">
      <w:pPr>
        <w:spacing w:line="480" w:lineRule="auto"/>
        <w:contextualSpacing/>
        <w:rPr>
          <w:rFonts w:ascii="Times New Roman" w:hAnsi="Times New Roman" w:cs="Times New Roman"/>
          <w:sz w:val="24"/>
          <w:szCs w:val="24"/>
        </w:rPr>
      </w:pPr>
      <w:r w:rsidRPr="007A1B57">
        <w:rPr>
          <w:rFonts w:ascii="Times New Roman" w:hAnsi="Times New Roman" w:cs="Times New Roman"/>
          <w:sz w:val="24"/>
          <w:szCs w:val="24"/>
          <w:u w:val="single"/>
        </w:rPr>
        <w:t>Laboratory-sampling methods</w:t>
      </w:r>
    </w:p>
    <w:p w14:paraId="724469C0" w14:textId="3149CE14" w:rsidR="00411E55" w:rsidRPr="00D4359A" w:rsidRDefault="00411E55" w:rsidP="00411E55">
      <w:pPr>
        <w:widowControl w:val="0"/>
        <w:autoSpaceDE w:val="0"/>
        <w:autoSpaceDN w:val="0"/>
        <w:adjustRightInd w:val="0"/>
        <w:spacing w:after="240" w:line="480" w:lineRule="auto"/>
        <w:contextualSpacing/>
        <w:rPr>
          <w:rFonts w:ascii="Times New Roman" w:eastAsiaTheme="minorEastAsia" w:hAnsi="Times New Roman" w:cs="Times New Roman"/>
          <w:sz w:val="24"/>
          <w:szCs w:val="24"/>
        </w:rPr>
      </w:pPr>
      <w:r w:rsidRPr="007A1B57">
        <w:rPr>
          <w:rFonts w:ascii="Times New Roman" w:hAnsi="Times New Roman" w:cs="Times New Roman"/>
          <w:sz w:val="24"/>
          <w:szCs w:val="24"/>
        </w:rPr>
        <w:tab/>
        <w:t>A subset of the collected sediment sample from each station,</w:t>
      </w:r>
      <w:r w:rsidRPr="007A1B57">
        <w:rPr>
          <w:rFonts w:ascii="Times New Roman" w:hAnsi="Times New Roman" w:cs="Times New Roman"/>
          <w:color w:val="0000FF"/>
          <w:sz w:val="24"/>
          <w:szCs w:val="24"/>
        </w:rPr>
        <w:t xml:space="preserve"> </w:t>
      </w:r>
      <w:r w:rsidRPr="007A1B57">
        <w:rPr>
          <w:rFonts w:ascii="Times New Roman" w:hAnsi="Times New Roman" w:cs="Times New Roman"/>
          <w:sz w:val="24"/>
          <w:szCs w:val="24"/>
        </w:rPr>
        <w:t xml:space="preserve">as well as the invertebrate tissue samples, were freeze-dried at -40°C in Julian Sach’s laboratory.  Dry </w:t>
      </w:r>
      <w:r>
        <w:rPr>
          <w:rFonts w:ascii="Times New Roman" w:hAnsi="Times New Roman" w:cs="Times New Roman"/>
          <w:sz w:val="24"/>
          <w:szCs w:val="24"/>
        </w:rPr>
        <w:t>weights of the different phyla</w:t>
      </w:r>
      <w:r w:rsidRPr="007A1B57">
        <w:rPr>
          <w:rFonts w:ascii="Times New Roman" w:hAnsi="Times New Roman" w:cs="Times New Roman"/>
          <w:sz w:val="24"/>
          <w:szCs w:val="24"/>
        </w:rPr>
        <w:t xml:space="preserve"> of invertebrates were taken, and percent weights by phylum were calculated.  </w:t>
      </w:r>
      <w:r>
        <w:rPr>
          <w:rFonts w:ascii="Times New Roman" w:hAnsi="Times New Roman" w:cs="Times New Roman"/>
          <w:sz w:val="24"/>
          <w:szCs w:val="24"/>
        </w:rPr>
        <w:t>All phyla of invertebrate tissue were</w:t>
      </w:r>
      <w:r w:rsidRPr="007A1B57">
        <w:rPr>
          <w:rFonts w:ascii="Times New Roman" w:hAnsi="Times New Roman" w:cs="Times New Roman"/>
          <w:sz w:val="24"/>
          <w:szCs w:val="24"/>
        </w:rPr>
        <w:t xml:space="preserve"> then ground up with a</w:t>
      </w:r>
      <w:r w:rsidR="005E0FED">
        <w:rPr>
          <w:rFonts w:ascii="Times New Roman" w:hAnsi="Times New Roman" w:cs="Times New Roman"/>
          <w:sz w:val="24"/>
          <w:szCs w:val="24"/>
        </w:rPr>
        <w:t xml:space="preserve"> mortar and</w:t>
      </w:r>
      <w:r w:rsidRPr="007A1B57">
        <w:rPr>
          <w:rFonts w:ascii="Times New Roman" w:hAnsi="Times New Roman" w:cs="Times New Roman"/>
          <w:sz w:val="24"/>
          <w:szCs w:val="24"/>
        </w:rPr>
        <w:t xml:space="preserve"> pestle and placed into a</w:t>
      </w:r>
      <w:r>
        <w:rPr>
          <w:rFonts w:ascii="Times New Roman" w:hAnsi="Times New Roman" w:cs="Times New Roman"/>
          <w:sz w:val="24"/>
          <w:szCs w:val="24"/>
        </w:rPr>
        <w:t xml:space="preserve"> single</w:t>
      </w:r>
      <w:r w:rsidRPr="007A1B57">
        <w:rPr>
          <w:rFonts w:ascii="Times New Roman" w:hAnsi="Times New Roman" w:cs="Times New Roman"/>
          <w:sz w:val="24"/>
          <w:szCs w:val="24"/>
        </w:rPr>
        <w:t xml:space="preserve"> 15mL conical centrifuge tube.  The frozen zooplankton samples were thawed into a mortar, and then dried out in a 80°C drying oven overnight (Ashley Maloney, personal communication, November 17, 2017.)  Once dry, the zooplankton samples were ground up with a</w:t>
      </w:r>
      <w:r w:rsidR="000A2FFB">
        <w:rPr>
          <w:rFonts w:ascii="Times New Roman" w:hAnsi="Times New Roman" w:cs="Times New Roman"/>
          <w:sz w:val="24"/>
          <w:szCs w:val="24"/>
        </w:rPr>
        <w:t xml:space="preserve"> mortar and</w:t>
      </w:r>
      <w:r w:rsidRPr="007A1B57">
        <w:rPr>
          <w:rFonts w:ascii="Times New Roman" w:hAnsi="Times New Roman" w:cs="Times New Roman"/>
          <w:sz w:val="24"/>
          <w:szCs w:val="24"/>
        </w:rPr>
        <w:t xml:space="preserve"> </w:t>
      </w:r>
      <w:r w:rsidRPr="007A1B57">
        <w:rPr>
          <w:rFonts w:ascii="Times New Roman" w:hAnsi="Times New Roman" w:cs="Times New Roman"/>
          <w:sz w:val="24"/>
          <w:szCs w:val="24"/>
        </w:rPr>
        <w:lastRenderedPageBreak/>
        <w:t>pestle and placed into a 15mL conical centrifuge tube.  The freeze-dried sediment, the freeze-dried/ground-up invertebrate tissue samples, and the dried/ground-up zooplankton samples from each station were submitted to the School of Environmental and Forest Sciences (SEFS)</w:t>
      </w:r>
      <w:r w:rsidR="00A70105">
        <w:rPr>
          <w:rFonts w:ascii="Times New Roman" w:hAnsi="Times New Roman" w:cs="Times New Roman"/>
          <w:sz w:val="24"/>
          <w:szCs w:val="24"/>
        </w:rPr>
        <w:t xml:space="preserve"> S</w:t>
      </w:r>
      <w:r w:rsidR="005E0FED">
        <w:rPr>
          <w:rFonts w:ascii="Times New Roman" w:hAnsi="Times New Roman" w:cs="Times New Roman"/>
          <w:sz w:val="24"/>
          <w:szCs w:val="24"/>
        </w:rPr>
        <w:t>oil</w:t>
      </w:r>
      <w:r w:rsidR="00A70105">
        <w:rPr>
          <w:rFonts w:ascii="Times New Roman" w:hAnsi="Times New Roman" w:cs="Times New Roman"/>
          <w:sz w:val="24"/>
          <w:szCs w:val="24"/>
        </w:rPr>
        <w:t xml:space="preserve"> L</w:t>
      </w:r>
      <w:r w:rsidRPr="007A1B57">
        <w:rPr>
          <w:rFonts w:ascii="Times New Roman" w:hAnsi="Times New Roman" w:cs="Times New Roman"/>
          <w:sz w:val="24"/>
          <w:szCs w:val="24"/>
        </w:rPr>
        <w:t>ab for heavy metal analyses.  The samples were digested in acid in accordance with the EPA 3050B method (1996.)  The resulting digest solution was analyzed for 21 different metals (</w:t>
      </w:r>
      <w:r w:rsidRPr="007A1B57">
        <w:rPr>
          <w:rFonts w:ascii="Times New Roman" w:eastAsiaTheme="minorEastAsia" w:hAnsi="Times New Roman" w:cs="Times New Roman"/>
          <w:sz w:val="24"/>
          <w:szCs w:val="24"/>
        </w:rPr>
        <w:t xml:space="preserve">Al, As, B, Ba, Ca, Cd, Cr, Cu, Fe, K, Mg, </w:t>
      </w:r>
      <w:r>
        <w:rPr>
          <w:rFonts w:ascii="Times New Roman" w:eastAsiaTheme="minorEastAsia" w:hAnsi="Times New Roman" w:cs="Times New Roman"/>
          <w:sz w:val="24"/>
          <w:szCs w:val="24"/>
        </w:rPr>
        <w:t>Mn, Mo, Na, Ni, P, Pb, S, Se</w:t>
      </w:r>
      <w:r w:rsidRPr="007A1B57">
        <w:rPr>
          <w:rFonts w:ascii="Times New Roman" w:eastAsiaTheme="minorEastAsia" w:hAnsi="Times New Roman" w:cs="Times New Roman"/>
          <w:sz w:val="24"/>
          <w:szCs w:val="24"/>
        </w:rPr>
        <w:t>, Zn</w:t>
      </w:r>
      <w:r>
        <w:rPr>
          <w:rFonts w:ascii="Times New Roman" w:eastAsiaTheme="minorEastAsia" w:hAnsi="Times New Roman" w:cs="Times New Roman"/>
          <w:sz w:val="24"/>
          <w:szCs w:val="24"/>
        </w:rPr>
        <w:t>, Si, Ag</w:t>
      </w:r>
      <w:r w:rsidRPr="007A1B57">
        <w:rPr>
          <w:rFonts w:ascii="Times New Roman" w:eastAsiaTheme="minorEastAsia" w:hAnsi="Times New Roman" w:cs="Times New Roman"/>
          <w:sz w:val="24"/>
          <w:szCs w:val="24"/>
        </w:rPr>
        <w:t xml:space="preserve">) </w:t>
      </w:r>
      <w:r w:rsidRPr="007A1B57">
        <w:rPr>
          <w:rFonts w:ascii="Times New Roman" w:hAnsi="Times New Roman" w:cs="Times New Roman"/>
          <w:sz w:val="24"/>
          <w:szCs w:val="24"/>
        </w:rPr>
        <w:t xml:space="preserve">via </w:t>
      </w:r>
      <w:r w:rsidRPr="007A1B57">
        <w:rPr>
          <w:rFonts w:ascii="Times New Roman" w:eastAsiaTheme="minorEastAsia" w:hAnsi="Times New Roman" w:cs="Times New Roman"/>
          <w:sz w:val="24"/>
          <w:szCs w:val="24"/>
        </w:rPr>
        <w:t>inductively coupled plasma-atomic emission spectrometry (ICP-AES) in accordance wit</w:t>
      </w:r>
      <w:r w:rsidR="003037C1">
        <w:rPr>
          <w:rFonts w:ascii="Times New Roman" w:eastAsiaTheme="minorEastAsia" w:hAnsi="Times New Roman" w:cs="Times New Roman"/>
          <w:sz w:val="24"/>
          <w:szCs w:val="24"/>
        </w:rPr>
        <w:t xml:space="preserve">h the EPA 200.7 method (2001.)  </w:t>
      </w:r>
      <w:r w:rsidR="00D4359A">
        <w:rPr>
          <w:rFonts w:ascii="Times New Roman" w:eastAsiaTheme="minorEastAsia" w:hAnsi="Times New Roman" w:cs="Times New Roman"/>
          <w:sz w:val="24"/>
          <w:szCs w:val="24"/>
        </w:rPr>
        <w:t xml:space="preserve">The </w:t>
      </w:r>
      <w:r w:rsidR="00554A46">
        <w:rPr>
          <w:rFonts w:ascii="Times New Roman" w:eastAsiaTheme="minorEastAsia" w:hAnsi="Times New Roman" w:cs="Times New Roman"/>
          <w:sz w:val="24"/>
          <w:szCs w:val="24"/>
        </w:rPr>
        <w:t xml:space="preserve">measured </w:t>
      </w:r>
      <w:r w:rsidR="00D4359A">
        <w:rPr>
          <w:rFonts w:ascii="Times New Roman" w:eastAsiaTheme="minorEastAsia" w:hAnsi="Times New Roman" w:cs="Times New Roman"/>
          <w:sz w:val="24"/>
          <w:szCs w:val="24"/>
        </w:rPr>
        <w:t>c</w:t>
      </w:r>
      <w:r w:rsidR="00952F66">
        <w:rPr>
          <w:rFonts w:ascii="Times New Roman" w:eastAsiaTheme="minorEastAsia" w:hAnsi="Times New Roman" w:cs="Times New Roman"/>
          <w:sz w:val="24"/>
          <w:szCs w:val="24"/>
        </w:rPr>
        <w:t xml:space="preserve">oncentrations of </w:t>
      </w:r>
      <w:r w:rsidR="00D4359A">
        <w:rPr>
          <w:rFonts w:ascii="Times New Roman" w:eastAsiaTheme="minorEastAsia" w:hAnsi="Times New Roman" w:cs="Times New Roman"/>
          <w:sz w:val="24"/>
          <w:szCs w:val="24"/>
        </w:rPr>
        <w:t xml:space="preserve">each </w:t>
      </w:r>
      <w:r w:rsidR="00952F66">
        <w:rPr>
          <w:rFonts w:ascii="Times New Roman" w:eastAsiaTheme="minorEastAsia" w:hAnsi="Times New Roman" w:cs="Times New Roman"/>
          <w:sz w:val="24"/>
          <w:szCs w:val="24"/>
        </w:rPr>
        <w:t xml:space="preserve">metal were </w:t>
      </w:r>
      <w:r w:rsidR="00952F66" w:rsidRPr="002D222D">
        <w:rPr>
          <w:rFonts w:ascii="Times New Roman" w:eastAsiaTheme="minorEastAsia" w:hAnsi="Times New Roman" w:cs="Times New Roman"/>
          <w:sz w:val="24"/>
          <w:szCs w:val="24"/>
        </w:rPr>
        <w:t xml:space="preserve">reported in </w:t>
      </w:r>
      <w:r w:rsidR="00952F66" w:rsidRPr="002D222D">
        <w:rPr>
          <w:rFonts w:ascii="Times New Roman" w:hAnsi="Times New Roman" w:cs="Times New Roman"/>
          <w:color w:val="000000"/>
          <w:sz w:val="24"/>
          <w:szCs w:val="24"/>
        </w:rPr>
        <w:t>μg/g when these</w:t>
      </w:r>
      <w:r w:rsidR="00D4359A" w:rsidRPr="002D222D">
        <w:rPr>
          <w:rFonts w:ascii="Times New Roman" w:hAnsi="Times New Roman" w:cs="Times New Roman"/>
          <w:color w:val="000000"/>
          <w:sz w:val="24"/>
          <w:szCs w:val="24"/>
        </w:rPr>
        <w:t xml:space="preserve"> concentrations were above the</w:t>
      </w:r>
      <w:r w:rsidR="00554A46" w:rsidRPr="002D222D">
        <w:rPr>
          <w:rFonts w:ascii="Times New Roman" w:hAnsi="Times New Roman" w:cs="Times New Roman"/>
          <w:color w:val="000000"/>
          <w:sz w:val="24"/>
          <w:szCs w:val="24"/>
        </w:rPr>
        <w:t xml:space="preserve"> respective</w:t>
      </w:r>
      <w:r w:rsidR="00D4359A" w:rsidRPr="002D222D">
        <w:rPr>
          <w:rFonts w:ascii="Times New Roman" w:hAnsi="Times New Roman" w:cs="Times New Roman"/>
          <w:color w:val="000000"/>
          <w:sz w:val="24"/>
          <w:szCs w:val="24"/>
        </w:rPr>
        <w:t xml:space="preserve"> </w:t>
      </w:r>
      <w:r w:rsidR="00554A46" w:rsidRPr="002D222D">
        <w:rPr>
          <w:rFonts w:ascii="Times New Roman" w:hAnsi="Times New Roman" w:cs="Times New Roman"/>
          <w:color w:val="000000"/>
          <w:sz w:val="24"/>
          <w:szCs w:val="24"/>
        </w:rPr>
        <w:t>“</w:t>
      </w:r>
      <w:r w:rsidR="00D4359A" w:rsidRPr="002D222D">
        <w:rPr>
          <w:rFonts w:ascii="Times New Roman" w:hAnsi="Times New Roman" w:cs="Times New Roman"/>
          <w:color w:val="000000"/>
          <w:sz w:val="24"/>
          <w:szCs w:val="24"/>
        </w:rPr>
        <w:t>quantitative limit</w:t>
      </w:r>
      <w:r w:rsidR="00554A46" w:rsidRPr="002D222D">
        <w:rPr>
          <w:rFonts w:ascii="Times New Roman" w:hAnsi="Times New Roman" w:cs="Times New Roman"/>
          <w:color w:val="000000"/>
          <w:sz w:val="24"/>
          <w:szCs w:val="24"/>
        </w:rPr>
        <w:t>”</w:t>
      </w:r>
      <w:r w:rsidR="001E0BC3" w:rsidRPr="002D222D">
        <w:rPr>
          <w:rFonts w:ascii="Times New Roman" w:hAnsi="Times New Roman" w:cs="Times New Roman"/>
          <w:color w:val="000000"/>
          <w:sz w:val="24"/>
          <w:szCs w:val="24"/>
        </w:rPr>
        <w:t xml:space="preserve"> </w:t>
      </w:r>
      <w:r w:rsidR="00AF4FFD" w:rsidRPr="002D222D">
        <w:rPr>
          <w:rFonts w:ascii="Times New Roman" w:hAnsi="Times New Roman" w:cs="Times New Roman"/>
          <w:color w:val="000000"/>
          <w:sz w:val="24"/>
          <w:szCs w:val="24"/>
        </w:rPr>
        <w:t>(Table I</w:t>
      </w:r>
      <w:r w:rsidR="001E0BC3" w:rsidRPr="002D222D">
        <w:rPr>
          <w:rFonts w:ascii="Times New Roman" w:hAnsi="Times New Roman" w:cs="Times New Roman"/>
          <w:color w:val="000000"/>
          <w:sz w:val="24"/>
          <w:szCs w:val="24"/>
        </w:rPr>
        <w:t>.)</w:t>
      </w:r>
      <w:r w:rsidR="00952F66" w:rsidRPr="002D222D">
        <w:rPr>
          <w:rFonts w:ascii="Times New Roman" w:hAnsi="Times New Roman" w:cs="Times New Roman"/>
          <w:color w:val="000000"/>
          <w:sz w:val="24"/>
          <w:szCs w:val="24"/>
        </w:rPr>
        <w:t xml:space="preserve">  If the </w:t>
      </w:r>
      <w:r w:rsidR="00D4359A" w:rsidRPr="002D222D">
        <w:rPr>
          <w:rFonts w:ascii="Times New Roman" w:hAnsi="Times New Roman" w:cs="Times New Roman"/>
          <w:color w:val="000000"/>
          <w:sz w:val="24"/>
          <w:szCs w:val="24"/>
        </w:rPr>
        <w:t xml:space="preserve">measured </w:t>
      </w:r>
      <w:r w:rsidR="00952F66" w:rsidRPr="002D222D">
        <w:rPr>
          <w:rFonts w:ascii="Times New Roman" w:hAnsi="Times New Roman" w:cs="Times New Roman"/>
          <w:color w:val="000000"/>
          <w:sz w:val="24"/>
          <w:szCs w:val="24"/>
        </w:rPr>
        <w:t xml:space="preserve">concentration of </w:t>
      </w:r>
      <w:r w:rsidR="00D4359A" w:rsidRPr="002D222D">
        <w:rPr>
          <w:rFonts w:ascii="Times New Roman" w:hAnsi="Times New Roman" w:cs="Times New Roman"/>
          <w:color w:val="000000"/>
          <w:sz w:val="24"/>
          <w:szCs w:val="24"/>
        </w:rPr>
        <w:t xml:space="preserve">a </w:t>
      </w:r>
      <w:r w:rsidR="00952F66" w:rsidRPr="002D222D">
        <w:rPr>
          <w:rFonts w:ascii="Times New Roman" w:hAnsi="Times New Roman" w:cs="Times New Roman"/>
          <w:color w:val="000000"/>
          <w:sz w:val="24"/>
          <w:szCs w:val="24"/>
        </w:rPr>
        <w:t xml:space="preserve">metal fell below its respective </w:t>
      </w:r>
      <w:r w:rsidR="00554A46" w:rsidRPr="002D222D">
        <w:rPr>
          <w:rFonts w:ascii="Times New Roman" w:hAnsi="Times New Roman" w:cs="Times New Roman"/>
          <w:color w:val="000000"/>
          <w:sz w:val="24"/>
          <w:szCs w:val="24"/>
        </w:rPr>
        <w:t>“</w:t>
      </w:r>
      <w:r w:rsidR="00952F66" w:rsidRPr="002D222D">
        <w:rPr>
          <w:rFonts w:ascii="Times New Roman" w:hAnsi="Times New Roman" w:cs="Times New Roman"/>
          <w:color w:val="000000"/>
          <w:sz w:val="24"/>
          <w:szCs w:val="24"/>
        </w:rPr>
        <w:t>detection limit</w:t>
      </w:r>
      <w:r w:rsidR="00554A46" w:rsidRPr="002D222D">
        <w:rPr>
          <w:rFonts w:ascii="Times New Roman" w:hAnsi="Times New Roman" w:cs="Times New Roman"/>
          <w:color w:val="000000"/>
          <w:sz w:val="24"/>
          <w:szCs w:val="24"/>
        </w:rPr>
        <w:t>”</w:t>
      </w:r>
      <w:r w:rsidR="001E0BC3" w:rsidRPr="002D222D">
        <w:rPr>
          <w:rFonts w:ascii="Times New Roman" w:hAnsi="Times New Roman" w:cs="Times New Roman"/>
          <w:color w:val="000000"/>
          <w:sz w:val="24"/>
          <w:szCs w:val="24"/>
        </w:rPr>
        <w:t xml:space="preserve"> </w:t>
      </w:r>
      <w:r w:rsidR="00AF4FFD" w:rsidRPr="002D222D">
        <w:rPr>
          <w:rFonts w:ascii="Times New Roman" w:hAnsi="Times New Roman" w:cs="Times New Roman"/>
          <w:color w:val="000000"/>
          <w:sz w:val="24"/>
          <w:szCs w:val="24"/>
        </w:rPr>
        <w:t>(Table I</w:t>
      </w:r>
      <w:r w:rsidR="001E0BC3" w:rsidRPr="002D222D">
        <w:rPr>
          <w:rFonts w:ascii="Times New Roman" w:hAnsi="Times New Roman" w:cs="Times New Roman"/>
          <w:color w:val="000000"/>
          <w:sz w:val="24"/>
          <w:szCs w:val="24"/>
        </w:rPr>
        <w:t>),</w:t>
      </w:r>
      <w:r w:rsidR="00D4359A" w:rsidRPr="002D222D">
        <w:rPr>
          <w:rFonts w:ascii="Times New Roman" w:hAnsi="Times New Roman" w:cs="Times New Roman"/>
          <w:color w:val="000000"/>
          <w:sz w:val="24"/>
          <w:szCs w:val="24"/>
        </w:rPr>
        <w:t xml:space="preserve"> its concentration was reported as ND, or “none detected” </w:t>
      </w:r>
      <w:r w:rsidR="001E0BC3" w:rsidRPr="002D222D">
        <w:rPr>
          <w:rFonts w:ascii="Times New Roman" w:hAnsi="Times New Roman" w:cs="Times New Roman"/>
          <w:color w:val="000000"/>
          <w:sz w:val="24"/>
          <w:szCs w:val="24"/>
        </w:rPr>
        <w:t>(Table I</w:t>
      </w:r>
      <w:r w:rsidR="00AF4FFD" w:rsidRPr="002D222D">
        <w:rPr>
          <w:rFonts w:ascii="Times New Roman" w:hAnsi="Times New Roman" w:cs="Times New Roman"/>
          <w:color w:val="000000"/>
          <w:sz w:val="24"/>
          <w:szCs w:val="24"/>
        </w:rPr>
        <w:t>I</w:t>
      </w:r>
      <w:r w:rsidR="00D4359A" w:rsidRPr="002D222D">
        <w:rPr>
          <w:rFonts w:ascii="Times New Roman" w:hAnsi="Times New Roman" w:cs="Times New Roman"/>
          <w:color w:val="000000"/>
          <w:sz w:val="24"/>
          <w:szCs w:val="24"/>
        </w:rPr>
        <w:t xml:space="preserve">.)  If the measured concentration fell between the detection limit and the quantitative limit, its concentration was reported as TR, or “trace” </w:t>
      </w:r>
      <w:r w:rsidR="001E0BC3" w:rsidRPr="002D222D">
        <w:rPr>
          <w:rFonts w:ascii="Times New Roman" w:hAnsi="Times New Roman" w:cs="Times New Roman"/>
          <w:color w:val="000000"/>
          <w:sz w:val="24"/>
          <w:szCs w:val="24"/>
        </w:rPr>
        <w:t>(Table I</w:t>
      </w:r>
      <w:r w:rsidR="00AF4FFD" w:rsidRPr="002D222D">
        <w:rPr>
          <w:rFonts w:ascii="Times New Roman" w:hAnsi="Times New Roman" w:cs="Times New Roman"/>
          <w:color w:val="000000"/>
          <w:sz w:val="24"/>
          <w:szCs w:val="24"/>
        </w:rPr>
        <w:t>I</w:t>
      </w:r>
      <w:r w:rsidR="00D4359A" w:rsidRPr="002D222D">
        <w:rPr>
          <w:rFonts w:ascii="Times New Roman" w:hAnsi="Times New Roman" w:cs="Times New Roman"/>
          <w:color w:val="000000"/>
          <w:sz w:val="24"/>
          <w:szCs w:val="24"/>
        </w:rPr>
        <w:t>.)</w:t>
      </w:r>
      <w:r w:rsidR="00D4359A">
        <w:rPr>
          <w:rFonts w:ascii="Times New Roman" w:hAnsi="Times New Roman" w:cs="Times New Roman"/>
          <w:color w:val="000000"/>
          <w:sz w:val="24"/>
          <w:szCs w:val="24"/>
        </w:rPr>
        <w:t xml:space="preserve">  In addition to metal analyses, </w:t>
      </w:r>
      <w:r w:rsidRPr="007A1B57">
        <w:rPr>
          <w:rFonts w:ascii="Times New Roman" w:hAnsi="Times New Roman" w:cs="Times New Roman"/>
          <w:sz w:val="24"/>
          <w:szCs w:val="24"/>
        </w:rPr>
        <w:t>the SEFS</w:t>
      </w:r>
      <w:r w:rsidR="00A70105">
        <w:rPr>
          <w:rFonts w:ascii="Times New Roman" w:hAnsi="Times New Roman" w:cs="Times New Roman"/>
          <w:sz w:val="24"/>
          <w:szCs w:val="24"/>
        </w:rPr>
        <w:t xml:space="preserve"> Soil L</w:t>
      </w:r>
      <w:r w:rsidRPr="007A1B57">
        <w:rPr>
          <w:rFonts w:ascii="Times New Roman" w:hAnsi="Times New Roman" w:cs="Times New Roman"/>
          <w:sz w:val="24"/>
          <w:szCs w:val="24"/>
        </w:rPr>
        <w:t xml:space="preserve">ab measured total organic carbon within the biological samples (invertebrate tissue and zooplankton tissue) via CHN analysis in accordance with </w:t>
      </w:r>
      <w:r w:rsidRPr="007A1B57">
        <w:rPr>
          <w:rFonts w:ascii="Times New Roman" w:eastAsiaTheme="minorEastAsia" w:hAnsi="Times New Roman" w:cs="Times New Roman"/>
          <w:sz w:val="24"/>
          <w:szCs w:val="24"/>
        </w:rPr>
        <w:t>Method 29</w:t>
      </w:r>
      <w:r w:rsidRPr="007A1B57">
        <w:rPr>
          <w:rFonts w:ascii="Orator Std" w:eastAsiaTheme="minorEastAsia" w:hAnsi="Orator Std" w:cs="Orator Std"/>
          <w:sz w:val="24"/>
          <w:szCs w:val="24"/>
        </w:rPr>
        <w:t>‐</w:t>
      </w:r>
      <w:r w:rsidRPr="007A1B57">
        <w:rPr>
          <w:rFonts w:ascii="Times New Roman" w:eastAsiaTheme="minorEastAsia" w:hAnsi="Times New Roman" w:cs="Times New Roman"/>
          <w:sz w:val="24"/>
          <w:szCs w:val="24"/>
        </w:rPr>
        <w:t xml:space="preserve">2.2 (Page et al., 1982.)  </w:t>
      </w:r>
    </w:p>
    <w:p w14:paraId="78FC5520" w14:textId="3363B0CC" w:rsidR="00B00E75" w:rsidRDefault="00411E55" w:rsidP="00F6469A">
      <w:pPr>
        <w:widowControl w:val="0"/>
        <w:autoSpaceDE w:val="0"/>
        <w:autoSpaceDN w:val="0"/>
        <w:adjustRightInd w:val="0"/>
        <w:spacing w:after="240" w:line="480" w:lineRule="auto"/>
        <w:contextualSpacing/>
        <w:rPr>
          <w:rFonts w:ascii="Times New Roman" w:eastAsia="Times New Roman" w:hAnsi="Times New Roman" w:cs="Times New Roman"/>
          <w:sz w:val="24"/>
          <w:szCs w:val="24"/>
        </w:rPr>
      </w:pPr>
      <w:r w:rsidRPr="007A1B57">
        <w:rPr>
          <w:rFonts w:ascii="Times New Roman" w:hAnsi="Times New Roman" w:cs="Times New Roman"/>
          <w:color w:val="0000FF"/>
          <w:sz w:val="24"/>
          <w:szCs w:val="24"/>
        </w:rPr>
        <w:tab/>
      </w:r>
      <w:r w:rsidRPr="007A1B57">
        <w:rPr>
          <w:rFonts w:ascii="Times New Roman" w:hAnsi="Times New Roman" w:cs="Times New Roman"/>
          <w:sz w:val="24"/>
          <w:szCs w:val="24"/>
        </w:rPr>
        <w:t xml:space="preserve">A different subset of the collected sediment sample from each station was used for grain-size analysis.  The Sediment Dynamics Group’s LS 13 320 Laser Diffraction Particle-Size Analyzer, or Coulter Counter, was used to measure grain-size.  </w:t>
      </w:r>
      <w:r>
        <w:rPr>
          <w:rFonts w:ascii="Times New Roman" w:hAnsi="Times New Roman" w:cs="Times New Roman"/>
          <w:sz w:val="24"/>
          <w:szCs w:val="24"/>
        </w:rPr>
        <w:t>Approximately 2g of sediment were</w:t>
      </w:r>
      <w:r w:rsidRPr="007A1B57">
        <w:rPr>
          <w:rFonts w:ascii="Times New Roman" w:hAnsi="Times New Roman" w:cs="Times New Roman"/>
          <w:sz w:val="24"/>
          <w:szCs w:val="24"/>
        </w:rPr>
        <w:t xml:space="preserve"> filtered through a 2mm mesh sieve to remove larger sediment particles that could potentially clog the machine.</w:t>
      </w:r>
      <w:r>
        <w:rPr>
          <w:rFonts w:ascii="Times New Roman" w:hAnsi="Times New Roman" w:cs="Times New Roman"/>
          <w:sz w:val="24"/>
          <w:szCs w:val="24"/>
        </w:rPr>
        <w:t xml:space="preserve">  The filtered sample was then run in the machine, which</w:t>
      </w:r>
      <w:r w:rsidRPr="007A1B57">
        <w:rPr>
          <w:rFonts w:ascii="Times New Roman" w:hAnsi="Times New Roman" w:cs="Times New Roman"/>
          <w:sz w:val="24"/>
          <w:szCs w:val="24"/>
        </w:rPr>
        <w:t xml:space="preserve"> reported the sizes of all the grains in the sample by percent volume.  From these percent volumes, percent fractions for all the different sizes of sediment present in each sample were calculated.  Additionally, </w:t>
      </w:r>
      <w:r>
        <w:rPr>
          <w:rFonts w:ascii="Times New Roman" w:hAnsi="Times New Roman" w:cs="Times New Roman"/>
          <w:sz w:val="24"/>
          <w:szCs w:val="24"/>
        </w:rPr>
        <w:t xml:space="preserve">the instrument automatically calculated </w:t>
      </w:r>
      <w:r w:rsidRPr="007A1B57">
        <w:rPr>
          <w:rFonts w:ascii="Times New Roman" w:hAnsi="Times New Roman" w:cs="Times New Roman"/>
          <w:sz w:val="24"/>
          <w:szCs w:val="24"/>
        </w:rPr>
        <w:t>the median grain diameter (</w:t>
      </w:r>
      <w:r>
        <w:rPr>
          <w:rFonts w:ascii="Times New Roman" w:eastAsia="Times New Roman" w:hAnsi="Times New Roman" w:cs="Times New Roman"/>
          <w:sz w:val="24"/>
          <w:szCs w:val="24"/>
        </w:rPr>
        <w:t>D50.)</w:t>
      </w:r>
    </w:p>
    <w:p w14:paraId="355F0ABB" w14:textId="77777777" w:rsidR="00D549FA" w:rsidRPr="00F6469A" w:rsidRDefault="00D549FA" w:rsidP="00F6469A">
      <w:pPr>
        <w:widowControl w:val="0"/>
        <w:autoSpaceDE w:val="0"/>
        <w:autoSpaceDN w:val="0"/>
        <w:adjustRightInd w:val="0"/>
        <w:spacing w:after="240" w:line="480" w:lineRule="auto"/>
        <w:contextualSpacing/>
        <w:rPr>
          <w:rFonts w:ascii="Times New Roman" w:hAnsi="Times New Roman" w:cs="Times New Roman"/>
          <w:sz w:val="24"/>
          <w:szCs w:val="24"/>
        </w:rPr>
      </w:pPr>
    </w:p>
    <w:p w14:paraId="4F9454D2" w14:textId="77777777" w:rsidR="00DD5A6E" w:rsidRPr="00A87A02" w:rsidRDefault="00DD5A6E" w:rsidP="00DD5A6E">
      <w:pPr>
        <w:spacing w:after="0" w:line="480" w:lineRule="auto"/>
        <w:contextualSpacing/>
        <w:rPr>
          <w:rFonts w:ascii="Times New Roman" w:hAnsi="Times New Roman" w:cs="Times New Roman"/>
          <w:b/>
          <w:sz w:val="24"/>
          <w:szCs w:val="24"/>
          <w:u w:val="single"/>
        </w:rPr>
      </w:pPr>
      <w:r w:rsidRPr="00A87A02">
        <w:rPr>
          <w:rFonts w:ascii="Times New Roman" w:hAnsi="Times New Roman" w:cs="Times New Roman"/>
          <w:b/>
          <w:sz w:val="24"/>
          <w:szCs w:val="24"/>
          <w:u w:val="single"/>
        </w:rPr>
        <w:t>Results</w:t>
      </w:r>
    </w:p>
    <w:p w14:paraId="0886E1D2" w14:textId="77777777" w:rsidR="00DD5A6E" w:rsidRPr="0003504F" w:rsidRDefault="00DD5A6E" w:rsidP="00DD5A6E">
      <w:pPr>
        <w:spacing w:line="480" w:lineRule="auto"/>
        <w:contextualSpacing/>
        <w:jc w:val="both"/>
        <w:rPr>
          <w:rFonts w:ascii="Times New Roman" w:hAnsi="Times New Roman" w:cs="Times New Roman"/>
          <w:sz w:val="24"/>
          <w:szCs w:val="24"/>
          <w:u w:val="single"/>
        </w:rPr>
      </w:pPr>
      <w:r>
        <w:rPr>
          <w:rFonts w:ascii="Times New Roman" w:hAnsi="Times New Roman" w:cs="Times New Roman"/>
          <w:sz w:val="24"/>
          <w:szCs w:val="24"/>
          <w:u w:val="single"/>
        </w:rPr>
        <w:t>Enrichment of Metals</w:t>
      </w:r>
    </w:p>
    <w:p w14:paraId="3991ED7C" w14:textId="11DFF340" w:rsidR="00DD5A6E" w:rsidRDefault="00DD5A6E" w:rsidP="00DD5A6E">
      <w:pPr>
        <w:spacing w:line="480" w:lineRule="auto"/>
        <w:contextualSpacing/>
        <w:rPr>
          <w:rFonts w:ascii="Times New Roman" w:eastAsiaTheme="minorEastAsia" w:hAnsi="Times New Roman" w:cs="Times New Roman"/>
          <w:sz w:val="24"/>
          <w:szCs w:val="24"/>
        </w:rPr>
      </w:pPr>
      <w:r>
        <w:rPr>
          <w:rFonts w:ascii="Times New Roman" w:hAnsi="Times New Roman" w:cs="Times New Roman"/>
          <w:sz w:val="24"/>
          <w:szCs w:val="24"/>
        </w:rPr>
        <w:tab/>
      </w:r>
      <w:r w:rsidRPr="00D93232">
        <w:rPr>
          <w:rFonts w:ascii="Times New Roman" w:hAnsi="Times New Roman" w:cs="Times New Roman"/>
          <w:sz w:val="24"/>
          <w:szCs w:val="24"/>
        </w:rPr>
        <w:t>Concen</w:t>
      </w:r>
      <w:r>
        <w:rPr>
          <w:rFonts w:ascii="Times New Roman" w:hAnsi="Times New Roman" w:cs="Times New Roman"/>
          <w:sz w:val="24"/>
          <w:szCs w:val="24"/>
        </w:rPr>
        <w:t xml:space="preserve">trations of 22 different elements </w:t>
      </w:r>
      <w:r w:rsidRPr="00D93232">
        <w:rPr>
          <w:rFonts w:ascii="Times New Roman" w:hAnsi="Times New Roman" w:cs="Times New Roman"/>
          <w:sz w:val="24"/>
          <w:szCs w:val="24"/>
        </w:rPr>
        <w:t>(</w:t>
      </w:r>
      <w:r w:rsidRPr="00D93232">
        <w:rPr>
          <w:rFonts w:ascii="Times New Roman" w:eastAsiaTheme="minorEastAsia" w:hAnsi="Times New Roman" w:cs="Times New Roman"/>
          <w:sz w:val="24"/>
          <w:szCs w:val="24"/>
        </w:rPr>
        <w:t xml:space="preserve">Al, As, B, Ba, Ca, Cd, Cr, Cu, Fe, K, Mg, </w:t>
      </w:r>
      <w:r>
        <w:rPr>
          <w:rFonts w:ascii="Times New Roman" w:eastAsiaTheme="minorEastAsia" w:hAnsi="Times New Roman" w:cs="Times New Roman"/>
          <w:sz w:val="24"/>
          <w:szCs w:val="24"/>
        </w:rPr>
        <w:t>Mn, Mo, Na, Ni, P, Pb, S, Se</w:t>
      </w:r>
      <w:r w:rsidRPr="00D93232">
        <w:rPr>
          <w:rFonts w:ascii="Times New Roman" w:eastAsiaTheme="minorEastAsia" w:hAnsi="Times New Roman" w:cs="Times New Roman"/>
          <w:sz w:val="24"/>
          <w:szCs w:val="24"/>
        </w:rPr>
        <w:t>, Zn</w:t>
      </w:r>
      <w:r>
        <w:rPr>
          <w:rFonts w:ascii="Times New Roman" w:eastAsiaTheme="minorEastAsia" w:hAnsi="Times New Roman" w:cs="Times New Roman"/>
          <w:sz w:val="24"/>
          <w:szCs w:val="24"/>
        </w:rPr>
        <w:t>, Si, Ag</w:t>
      </w:r>
      <w:r w:rsidRPr="00D93232">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within both the surface sediments and in biological samples were reported by the School of Environmental and Forest Sciences (SEFS) Lab (Table I</w:t>
      </w:r>
      <w:r w:rsidR="00B66097">
        <w:rPr>
          <w:rFonts w:ascii="Times New Roman" w:eastAsiaTheme="minorEastAsia" w:hAnsi="Times New Roman" w:cs="Times New Roman"/>
          <w:sz w:val="24"/>
          <w:szCs w:val="24"/>
        </w:rPr>
        <w:t>I</w:t>
      </w:r>
      <w:r>
        <w:rPr>
          <w:rFonts w:ascii="Times New Roman" w:eastAsiaTheme="minorEastAsia" w:hAnsi="Times New Roman" w:cs="Times New Roman"/>
          <w:sz w:val="24"/>
          <w:szCs w:val="24"/>
        </w:rPr>
        <w:t>.)  Concentrations of each of these elements were then ratioed to the measured aluminum (Al) concentration, as Al is not affected by biological or diagenetic processes (Brumsack et al. 2006.)  These element/Al ratios were then compared to reference values in average shale in order to calculate any deviation from average shale composition (Brumsack et al. 2006; Pastorinho et al. 2012.)  Enrichment factors (EFs) were calculated from this ratio comparison using the following equation:</w:t>
      </w:r>
    </w:p>
    <w:p w14:paraId="2E5090BB" w14:textId="77777777" w:rsidR="00DD5A6E" w:rsidRPr="00757854" w:rsidRDefault="00DD5A6E" w:rsidP="00DD5A6E">
      <w:pPr>
        <w:widowControl w:val="0"/>
        <w:autoSpaceDE w:val="0"/>
        <w:autoSpaceDN w:val="0"/>
        <w:adjustRightInd w:val="0"/>
        <w:spacing w:after="240" w:line="480" w:lineRule="auto"/>
        <w:rPr>
          <w:rFonts w:ascii="Times" w:eastAsiaTheme="minorEastAsia" w:hAnsi="Times" w:cs="Times"/>
          <w:sz w:val="24"/>
          <w:szCs w:val="24"/>
        </w:rPr>
      </w:pPr>
      <w:r>
        <w:rPr>
          <w:rFonts w:ascii="Cambria Math" w:eastAsiaTheme="minorEastAsia" w:hAnsi="Cambria Math" w:cs="Cambria Math"/>
          <w:sz w:val="24"/>
          <w:szCs w:val="24"/>
        </w:rPr>
        <w:tab/>
      </w:r>
      <w:r w:rsidRPr="00F532BB">
        <w:rPr>
          <w:rFonts w:ascii="Cambria Math" w:eastAsiaTheme="minorEastAsia" w:hAnsi="Cambria Math" w:cs="Cambria Math"/>
          <w:sz w:val="24"/>
          <w:szCs w:val="24"/>
        </w:rPr>
        <w:t>𝐸𝐹 = (</w:t>
      </w:r>
      <w:r w:rsidRPr="00F532BB">
        <w:rPr>
          <w:rFonts w:ascii="Cambria Math" w:eastAsiaTheme="minorEastAsia" w:hAnsi="Cambria Math" w:cs="Cambria Math"/>
          <w:position w:val="2"/>
          <w:sz w:val="24"/>
          <w:szCs w:val="24"/>
        </w:rPr>
        <w:t>[</w:t>
      </w:r>
      <w:r w:rsidRPr="00F532BB">
        <w:rPr>
          <w:rFonts w:ascii="Cambria Math" w:eastAsiaTheme="minorEastAsia" w:hAnsi="Cambria Math" w:cs="Cambria Math"/>
          <w:sz w:val="24"/>
          <w:szCs w:val="24"/>
        </w:rPr>
        <w:t>𝑀𝑒𝑡𝑎𝑙</w:t>
      </w:r>
      <w:r w:rsidRPr="00F532BB">
        <w:rPr>
          <w:rFonts w:ascii="Cambria Math" w:eastAsiaTheme="minorEastAsia" w:hAnsi="Cambria Math" w:cs="Cambria Math"/>
          <w:position w:val="2"/>
          <w:sz w:val="24"/>
          <w:szCs w:val="24"/>
        </w:rPr>
        <w:t>]</w:t>
      </w:r>
      <w:r w:rsidRPr="00F532BB">
        <w:rPr>
          <w:rFonts w:ascii="Cambria Math" w:eastAsiaTheme="minorEastAsia" w:hAnsi="Cambria Math" w:cs="Cambria Math"/>
          <w:sz w:val="24"/>
          <w:szCs w:val="24"/>
        </w:rPr>
        <w:t>/𝐴𝑙)</w:t>
      </w:r>
      <w:r w:rsidRPr="00F532BB">
        <w:rPr>
          <w:rFonts w:ascii="Cambria Math" w:eastAsiaTheme="minorEastAsia" w:hAnsi="Cambria Math" w:cs="Cambria Math"/>
          <w:position w:val="-6"/>
          <w:sz w:val="24"/>
          <w:szCs w:val="24"/>
        </w:rPr>
        <w:t>𝑠𝑎𝑚𝑝𝑙𝑒</w:t>
      </w:r>
      <w:r w:rsidRPr="00F532BB">
        <w:rPr>
          <w:rFonts w:ascii="Cambria Math" w:eastAsiaTheme="minorEastAsia" w:hAnsi="Cambria Math" w:cs="Cambria Math"/>
          <w:sz w:val="24"/>
          <w:szCs w:val="24"/>
        </w:rPr>
        <w:t>/([𝑀𝑒𝑡𝑎𝑙]/𝐴𝑙)</w:t>
      </w:r>
      <w:r w:rsidRPr="00F532BB">
        <w:rPr>
          <w:rFonts w:ascii="Cambria Math" w:eastAsiaTheme="minorEastAsia" w:hAnsi="Cambria Math" w:cs="Cambria Math"/>
          <w:position w:val="-6"/>
          <w:sz w:val="24"/>
          <w:szCs w:val="24"/>
        </w:rPr>
        <w:t xml:space="preserve">𝑠h𝑎𝑙𝑒 </w:t>
      </w:r>
    </w:p>
    <w:p w14:paraId="63CD11E0" w14:textId="57839CF7" w:rsidR="00DD5A6E" w:rsidRPr="00D93232" w:rsidRDefault="00DD5A6E" w:rsidP="00DD5A6E">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The reference concentrations for average shale were taken from Turekian and Wedepohl (1961) and Brumsack et al. (2006.)  EFs were reported for both surface sediment samples and for biological samples (including zooplankton and </w:t>
      </w:r>
      <w:r w:rsidR="002C21FB">
        <w:rPr>
          <w:rFonts w:ascii="Times New Roman" w:hAnsi="Times New Roman" w:cs="Times New Roman"/>
          <w:sz w:val="24"/>
          <w:szCs w:val="24"/>
        </w:rPr>
        <w:t>invertebrates) (Table II</w:t>
      </w:r>
      <w:r w:rsidR="00B66097">
        <w:rPr>
          <w:rFonts w:ascii="Times New Roman" w:hAnsi="Times New Roman" w:cs="Times New Roman"/>
          <w:sz w:val="24"/>
          <w:szCs w:val="24"/>
        </w:rPr>
        <w:t>I</w:t>
      </w:r>
      <w:r w:rsidR="002C21FB">
        <w:rPr>
          <w:rFonts w:ascii="Times New Roman" w:hAnsi="Times New Roman" w:cs="Times New Roman"/>
          <w:sz w:val="24"/>
          <w:szCs w:val="24"/>
        </w:rPr>
        <w:t>, Fig. 3., Fig. 4</w:t>
      </w:r>
      <w:r>
        <w:rPr>
          <w:rFonts w:ascii="Times New Roman" w:hAnsi="Times New Roman" w:cs="Times New Roman"/>
          <w:sz w:val="24"/>
          <w:szCs w:val="24"/>
        </w:rPr>
        <w:t xml:space="preserve">.)     </w:t>
      </w:r>
    </w:p>
    <w:p w14:paraId="4D33A434" w14:textId="189D62BA" w:rsidR="00DD5A6E" w:rsidRDefault="00DD5A6E" w:rsidP="00DD5A6E">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In the surface sediments, all elements were enriched compared to reference values-with an EF above 1- except for Ba (depleted) and Cd, Pb, and Ag (all either ND or TR raw concentrations.) (Table I</w:t>
      </w:r>
      <w:r w:rsidR="00B66097">
        <w:rPr>
          <w:rFonts w:ascii="Times New Roman" w:hAnsi="Times New Roman" w:cs="Times New Roman"/>
          <w:sz w:val="24"/>
          <w:szCs w:val="24"/>
        </w:rPr>
        <w:t>I</w:t>
      </w:r>
      <w:r>
        <w:rPr>
          <w:rFonts w:ascii="Times New Roman" w:hAnsi="Times New Roman" w:cs="Times New Roman"/>
          <w:sz w:val="24"/>
          <w:szCs w:val="24"/>
        </w:rPr>
        <w:t>, Table I</w:t>
      </w:r>
      <w:r w:rsidR="00B66097">
        <w:rPr>
          <w:rFonts w:ascii="Times New Roman" w:hAnsi="Times New Roman" w:cs="Times New Roman"/>
          <w:sz w:val="24"/>
          <w:szCs w:val="24"/>
        </w:rPr>
        <w:t>I</w:t>
      </w:r>
      <w:r>
        <w:rPr>
          <w:rFonts w:ascii="Times New Roman" w:hAnsi="Times New Roman" w:cs="Times New Roman"/>
          <w:sz w:val="24"/>
          <w:szCs w:val="24"/>
        </w:rPr>
        <w:t>I.)  For the subset of nine heavy metals investigated in Table II, seven of these metals, excepting Pb and Ag, showed enrichment factors within the surface sediments at stations CB01 and SC01, with higher values for S</w:t>
      </w:r>
      <w:r w:rsidR="002C21FB">
        <w:rPr>
          <w:rFonts w:ascii="Times New Roman" w:hAnsi="Times New Roman" w:cs="Times New Roman"/>
          <w:sz w:val="24"/>
          <w:szCs w:val="24"/>
        </w:rPr>
        <w:t>e, Mo, and As (Fig. 3</w:t>
      </w:r>
      <w:r>
        <w:rPr>
          <w:rFonts w:ascii="Times New Roman" w:hAnsi="Times New Roman" w:cs="Times New Roman"/>
          <w:sz w:val="24"/>
          <w:szCs w:val="24"/>
        </w:rPr>
        <w:t>.)  At station PS01, only Ni and Se were enriched, while at station RP</w:t>
      </w:r>
      <w:r w:rsidR="002C21FB">
        <w:rPr>
          <w:rFonts w:ascii="Times New Roman" w:hAnsi="Times New Roman" w:cs="Times New Roman"/>
          <w:sz w:val="24"/>
          <w:szCs w:val="24"/>
        </w:rPr>
        <w:t>01, only Se was enriched (Fig. 3</w:t>
      </w:r>
      <w:r>
        <w:rPr>
          <w:rFonts w:ascii="Times New Roman" w:hAnsi="Times New Roman" w:cs="Times New Roman"/>
          <w:sz w:val="24"/>
          <w:szCs w:val="24"/>
        </w:rPr>
        <w:t xml:space="preserve">.)  Se </w:t>
      </w:r>
      <w:r>
        <w:rPr>
          <w:rFonts w:ascii="Times New Roman" w:hAnsi="Times New Roman" w:cs="Times New Roman"/>
          <w:sz w:val="24"/>
          <w:szCs w:val="24"/>
        </w:rPr>
        <w:lastRenderedPageBreak/>
        <w:t>showed a much higher enrichment within the surface sediments than all of the other metal</w:t>
      </w:r>
      <w:r w:rsidR="002C21FB">
        <w:rPr>
          <w:rFonts w:ascii="Times New Roman" w:hAnsi="Times New Roman" w:cs="Times New Roman"/>
          <w:sz w:val="24"/>
          <w:szCs w:val="24"/>
        </w:rPr>
        <w:t xml:space="preserve">s investigated (Table </w:t>
      </w:r>
      <w:r w:rsidR="00B66097">
        <w:rPr>
          <w:rFonts w:ascii="Times New Roman" w:hAnsi="Times New Roman" w:cs="Times New Roman"/>
          <w:sz w:val="24"/>
          <w:szCs w:val="24"/>
        </w:rPr>
        <w:t>I</w:t>
      </w:r>
      <w:r w:rsidR="002C21FB">
        <w:rPr>
          <w:rFonts w:ascii="Times New Roman" w:hAnsi="Times New Roman" w:cs="Times New Roman"/>
          <w:sz w:val="24"/>
          <w:szCs w:val="24"/>
        </w:rPr>
        <w:t>II, Fig. 3</w:t>
      </w:r>
      <w:r>
        <w:rPr>
          <w:rFonts w:ascii="Times New Roman" w:hAnsi="Times New Roman" w:cs="Times New Roman"/>
          <w:sz w:val="24"/>
          <w:szCs w:val="24"/>
        </w:rPr>
        <w:t xml:space="preserve">.)  </w:t>
      </w:r>
    </w:p>
    <w:p w14:paraId="512F32F6" w14:textId="2F2EDE53" w:rsidR="00DD5A6E" w:rsidRDefault="00DD5A6E" w:rsidP="00DD5A6E">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In the biota, all elements investigated in Table II</w:t>
      </w:r>
      <w:r w:rsidR="00B66097">
        <w:rPr>
          <w:rFonts w:ascii="Times New Roman" w:hAnsi="Times New Roman" w:cs="Times New Roman"/>
          <w:sz w:val="24"/>
          <w:szCs w:val="24"/>
        </w:rPr>
        <w:t>I</w:t>
      </w:r>
      <w:r>
        <w:rPr>
          <w:rFonts w:ascii="Times New Roman" w:hAnsi="Times New Roman" w:cs="Times New Roman"/>
          <w:sz w:val="24"/>
          <w:szCs w:val="24"/>
        </w:rPr>
        <w:t xml:space="preserve"> showed enrichment a</w:t>
      </w:r>
      <w:r w:rsidR="00812551">
        <w:rPr>
          <w:rFonts w:ascii="Times New Roman" w:hAnsi="Times New Roman" w:cs="Times New Roman"/>
          <w:sz w:val="24"/>
          <w:szCs w:val="24"/>
        </w:rPr>
        <w:t>t stations CB01 and SCO1 (Fig. 4</w:t>
      </w:r>
      <w:r>
        <w:rPr>
          <w:rFonts w:ascii="Times New Roman" w:hAnsi="Times New Roman" w:cs="Times New Roman"/>
          <w:sz w:val="24"/>
          <w:szCs w:val="24"/>
        </w:rPr>
        <w:t>) about one order of magnitude higher than the enrichment within the surface sediments, with Se, Ag, As, and Mo showing the highest enrichment (Table I</w:t>
      </w:r>
      <w:r w:rsidR="00B66097">
        <w:rPr>
          <w:rFonts w:ascii="Times New Roman" w:hAnsi="Times New Roman" w:cs="Times New Roman"/>
          <w:sz w:val="24"/>
          <w:szCs w:val="24"/>
        </w:rPr>
        <w:t>I</w:t>
      </w:r>
      <w:r>
        <w:rPr>
          <w:rFonts w:ascii="Times New Roman" w:hAnsi="Times New Roman" w:cs="Times New Roman"/>
          <w:sz w:val="24"/>
          <w:szCs w:val="24"/>
        </w:rPr>
        <w:t>I.)  At stations PS01 and RP01, the nine heavy metals listed in Table I</w:t>
      </w:r>
      <w:r w:rsidR="00B66097">
        <w:rPr>
          <w:rFonts w:ascii="Times New Roman" w:hAnsi="Times New Roman" w:cs="Times New Roman"/>
          <w:sz w:val="24"/>
          <w:szCs w:val="24"/>
        </w:rPr>
        <w:t>I</w:t>
      </w:r>
      <w:r>
        <w:rPr>
          <w:rFonts w:ascii="Times New Roman" w:hAnsi="Times New Roman" w:cs="Times New Roman"/>
          <w:sz w:val="24"/>
          <w:szCs w:val="24"/>
        </w:rPr>
        <w:t>I were either not detected within the biota (ND), or were only detected in trace amounts (TR), so no enrichment factors could be calculated for the metals at these two stations (Table I</w:t>
      </w:r>
      <w:r w:rsidR="00B66097">
        <w:rPr>
          <w:rFonts w:ascii="Times New Roman" w:hAnsi="Times New Roman" w:cs="Times New Roman"/>
          <w:sz w:val="24"/>
          <w:szCs w:val="24"/>
        </w:rPr>
        <w:t>I</w:t>
      </w:r>
      <w:r>
        <w:rPr>
          <w:rFonts w:ascii="Times New Roman" w:hAnsi="Times New Roman" w:cs="Times New Roman"/>
          <w:sz w:val="24"/>
          <w:szCs w:val="24"/>
        </w:rPr>
        <w:t>, Table I</w:t>
      </w:r>
      <w:r w:rsidR="00B66097">
        <w:rPr>
          <w:rFonts w:ascii="Times New Roman" w:hAnsi="Times New Roman" w:cs="Times New Roman"/>
          <w:sz w:val="24"/>
          <w:szCs w:val="24"/>
        </w:rPr>
        <w:t>I</w:t>
      </w:r>
      <w:r>
        <w:rPr>
          <w:rFonts w:ascii="Times New Roman" w:hAnsi="Times New Roman" w:cs="Times New Roman"/>
          <w:sz w:val="24"/>
          <w:szCs w:val="24"/>
        </w:rPr>
        <w:t>I.)  Although no Ag was detected within the surface sediments at any station (Table I</w:t>
      </w:r>
      <w:r w:rsidR="00B66097">
        <w:rPr>
          <w:rFonts w:ascii="Times New Roman" w:hAnsi="Times New Roman" w:cs="Times New Roman"/>
          <w:sz w:val="24"/>
          <w:szCs w:val="24"/>
        </w:rPr>
        <w:t>I</w:t>
      </w:r>
      <w:r>
        <w:rPr>
          <w:rFonts w:ascii="Times New Roman" w:hAnsi="Times New Roman" w:cs="Times New Roman"/>
          <w:sz w:val="24"/>
          <w:szCs w:val="24"/>
        </w:rPr>
        <w:t>, Table I</w:t>
      </w:r>
      <w:r w:rsidR="00B66097">
        <w:rPr>
          <w:rFonts w:ascii="Times New Roman" w:hAnsi="Times New Roman" w:cs="Times New Roman"/>
          <w:sz w:val="24"/>
          <w:szCs w:val="24"/>
        </w:rPr>
        <w:t>I</w:t>
      </w:r>
      <w:r>
        <w:rPr>
          <w:rFonts w:ascii="Times New Roman" w:hAnsi="Times New Roman" w:cs="Times New Roman"/>
          <w:sz w:val="24"/>
          <w:szCs w:val="24"/>
        </w:rPr>
        <w:t>I), it was highly enriched within the benthic invertebrates a</w:t>
      </w:r>
      <w:r w:rsidR="00812551">
        <w:rPr>
          <w:rFonts w:ascii="Times New Roman" w:hAnsi="Times New Roman" w:cs="Times New Roman"/>
          <w:sz w:val="24"/>
          <w:szCs w:val="24"/>
        </w:rPr>
        <w:t>t stations CB01 and SC01 (Fig. 4</w:t>
      </w:r>
      <w:r>
        <w:rPr>
          <w:rFonts w:ascii="Times New Roman" w:hAnsi="Times New Roman" w:cs="Times New Roman"/>
          <w:sz w:val="24"/>
          <w:szCs w:val="24"/>
        </w:rPr>
        <w:t>), and was present in trace amounts within the benthic invertebrates at station PS01 (Table I</w:t>
      </w:r>
      <w:r w:rsidR="00B66097">
        <w:rPr>
          <w:rFonts w:ascii="Times New Roman" w:hAnsi="Times New Roman" w:cs="Times New Roman"/>
          <w:sz w:val="24"/>
          <w:szCs w:val="24"/>
        </w:rPr>
        <w:t>I</w:t>
      </w:r>
      <w:r>
        <w:rPr>
          <w:rFonts w:ascii="Times New Roman" w:hAnsi="Times New Roman" w:cs="Times New Roman"/>
          <w:sz w:val="24"/>
          <w:szCs w:val="24"/>
        </w:rPr>
        <w:t>, Table I</w:t>
      </w:r>
      <w:r w:rsidR="00B66097">
        <w:rPr>
          <w:rFonts w:ascii="Times New Roman" w:hAnsi="Times New Roman" w:cs="Times New Roman"/>
          <w:sz w:val="24"/>
          <w:szCs w:val="24"/>
        </w:rPr>
        <w:t>I</w:t>
      </w:r>
      <w:r>
        <w:rPr>
          <w:rFonts w:ascii="Times New Roman" w:hAnsi="Times New Roman" w:cs="Times New Roman"/>
          <w:sz w:val="24"/>
          <w:szCs w:val="24"/>
        </w:rPr>
        <w:t>I.)</w:t>
      </w:r>
    </w:p>
    <w:p w14:paraId="1AC2D991" w14:textId="720FECD9" w:rsidR="00DD5A6E" w:rsidRDefault="00DD5A6E" w:rsidP="00DD5A6E">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Only the zooplankton sample from station CB01 (CB01-Z) was submitted for metal analysis, as the zooplankton samples from the other stations did not have a large enough volume to analyze.  Eight of the nine heavy metals listed in Table I</w:t>
      </w:r>
      <w:r w:rsidR="00285FC9">
        <w:rPr>
          <w:rFonts w:ascii="Times New Roman" w:hAnsi="Times New Roman" w:cs="Times New Roman"/>
          <w:sz w:val="24"/>
          <w:szCs w:val="24"/>
        </w:rPr>
        <w:t>I</w:t>
      </w:r>
      <w:r>
        <w:rPr>
          <w:rFonts w:ascii="Times New Roman" w:hAnsi="Times New Roman" w:cs="Times New Roman"/>
          <w:sz w:val="24"/>
          <w:szCs w:val="24"/>
        </w:rPr>
        <w:t>I were found within the z</w:t>
      </w:r>
      <w:r w:rsidR="00812551">
        <w:rPr>
          <w:rFonts w:ascii="Times New Roman" w:hAnsi="Times New Roman" w:cs="Times New Roman"/>
          <w:sz w:val="24"/>
          <w:szCs w:val="24"/>
        </w:rPr>
        <w:t>ooplankton, excluding Ag (Fig. 4</w:t>
      </w:r>
      <w:r>
        <w:rPr>
          <w:rFonts w:ascii="Times New Roman" w:hAnsi="Times New Roman" w:cs="Times New Roman"/>
          <w:sz w:val="24"/>
          <w:szCs w:val="24"/>
        </w:rPr>
        <w:t>.)  These metals were more enriched in the pelagic zooplankton than they were in t</w:t>
      </w:r>
      <w:r w:rsidR="00812551">
        <w:rPr>
          <w:rFonts w:ascii="Times New Roman" w:hAnsi="Times New Roman" w:cs="Times New Roman"/>
          <w:sz w:val="24"/>
          <w:szCs w:val="24"/>
        </w:rPr>
        <w:t>he benthic invertebrates (Fig. 4</w:t>
      </w:r>
      <w:r>
        <w:rPr>
          <w:rFonts w:ascii="Times New Roman" w:hAnsi="Times New Roman" w:cs="Times New Roman"/>
          <w:sz w:val="24"/>
          <w:szCs w:val="24"/>
        </w:rPr>
        <w:t>.)</w:t>
      </w:r>
    </w:p>
    <w:p w14:paraId="40214D1E" w14:textId="0025A3EA" w:rsidR="00DD5A6E" w:rsidRPr="00D93232" w:rsidRDefault="00DD5A6E" w:rsidP="00DD5A6E">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Concentration of metals within the biota were standardized to the amount of organic carbon within the r</w:t>
      </w:r>
      <w:r w:rsidR="00812551">
        <w:rPr>
          <w:rFonts w:ascii="Times New Roman" w:hAnsi="Times New Roman" w:cs="Times New Roman"/>
          <w:sz w:val="24"/>
          <w:szCs w:val="24"/>
        </w:rPr>
        <w:t>espective biotic samples (Fig. 5</w:t>
      </w:r>
      <w:r>
        <w:rPr>
          <w:rFonts w:ascii="Times New Roman" w:hAnsi="Times New Roman" w:cs="Times New Roman"/>
          <w:sz w:val="24"/>
          <w:szCs w:val="24"/>
        </w:rPr>
        <w:t>.)  With this standardization, relative trends between the n</w:t>
      </w:r>
      <w:r w:rsidR="00812551">
        <w:rPr>
          <w:rFonts w:ascii="Times New Roman" w:hAnsi="Times New Roman" w:cs="Times New Roman"/>
          <w:sz w:val="24"/>
          <w:szCs w:val="24"/>
        </w:rPr>
        <w:t>ine heavy metals changed (Fig. 4, Fig. 5</w:t>
      </w:r>
      <w:r>
        <w:rPr>
          <w:rFonts w:ascii="Times New Roman" w:hAnsi="Times New Roman" w:cs="Times New Roman"/>
          <w:sz w:val="24"/>
          <w:szCs w:val="24"/>
        </w:rPr>
        <w:t>.)  Se, As, and Zn have some of the highest concentrations per gram of organic carbon as compared with the other six metals, although Se dropped more in the line with the rest of the elemen</w:t>
      </w:r>
      <w:r w:rsidR="00812551">
        <w:rPr>
          <w:rFonts w:ascii="Times New Roman" w:hAnsi="Times New Roman" w:cs="Times New Roman"/>
          <w:sz w:val="24"/>
          <w:szCs w:val="24"/>
        </w:rPr>
        <w:t>ts after standardization (Fig. 4, Fig. 5</w:t>
      </w:r>
      <w:r>
        <w:rPr>
          <w:rFonts w:ascii="Times New Roman" w:hAnsi="Times New Roman" w:cs="Times New Roman"/>
          <w:sz w:val="24"/>
          <w:szCs w:val="24"/>
        </w:rPr>
        <w:t>.)  Ag and Mo have the lowest concentrations per gram of organic carbon as compared with the other seven</w:t>
      </w:r>
      <w:r w:rsidR="00812551">
        <w:rPr>
          <w:rFonts w:ascii="Times New Roman" w:hAnsi="Times New Roman" w:cs="Times New Roman"/>
          <w:sz w:val="24"/>
          <w:szCs w:val="24"/>
        </w:rPr>
        <w:t xml:space="preserve"> metals (Fig. 5</w:t>
      </w:r>
      <w:r>
        <w:rPr>
          <w:rFonts w:ascii="Times New Roman" w:hAnsi="Times New Roman" w:cs="Times New Roman"/>
          <w:sz w:val="24"/>
          <w:szCs w:val="24"/>
        </w:rPr>
        <w:t xml:space="preserve">.)  In addition, Zn and Cu concentrations per gram of organic carbon are </w:t>
      </w:r>
      <w:r>
        <w:rPr>
          <w:rFonts w:ascii="Times New Roman" w:hAnsi="Times New Roman" w:cs="Times New Roman"/>
          <w:sz w:val="24"/>
          <w:szCs w:val="24"/>
        </w:rPr>
        <w:lastRenderedPageBreak/>
        <w:t>higher than all the rest of the standardizations, and are higher than all the other m</w:t>
      </w:r>
      <w:r w:rsidR="00812551">
        <w:rPr>
          <w:rFonts w:ascii="Times New Roman" w:hAnsi="Times New Roman" w:cs="Times New Roman"/>
          <w:sz w:val="24"/>
          <w:szCs w:val="24"/>
        </w:rPr>
        <w:t>etals within zooplankton (Fig. 5</w:t>
      </w:r>
      <w:r>
        <w:rPr>
          <w:rFonts w:ascii="Times New Roman" w:hAnsi="Times New Roman" w:cs="Times New Roman"/>
          <w:sz w:val="24"/>
          <w:szCs w:val="24"/>
        </w:rPr>
        <w:t>.)</w:t>
      </w:r>
    </w:p>
    <w:p w14:paraId="58984FA3" w14:textId="77777777" w:rsidR="00DD5A6E" w:rsidRPr="00D93232" w:rsidRDefault="00DD5A6E" w:rsidP="00DD5A6E">
      <w:pPr>
        <w:spacing w:line="480" w:lineRule="auto"/>
        <w:contextualSpacing/>
        <w:rPr>
          <w:rFonts w:ascii="Times New Roman" w:hAnsi="Times New Roman" w:cs="Times New Roman"/>
          <w:sz w:val="24"/>
          <w:szCs w:val="24"/>
          <w:u w:val="single"/>
        </w:rPr>
      </w:pPr>
      <w:r>
        <w:rPr>
          <w:rFonts w:ascii="Times New Roman" w:hAnsi="Times New Roman" w:cs="Times New Roman"/>
          <w:sz w:val="24"/>
          <w:szCs w:val="24"/>
          <w:u w:val="single"/>
        </w:rPr>
        <w:t>Grain-size analyses</w:t>
      </w:r>
    </w:p>
    <w:p w14:paraId="663414F3" w14:textId="15B21E84" w:rsidR="00DD5A6E" w:rsidRPr="00D93232" w:rsidRDefault="00DD5A6E" w:rsidP="00DD5A6E">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Pr="00D93232">
        <w:rPr>
          <w:rFonts w:ascii="Times New Roman" w:hAnsi="Times New Roman" w:cs="Times New Roman"/>
          <w:sz w:val="24"/>
          <w:szCs w:val="24"/>
        </w:rPr>
        <w:t>Overall, CB01 had the smallest grain sizes as compared with the other stations, while RP01 had</w:t>
      </w:r>
      <w:r w:rsidR="00812551">
        <w:rPr>
          <w:rFonts w:ascii="Times New Roman" w:hAnsi="Times New Roman" w:cs="Times New Roman"/>
          <w:sz w:val="24"/>
          <w:szCs w:val="24"/>
        </w:rPr>
        <w:t xml:space="preserve"> the largest grain sizes (Fig. 6</w:t>
      </w:r>
      <w:r w:rsidRPr="00D93232">
        <w:rPr>
          <w:rFonts w:ascii="Times New Roman" w:hAnsi="Times New Roman" w:cs="Times New Roman"/>
          <w:sz w:val="24"/>
          <w:szCs w:val="24"/>
        </w:rPr>
        <w:t xml:space="preserve">.)  At station CB01, the sediment was 12% clay, 74% silt, and 14% sand with a D50 value of 17.88 </w:t>
      </w:r>
      <w:r w:rsidRPr="00D93232">
        <w:rPr>
          <w:rFonts w:ascii="Times New Roman" w:hAnsi="Times New Roman" w:cs="Times New Roman"/>
          <w:color w:val="000000"/>
          <w:sz w:val="24"/>
          <w:szCs w:val="24"/>
        </w:rPr>
        <w:t xml:space="preserve">μm.  At station SC01, the sediment was 1% clay, 9% silt, and 90% sand with a D50 value of 159.61 μm.  At station PS01, the sediment was 8% clay, 41% silt, and 51% sand with a D50 value of 65.71 μm.  At station RP01, the sediment was 1% clay, 2% silt, and 97% sand with a D50 value of 502.44 μm. </w:t>
      </w:r>
    </w:p>
    <w:p w14:paraId="7714AE54" w14:textId="4D120733" w:rsidR="00DD5A6E" w:rsidRPr="00D93232" w:rsidRDefault="00DD5A6E" w:rsidP="00DD5A6E">
      <w:pPr>
        <w:spacing w:line="480" w:lineRule="auto"/>
        <w:contextualSpacing/>
        <w:rPr>
          <w:rFonts w:ascii="Times New Roman" w:hAnsi="Times New Roman" w:cs="Times New Roman"/>
          <w:sz w:val="24"/>
          <w:szCs w:val="24"/>
          <w:u w:val="single"/>
        </w:rPr>
      </w:pPr>
      <w:r>
        <w:rPr>
          <w:rFonts w:ascii="Times New Roman" w:hAnsi="Times New Roman" w:cs="Times New Roman"/>
          <w:sz w:val="24"/>
          <w:szCs w:val="24"/>
          <w:u w:val="single"/>
        </w:rPr>
        <w:t>Principal Component Analyses</w:t>
      </w:r>
      <w:r w:rsidR="00B26444">
        <w:rPr>
          <w:rFonts w:ascii="Times New Roman" w:hAnsi="Times New Roman" w:cs="Times New Roman"/>
          <w:sz w:val="24"/>
          <w:szCs w:val="24"/>
          <w:u w:val="single"/>
        </w:rPr>
        <w:t xml:space="preserve"> (PCAs)</w:t>
      </w:r>
    </w:p>
    <w:p w14:paraId="6F70B69D" w14:textId="7DD0097E" w:rsidR="00DD5A6E" w:rsidRDefault="00DD5A6E" w:rsidP="00DD5A6E">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Two PCAs were run</w:t>
      </w:r>
      <w:r w:rsidR="00EC3514">
        <w:rPr>
          <w:rFonts w:ascii="Times New Roman" w:hAnsi="Times New Roman" w:cs="Times New Roman"/>
          <w:sz w:val="24"/>
          <w:szCs w:val="24"/>
        </w:rPr>
        <w:t xml:space="preserve"> using R-script</w:t>
      </w:r>
      <w:r w:rsidR="00D035BA">
        <w:rPr>
          <w:rFonts w:ascii="Times New Roman" w:hAnsi="Times New Roman" w:cs="Times New Roman"/>
          <w:sz w:val="24"/>
          <w:szCs w:val="24"/>
        </w:rPr>
        <w:t>,</w:t>
      </w:r>
      <w:r>
        <w:rPr>
          <w:rFonts w:ascii="Times New Roman" w:hAnsi="Times New Roman" w:cs="Times New Roman"/>
          <w:sz w:val="24"/>
          <w:szCs w:val="24"/>
        </w:rPr>
        <w:t xml:space="preserve"> </w:t>
      </w:r>
      <w:r w:rsidR="00D035BA">
        <w:rPr>
          <w:rFonts w:ascii="Times New Roman" w:hAnsi="Times New Roman" w:cs="Times New Roman"/>
          <w:sz w:val="24"/>
          <w:szCs w:val="24"/>
        </w:rPr>
        <w:t xml:space="preserve">including </w:t>
      </w:r>
      <w:r>
        <w:rPr>
          <w:rFonts w:ascii="Times New Roman" w:hAnsi="Times New Roman" w:cs="Times New Roman"/>
          <w:sz w:val="24"/>
          <w:szCs w:val="24"/>
        </w:rPr>
        <w:t>one sediment PCA considering the D50 values from the grain-size analysis, as well as the EFs of the elements found with</w:t>
      </w:r>
      <w:r w:rsidR="004B7CE0">
        <w:rPr>
          <w:rFonts w:ascii="Times New Roman" w:hAnsi="Times New Roman" w:cs="Times New Roman"/>
          <w:sz w:val="24"/>
          <w:szCs w:val="24"/>
        </w:rPr>
        <w:t>in the surface s</w:t>
      </w:r>
      <w:r w:rsidR="00812551">
        <w:rPr>
          <w:rFonts w:ascii="Times New Roman" w:hAnsi="Times New Roman" w:cs="Times New Roman"/>
          <w:sz w:val="24"/>
          <w:szCs w:val="24"/>
        </w:rPr>
        <w:t>ediments (Fig. 7</w:t>
      </w:r>
      <w:r>
        <w:rPr>
          <w:rFonts w:ascii="Times New Roman" w:hAnsi="Times New Roman" w:cs="Times New Roman"/>
          <w:sz w:val="24"/>
          <w:szCs w:val="24"/>
        </w:rPr>
        <w:t>)</w:t>
      </w:r>
      <w:r w:rsidR="00D035BA">
        <w:rPr>
          <w:rFonts w:ascii="Times New Roman" w:hAnsi="Times New Roman" w:cs="Times New Roman"/>
          <w:sz w:val="24"/>
          <w:szCs w:val="24"/>
        </w:rPr>
        <w:t>,</w:t>
      </w:r>
      <w:r>
        <w:rPr>
          <w:rFonts w:ascii="Times New Roman" w:hAnsi="Times New Roman" w:cs="Times New Roman"/>
          <w:sz w:val="24"/>
          <w:szCs w:val="24"/>
        </w:rPr>
        <w:t xml:space="preserve"> and one biota PCA considering </w:t>
      </w:r>
      <w:r w:rsidRPr="009F4CA0">
        <w:rPr>
          <w:rFonts w:ascii="Times New Roman" w:hAnsi="Times New Roman" w:cs="Times New Roman"/>
          <w:sz w:val="24"/>
          <w:szCs w:val="24"/>
        </w:rPr>
        <w:t>the %Organic carbon (OC) within the biota as well as the EFs of elements found within the biological tissues, including zooplankton</w:t>
      </w:r>
      <w:r>
        <w:rPr>
          <w:rFonts w:ascii="Times New Roman" w:hAnsi="Times New Roman" w:cs="Times New Roman"/>
          <w:sz w:val="24"/>
          <w:szCs w:val="24"/>
        </w:rPr>
        <w:t xml:space="preserve"> tissue</w:t>
      </w:r>
      <w:r w:rsidR="00812551">
        <w:rPr>
          <w:rFonts w:ascii="Times New Roman" w:hAnsi="Times New Roman" w:cs="Times New Roman"/>
          <w:sz w:val="24"/>
          <w:szCs w:val="24"/>
        </w:rPr>
        <w:t xml:space="preserve"> and invertebrate tissue (Fig. 8</w:t>
      </w:r>
      <w:r>
        <w:rPr>
          <w:rFonts w:ascii="Times New Roman" w:hAnsi="Times New Roman" w:cs="Times New Roman"/>
          <w:sz w:val="24"/>
          <w:szCs w:val="24"/>
        </w:rPr>
        <w:t xml:space="preserve">.)  </w:t>
      </w:r>
      <w:r w:rsidRPr="00C87F8F">
        <w:rPr>
          <w:rFonts w:ascii="Times New Roman" w:hAnsi="Times New Roman" w:cs="Times New Roman"/>
          <w:sz w:val="24"/>
          <w:szCs w:val="24"/>
        </w:rPr>
        <w:t>Any elements with ND as a concentration were assigned an EF value of 0.001, below all dete</w:t>
      </w:r>
      <w:r w:rsidR="00285FC9">
        <w:rPr>
          <w:rFonts w:ascii="Times New Roman" w:hAnsi="Times New Roman" w:cs="Times New Roman"/>
          <w:sz w:val="24"/>
          <w:szCs w:val="24"/>
        </w:rPr>
        <w:t>ction limits listed in Table I</w:t>
      </w:r>
      <w:r w:rsidRPr="00C87F8F">
        <w:rPr>
          <w:rFonts w:ascii="Times New Roman" w:hAnsi="Times New Roman" w:cs="Times New Roman"/>
          <w:sz w:val="24"/>
          <w:szCs w:val="24"/>
        </w:rPr>
        <w:t>.  Any elements with TR as a concentration were assigned an EF value that was the midpoint between the detection and quantitative limi</w:t>
      </w:r>
      <w:r>
        <w:rPr>
          <w:rFonts w:ascii="Times New Roman" w:hAnsi="Times New Roman" w:cs="Times New Roman"/>
          <w:sz w:val="24"/>
          <w:szCs w:val="24"/>
        </w:rPr>
        <w:t>ts for that respective element (</w:t>
      </w:r>
      <w:r w:rsidRPr="00C87F8F">
        <w:rPr>
          <w:rFonts w:ascii="Times New Roman" w:hAnsi="Times New Roman" w:cs="Times New Roman"/>
          <w:sz w:val="24"/>
          <w:szCs w:val="24"/>
        </w:rPr>
        <w:t>T</w:t>
      </w:r>
      <w:r w:rsidR="00285FC9">
        <w:rPr>
          <w:rFonts w:ascii="Times New Roman" w:hAnsi="Times New Roman" w:cs="Times New Roman"/>
          <w:sz w:val="24"/>
          <w:szCs w:val="24"/>
        </w:rPr>
        <w:t>able I</w:t>
      </w:r>
      <w:r w:rsidRPr="00C87F8F">
        <w:rPr>
          <w:rFonts w:ascii="Times New Roman" w:hAnsi="Times New Roman" w:cs="Times New Roman"/>
          <w:sz w:val="24"/>
          <w:szCs w:val="24"/>
        </w:rPr>
        <w:t>.</w:t>
      </w:r>
      <w:r>
        <w:rPr>
          <w:rFonts w:ascii="Times New Roman" w:hAnsi="Times New Roman" w:cs="Times New Roman"/>
          <w:sz w:val="24"/>
          <w:szCs w:val="24"/>
        </w:rPr>
        <w:t xml:space="preserve">)  </w:t>
      </w:r>
    </w:p>
    <w:p w14:paraId="521A86AA" w14:textId="6238612D" w:rsidR="00DD5A6E" w:rsidRDefault="00DD5A6E" w:rsidP="00DD5A6E">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The sediment PCA revealed a covariance between Ba, Cr, Mo, As, Zn, B, K, Cu, and Cd on th</w:t>
      </w:r>
      <w:r w:rsidR="00812551">
        <w:rPr>
          <w:rFonts w:ascii="Times New Roman" w:hAnsi="Times New Roman" w:cs="Times New Roman"/>
          <w:sz w:val="24"/>
          <w:szCs w:val="24"/>
        </w:rPr>
        <w:t>e negative end of Axis 1 (Fig. 7</w:t>
      </w:r>
      <w:r>
        <w:rPr>
          <w:rFonts w:ascii="Times New Roman" w:hAnsi="Times New Roman" w:cs="Times New Roman"/>
          <w:sz w:val="24"/>
          <w:szCs w:val="24"/>
        </w:rPr>
        <w:t>.)  A covariance was also revealed between S, Na, Al, P, Mg, Ni, and Fe on th</w:t>
      </w:r>
      <w:r w:rsidR="00812551">
        <w:rPr>
          <w:rFonts w:ascii="Times New Roman" w:hAnsi="Times New Roman" w:cs="Times New Roman"/>
          <w:sz w:val="24"/>
          <w:szCs w:val="24"/>
        </w:rPr>
        <w:t>e negative end of Axis 2 (Fig. 7</w:t>
      </w:r>
      <w:r>
        <w:rPr>
          <w:rFonts w:ascii="Times New Roman" w:hAnsi="Times New Roman" w:cs="Times New Roman"/>
          <w:sz w:val="24"/>
          <w:szCs w:val="24"/>
        </w:rPr>
        <w:t xml:space="preserve">.)  Axis 1 explained 51% of the variance within the dataset, and Axis 2 explained 36% of the variance. </w:t>
      </w:r>
    </w:p>
    <w:p w14:paraId="74303D7D" w14:textId="7F1342C7" w:rsidR="000838ED" w:rsidRDefault="00DD5A6E" w:rsidP="00DD5A6E">
      <w:pPr>
        <w:spacing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The biota PCA revealed a covariance between Mo, Ni, Zn, Cu, Na, and Cd, on the positive end of Axis 1 and</w:t>
      </w:r>
      <w:r w:rsidR="00812551">
        <w:rPr>
          <w:rFonts w:ascii="Times New Roman" w:hAnsi="Times New Roman" w:cs="Times New Roman"/>
          <w:sz w:val="24"/>
          <w:szCs w:val="24"/>
        </w:rPr>
        <w:t xml:space="preserve"> negative side of Axis 2 (Fig. 8</w:t>
      </w:r>
      <w:r>
        <w:rPr>
          <w:rFonts w:ascii="Times New Roman" w:hAnsi="Times New Roman" w:cs="Times New Roman"/>
          <w:sz w:val="24"/>
          <w:szCs w:val="24"/>
        </w:rPr>
        <w:t>.)  Another covariance was displayed between P, Ag, Al, Se, and As on the positive end of Axis 2 and the</w:t>
      </w:r>
      <w:r w:rsidR="00812551">
        <w:rPr>
          <w:rFonts w:ascii="Times New Roman" w:hAnsi="Times New Roman" w:cs="Times New Roman"/>
          <w:sz w:val="24"/>
          <w:szCs w:val="24"/>
        </w:rPr>
        <w:t xml:space="preserve"> negative side of Axis 1 (Fig. 8</w:t>
      </w:r>
      <w:r>
        <w:rPr>
          <w:rFonts w:ascii="Times New Roman" w:hAnsi="Times New Roman" w:cs="Times New Roman"/>
          <w:sz w:val="24"/>
          <w:szCs w:val="24"/>
        </w:rPr>
        <w:t>.)  In addition, the %OC stood alone but pulled very strongly towards th</w:t>
      </w:r>
      <w:r w:rsidR="00812551">
        <w:rPr>
          <w:rFonts w:ascii="Times New Roman" w:hAnsi="Times New Roman" w:cs="Times New Roman"/>
          <w:sz w:val="24"/>
          <w:szCs w:val="24"/>
        </w:rPr>
        <w:t>e negative end of Axis 2 (Fig. 8</w:t>
      </w:r>
      <w:r>
        <w:rPr>
          <w:rFonts w:ascii="Times New Roman" w:hAnsi="Times New Roman" w:cs="Times New Roman"/>
          <w:sz w:val="24"/>
          <w:szCs w:val="24"/>
        </w:rPr>
        <w:t xml:space="preserve">.)  Axis 1 explained 49% of the variance within the dataset, and Axis 2 explained 34% of the variance.  </w:t>
      </w:r>
    </w:p>
    <w:p w14:paraId="20F5CB86" w14:textId="77777777" w:rsidR="000D464B" w:rsidRPr="00DD5A6E" w:rsidRDefault="000D464B" w:rsidP="00DD5A6E">
      <w:pPr>
        <w:spacing w:line="480" w:lineRule="auto"/>
        <w:contextualSpacing/>
        <w:rPr>
          <w:rFonts w:ascii="Times New Roman" w:hAnsi="Times New Roman" w:cs="Times New Roman"/>
          <w:sz w:val="24"/>
          <w:szCs w:val="24"/>
        </w:rPr>
      </w:pPr>
    </w:p>
    <w:p w14:paraId="2D3C78F7" w14:textId="77777777" w:rsidR="00A14FE7" w:rsidRDefault="00A14FE7" w:rsidP="00A14FE7">
      <w:pPr>
        <w:spacing w:after="0" w:line="480" w:lineRule="auto"/>
        <w:contextualSpacing/>
        <w:rPr>
          <w:rFonts w:ascii="Times New Roman" w:hAnsi="Times New Roman" w:cs="Times New Roman"/>
          <w:b/>
          <w:sz w:val="24"/>
          <w:szCs w:val="24"/>
          <w:u w:val="single"/>
        </w:rPr>
      </w:pPr>
      <w:r w:rsidRPr="001463DF">
        <w:rPr>
          <w:rFonts w:ascii="Times New Roman" w:hAnsi="Times New Roman" w:cs="Times New Roman"/>
          <w:b/>
          <w:sz w:val="24"/>
          <w:szCs w:val="24"/>
          <w:u w:val="single"/>
        </w:rPr>
        <w:t>Discussion</w:t>
      </w:r>
    </w:p>
    <w:p w14:paraId="03F96491" w14:textId="77777777" w:rsidR="00A14FE7" w:rsidRPr="00A21FAD" w:rsidRDefault="00A14FE7" w:rsidP="00A14FE7">
      <w:pPr>
        <w:spacing w:after="0" w:line="480" w:lineRule="auto"/>
        <w:contextualSpacing/>
        <w:rPr>
          <w:rFonts w:ascii="Times New Roman" w:hAnsi="Times New Roman" w:cs="Times New Roman"/>
          <w:sz w:val="24"/>
          <w:szCs w:val="24"/>
          <w:u w:val="single"/>
        </w:rPr>
      </w:pPr>
      <w:r>
        <w:rPr>
          <w:rFonts w:ascii="Times New Roman" w:hAnsi="Times New Roman" w:cs="Times New Roman"/>
          <w:sz w:val="24"/>
          <w:szCs w:val="24"/>
          <w:u w:val="single"/>
        </w:rPr>
        <w:t>Sediment Enrichment Factors (EFs)</w:t>
      </w:r>
    </w:p>
    <w:p w14:paraId="1193B112" w14:textId="313CC97D" w:rsidR="00A14FE7" w:rsidRDefault="00A14FE7" w:rsidP="00A14FE7">
      <w:pPr>
        <w:spacing w:after="0" w:line="480" w:lineRule="auto"/>
        <w:rPr>
          <w:rFonts w:ascii="Times New Roman" w:hAnsi="Times New Roman" w:cs="Times New Roman"/>
          <w:color w:val="000000"/>
          <w:sz w:val="24"/>
          <w:szCs w:val="24"/>
        </w:rPr>
      </w:pPr>
      <w:r>
        <w:rPr>
          <w:rFonts w:ascii="Times New Roman" w:hAnsi="Times New Roman" w:cs="Times New Roman"/>
          <w:sz w:val="24"/>
          <w:szCs w:val="24"/>
        </w:rPr>
        <w:tab/>
        <w:t xml:space="preserve">The initial hypothesis that there would be </w:t>
      </w:r>
      <w:r w:rsidRPr="00964D25">
        <w:rPr>
          <w:rFonts w:ascii="Times New Roman" w:hAnsi="Times New Roman" w:cs="Times New Roman"/>
          <w:sz w:val="24"/>
          <w:szCs w:val="24"/>
        </w:rPr>
        <w:t>elevated heavy metal contamination present in the surface sediments at all of the experimental stations within the greater Puget Sound area</w:t>
      </w:r>
      <w:r w:rsidR="00FA65FF">
        <w:rPr>
          <w:rFonts w:ascii="Times New Roman" w:hAnsi="Times New Roman" w:cs="Times New Roman"/>
          <w:sz w:val="24"/>
          <w:szCs w:val="24"/>
        </w:rPr>
        <w:t xml:space="preserve"> was supported (Fig. 3</w:t>
      </w:r>
      <w:r>
        <w:rPr>
          <w:rFonts w:ascii="Times New Roman" w:hAnsi="Times New Roman" w:cs="Times New Roman"/>
          <w:sz w:val="24"/>
          <w:szCs w:val="24"/>
        </w:rPr>
        <w:t xml:space="preserve">,) although the specific predictions of which heavy metals would be most enriched were not entirely </w:t>
      </w:r>
      <w:r w:rsidR="00C06599">
        <w:rPr>
          <w:rFonts w:ascii="Times New Roman" w:hAnsi="Times New Roman" w:cs="Times New Roman"/>
          <w:sz w:val="24"/>
          <w:szCs w:val="24"/>
        </w:rPr>
        <w:t>supported</w:t>
      </w:r>
      <w:r>
        <w:rPr>
          <w:rFonts w:ascii="Times New Roman" w:hAnsi="Times New Roman" w:cs="Times New Roman"/>
          <w:sz w:val="24"/>
          <w:szCs w:val="24"/>
        </w:rPr>
        <w:t>.  It was hypothesized that there would</w:t>
      </w:r>
      <w:r w:rsidRPr="00964D25">
        <w:rPr>
          <w:rFonts w:ascii="Times New Roman" w:hAnsi="Times New Roman" w:cs="Times New Roman"/>
          <w:sz w:val="24"/>
          <w:szCs w:val="24"/>
        </w:rPr>
        <w:t xml:space="preserve"> be elevated concentrations of </w:t>
      </w:r>
      <w:r>
        <w:rPr>
          <w:rFonts w:ascii="Times New Roman" w:hAnsi="Times New Roman" w:cs="Times New Roman"/>
          <w:sz w:val="24"/>
          <w:szCs w:val="24"/>
        </w:rPr>
        <w:t>Cu and As</w:t>
      </w:r>
      <w:r w:rsidRPr="00964D25">
        <w:rPr>
          <w:rFonts w:ascii="Times New Roman" w:hAnsi="Times New Roman" w:cs="Times New Roman"/>
          <w:color w:val="0000FF"/>
          <w:sz w:val="24"/>
          <w:szCs w:val="24"/>
        </w:rPr>
        <w:t xml:space="preserve"> </w:t>
      </w:r>
      <w:r w:rsidRPr="00964D25">
        <w:rPr>
          <w:rFonts w:ascii="Times New Roman" w:hAnsi="Times New Roman" w:cs="Times New Roman"/>
          <w:sz w:val="24"/>
          <w:szCs w:val="24"/>
        </w:rPr>
        <w:t xml:space="preserve">at the historic metal mining sites </w:t>
      </w:r>
      <w:r>
        <w:rPr>
          <w:rFonts w:ascii="Times New Roman" w:hAnsi="Times New Roman" w:cs="Times New Roman"/>
          <w:sz w:val="24"/>
          <w:szCs w:val="24"/>
        </w:rPr>
        <w:t xml:space="preserve">(CB01, SC01, PS01) from mining activities.  </w:t>
      </w:r>
      <w:r>
        <w:rPr>
          <w:rFonts w:ascii="Times New Roman" w:eastAsiaTheme="minorEastAsia" w:hAnsi="Times New Roman" w:cs="Times New Roman"/>
          <w:sz w:val="24"/>
          <w:szCs w:val="24"/>
        </w:rPr>
        <w:t>At stations CB01 and SC01, two of the three historic mining sites, there were indeed elevated concentrations of Cu and As, as well as elevated concentrations o</w:t>
      </w:r>
      <w:r w:rsidR="00073677">
        <w:rPr>
          <w:rFonts w:ascii="Times New Roman" w:eastAsiaTheme="minorEastAsia" w:hAnsi="Times New Roman" w:cs="Times New Roman"/>
          <w:sz w:val="24"/>
          <w:szCs w:val="24"/>
        </w:rPr>
        <w:t>f Cr, Mo, Ni, Zn, and Se (F</w:t>
      </w:r>
      <w:r w:rsidR="00FA65FF">
        <w:rPr>
          <w:rFonts w:ascii="Times New Roman" w:eastAsiaTheme="minorEastAsia" w:hAnsi="Times New Roman" w:cs="Times New Roman"/>
          <w:sz w:val="24"/>
          <w:szCs w:val="24"/>
        </w:rPr>
        <w:t>ig. 3</w:t>
      </w:r>
      <w:r>
        <w:rPr>
          <w:rFonts w:ascii="Times New Roman" w:eastAsiaTheme="minorEastAsia" w:hAnsi="Times New Roman" w:cs="Times New Roman"/>
          <w:sz w:val="24"/>
          <w:szCs w:val="24"/>
        </w:rPr>
        <w:t>.)  However, there were not any As or Cu enrichments at station PS01- there were only elevated co</w:t>
      </w:r>
      <w:r w:rsidR="00FA65FF">
        <w:rPr>
          <w:rFonts w:ascii="Times New Roman" w:eastAsiaTheme="minorEastAsia" w:hAnsi="Times New Roman" w:cs="Times New Roman"/>
          <w:sz w:val="24"/>
          <w:szCs w:val="24"/>
        </w:rPr>
        <w:t>ncentrations of Ni and Se (Fig 3</w:t>
      </w:r>
      <w:r>
        <w:rPr>
          <w:rFonts w:ascii="Times New Roman" w:eastAsiaTheme="minorEastAsia" w:hAnsi="Times New Roman" w:cs="Times New Roman"/>
          <w:sz w:val="24"/>
          <w:szCs w:val="24"/>
        </w:rPr>
        <w:t>.)  The comparatively higher concentration of Ni at station PS01 relative to stations CB01 and SC01 could be due to the wastewater treatment plant located in Everett, WA, close to the mouth of the Snohomish River (station PS01.)  According to the Nickel Institute</w:t>
      </w:r>
      <w:r w:rsidRPr="00014A69">
        <w:rPr>
          <w:rFonts w:ascii="Times New Roman" w:eastAsiaTheme="minorEastAsia" w:hAnsi="Times New Roman" w:cs="Times New Roman"/>
          <w:sz w:val="24"/>
          <w:szCs w:val="24"/>
        </w:rPr>
        <w:t>, (&lt;https://www.nickelinstitute.org/Sustainability/EnvironmentalQuality&gt;;</w:t>
      </w:r>
      <w:r>
        <w:rPr>
          <w:rFonts w:ascii="Times New Roman" w:eastAsiaTheme="minorEastAsia" w:hAnsi="Times New Roman" w:cs="Times New Roman"/>
          <w:sz w:val="24"/>
          <w:szCs w:val="24"/>
        </w:rPr>
        <w:t xml:space="preserve"> accessed May 1, 2018), Ni can be added to the surface waters directly via industrial discharge associated with wastewater treatment, and marine sediments can act as a sink for this </w:t>
      </w:r>
      <w:r>
        <w:rPr>
          <w:rFonts w:ascii="Times New Roman" w:eastAsiaTheme="minorEastAsia" w:hAnsi="Times New Roman" w:cs="Times New Roman"/>
          <w:sz w:val="24"/>
          <w:szCs w:val="24"/>
        </w:rPr>
        <w:lastRenderedPageBreak/>
        <w:t xml:space="preserve">anthropogenic Ni discharge.  With station PS01 being </w:t>
      </w:r>
      <w:r>
        <w:rPr>
          <w:rFonts w:ascii="Times New Roman" w:hAnsi="Times New Roman" w:cs="Times New Roman"/>
          <w:color w:val="000000"/>
          <w:sz w:val="24"/>
          <w:szCs w:val="24"/>
        </w:rPr>
        <w:t>8% clay and</w:t>
      </w:r>
      <w:r w:rsidRPr="00D93232">
        <w:rPr>
          <w:rFonts w:ascii="Times New Roman" w:hAnsi="Times New Roman" w:cs="Times New Roman"/>
          <w:color w:val="000000"/>
          <w:sz w:val="24"/>
          <w:szCs w:val="24"/>
        </w:rPr>
        <w:t xml:space="preserve"> 41% silt</w:t>
      </w:r>
      <w:r w:rsidR="00FA65FF">
        <w:rPr>
          <w:rFonts w:ascii="Times New Roman" w:hAnsi="Times New Roman" w:cs="Times New Roman"/>
          <w:color w:val="000000"/>
          <w:sz w:val="24"/>
          <w:szCs w:val="24"/>
        </w:rPr>
        <w:t xml:space="preserve"> (Fig. 6</w:t>
      </w:r>
      <w:r>
        <w:rPr>
          <w:rFonts w:ascii="Times New Roman" w:hAnsi="Times New Roman" w:cs="Times New Roman"/>
          <w:color w:val="000000"/>
          <w:sz w:val="24"/>
          <w:szCs w:val="24"/>
        </w:rPr>
        <w:t xml:space="preserve">), the sediments would have ample surface area for the adsorption of Ni.  </w:t>
      </w:r>
    </w:p>
    <w:p w14:paraId="69FCC153" w14:textId="228220D1" w:rsidR="00A14FE7" w:rsidRDefault="00A14FE7" w:rsidP="00A14FE7">
      <w:pPr>
        <w:spacing w:after="0" w:line="480" w:lineRule="auto"/>
        <w:rPr>
          <w:rFonts w:ascii="Times New Roman" w:hAnsi="Times New Roman" w:cs="Times New Roman"/>
          <w:sz w:val="24"/>
          <w:szCs w:val="24"/>
        </w:rPr>
      </w:pPr>
      <w:r>
        <w:rPr>
          <w:rFonts w:ascii="Times New Roman" w:hAnsi="Times New Roman" w:cs="Times New Roman"/>
          <w:color w:val="000000"/>
          <w:sz w:val="24"/>
          <w:szCs w:val="24"/>
        </w:rPr>
        <w:tab/>
      </w:r>
      <w:r>
        <w:rPr>
          <w:rFonts w:ascii="Times New Roman" w:hAnsi="Times New Roman" w:cs="Times New Roman"/>
          <w:sz w:val="24"/>
          <w:szCs w:val="24"/>
        </w:rPr>
        <w:t xml:space="preserve">It was also hypothesized that there would be elevated concentrations of </w:t>
      </w:r>
      <w:r>
        <w:rPr>
          <w:rFonts w:ascii="Times New Roman" w:eastAsiaTheme="minorEastAsia" w:hAnsi="Times New Roman" w:cs="Times New Roman"/>
          <w:sz w:val="24"/>
          <w:szCs w:val="24"/>
        </w:rPr>
        <w:t>Cu and possibly Zn</w:t>
      </w:r>
      <w:r w:rsidRPr="00964D25">
        <w:rPr>
          <w:rFonts w:ascii="Times New Roman" w:eastAsiaTheme="minorEastAsia" w:hAnsi="Times New Roman" w:cs="Times New Roman"/>
          <w:sz w:val="24"/>
          <w:szCs w:val="24"/>
        </w:rPr>
        <w:t xml:space="preserve"> </w:t>
      </w:r>
      <w:r w:rsidRPr="00964D25">
        <w:rPr>
          <w:rFonts w:ascii="Times New Roman" w:hAnsi="Times New Roman" w:cs="Times New Roman"/>
          <w:sz w:val="24"/>
          <w:szCs w:val="24"/>
        </w:rPr>
        <w:t xml:space="preserve">at the fish farm site </w:t>
      </w:r>
      <w:r>
        <w:rPr>
          <w:rFonts w:ascii="Times New Roman" w:hAnsi="Times New Roman" w:cs="Times New Roman"/>
          <w:sz w:val="24"/>
          <w:szCs w:val="24"/>
        </w:rPr>
        <w:t xml:space="preserve">(RP01) </w:t>
      </w:r>
      <w:r w:rsidRPr="00964D25">
        <w:rPr>
          <w:rFonts w:ascii="Times New Roman" w:hAnsi="Times New Roman" w:cs="Times New Roman"/>
          <w:sz w:val="24"/>
          <w:szCs w:val="24"/>
        </w:rPr>
        <w:t xml:space="preserve">due to </w:t>
      </w:r>
      <w:r>
        <w:rPr>
          <w:rFonts w:ascii="Times New Roman" w:hAnsi="Times New Roman" w:cs="Times New Roman"/>
          <w:sz w:val="24"/>
          <w:szCs w:val="24"/>
        </w:rPr>
        <w:t>leaching</w:t>
      </w:r>
      <w:r w:rsidRPr="00964D25">
        <w:rPr>
          <w:rFonts w:ascii="Times New Roman" w:hAnsi="Times New Roman" w:cs="Times New Roman"/>
          <w:sz w:val="24"/>
          <w:szCs w:val="24"/>
        </w:rPr>
        <w:t xml:space="preserve"> from anti-fouling paint</w:t>
      </w:r>
      <w:r w:rsidRPr="00964D25">
        <w:rPr>
          <w:rFonts w:ascii="Times New Roman" w:eastAsiaTheme="minorEastAsia" w:hAnsi="Times New Roman" w:cs="Times New Roman"/>
          <w:sz w:val="24"/>
          <w:szCs w:val="24"/>
        </w:rPr>
        <w:t xml:space="preserve"> </w:t>
      </w:r>
      <w:r w:rsidRPr="00964D25">
        <w:rPr>
          <w:rFonts w:ascii="Times New Roman" w:hAnsi="Times New Roman" w:cs="Times New Roman"/>
          <w:sz w:val="24"/>
          <w:szCs w:val="24"/>
        </w:rPr>
        <w:t>(</w:t>
      </w:r>
      <w:r w:rsidRPr="00964D25">
        <w:rPr>
          <w:rFonts w:ascii="Times New Roman" w:eastAsiaTheme="minorEastAsia" w:hAnsi="Times New Roman" w:cs="Times New Roman"/>
          <w:sz w:val="24"/>
          <w:szCs w:val="24"/>
        </w:rPr>
        <w:t>Brooks and Mahnken 2003; Dean et al. 2007</w:t>
      </w:r>
      <w:r>
        <w:rPr>
          <w:rFonts w:ascii="Times New Roman" w:eastAsiaTheme="minorEastAsia" w:hAnsi="Times New Roman" w:cs="Times New Roman"/>
          <w:sz w:val="24"/>
          <w:szCs w:val="24"/>
        </w:rPr>
        <w:t>.</w:t>
      </w:r>
      <w:r w:rsidRPr="00964D25">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However, at station RP01, there were not elevated concentrations of Cu or Zn; the only heavy metal that showed enrichment within the surface sediment</w:t>
      </w:r>
      <w:r w:rsidR="00FA65FF">
        <w:rPr>
          <w:rFonts w:ascii="Times New Roman" w:eastAsiaTheme="minorEastAsia" w:hAnsi="Times New Roman" w:cs="Times New Roman"/>
          <w:sz w:val="24"/>
          <w:szCs w:val="24"/>
        </w:rPr>
        <w:t>s at this station was Se (Fig. 3</w:t>
      </w:r>
      <w:r>
        <w:rPr>
          <w:rFonts w:ascii="Times New Roman" w:eastAsiaTheme="minorEastAsia" w:hAnsi="Times New Roman" w:cs="Times New Roman"/>
          <w:sz w:val="24"/>
          <w:szCs w:val="24"/>
        </w:rPr>
        <w:t xml:space="preserve">.) </w:t>
      </w:r>
    </w:p>
    <w:p w14:paraId="2091796D" w14:textId="1EEC0E8A" w:rsidR="00A14FE7" w:rsidRPr="00E90CE2" w:rsidRDefault="00A14FE7" w:rsidP="00A14FE7">
      <w:pPr>
        <w:spacing w:after="0" w:line="480" w:lineRule="auto"/>
        <w:rPr>
          <w:rFonts w:ascii="Times New Roman" w:eastAsiaTheme="minorEastAsia" w:hAnsi="Times New Roman" w:cs="Times New Roman"/>
          <w:sz w:val="24"/>
          <w:szCs w:val="24"/>
        </w:rPr>
      </w:pPr>
      <w:r>
        <w:rPr>
          <w:rFonts w:ascii="Times New Roman" w:hAnsi="Times New Roman" w:cs="Times New Roman"/>
          <w:sz w:val="24"/>
          <w:szCs w:val="24"/>
        </w:rPr>
        <w:tab/>
      </w:r>
      <w:r>
        <w:rPr>
          <w:rFonts w:ascii="Times New Roman" w:eastAsiaTheme="minorEastAsia" w:hAnsi="Times New Roman" w:cs="Times New Roman"/>
          <w:sz w:val="24"/>
          <w:szCs w:val="24"/>
        </w:rPr>
        <w:t>At all four of the stations (CB01, SC01, PS01, and RP01), Se showed enrichment about two orders of magnitude higher than al</w:t>
      </w:r>
      <w:r w:rsidR="00FA65FF">
        <w:rPr>
          <w:rFonts w:ascii="Times New Roman" w:eastAsiaTheme="minorEastAsia" w:hAnsi="Times New Roman" w:cs="Times New Roman"/>
          <w:sz w:val="24"/>
          <w:szCs w:val="24"/>
        </w:rPr>
        <w:t>l the other heavy metals (Fig. 3</w:t>
      </w:r>
      <w:r>
        <w:rPr>
          <w:rFonts w:ascii="Times New Roman" w:eastAsiaTheme="minorEastAsia" w:hAnsi="Times New Roman" w:cs="Times New Roman"/>
          <w:sz w:val="24"/>
          <w:szCs w:val="24"/>
        </w:rPr>
        <w:t xml:space="preserve">.)  According to the Agency for Toxic Substances &amp; Disease Registry’s Toxicological Profile for Se, although Se is a naturally occurring compound, </w:t>
      </w:r>
      <w:r w:rsidR="00B028A2">
        <w:rPr>
          <w:rFonts w:ascii="Times New Roman" w:eastAsiaTheme="minorEastAsia" w:hAnsi="Times New Roman" w:cs="Times New Roman"/>
          <w:sz w:val="24"/>
          <w:szCs w:val="24"/>
        </w:rPr>
        <w:t>it can become toxic at elevated concentrations</w:t>
      </w:r>
      <w:r w:rsidR="008B727B">
        <w:rPr>
          <w:rFonts w:ascii="Times New Roman" w:eastAsiaTheme="minorEastAsia" w:hAnsi="Times New Roman" w:cs="Times New Roman"/>
          <w:sz w:val="24"/>
          <w:szCs w:val="24"/>
        </w:rPr>
        <w:t xml:space="preserve"> </w:t>
      </w:r>
      <w:r w:rsidR="008B727B" w:rsidRPr="00832C4A">
        <w:rPr>
          <w:rFonts w:ascii="Times New Roman" w:eastAsiaTheme="minorEastAsia" w:hAnsi="Times New Roman" w:cs="Times New Roman"/>
          <w:sz w:val="24"/>
          <w:szCs w:val="24"/>
        </w:rPr>
        <w:t>(USDHHS, Toxicology</w:t>
      </w:r>
      <w:r w:rsidR="008B727B">
        <w:rPr>
          <w:rFonts w:ascii="Times New Roman" w:eastAsiaTheme="minorEastAsia" w:hAnsi="Times New Roman" w:cs="Times New Roman"/>
          <w:sz w:val="24"/>
          <w:szCs w:val="24"/>
        </w:rPr>
        <w:t>, Se.)</w:t>
      </w:r>
      <w:r w:rsidR="00B028A2">
        <w:rPr>
          <w:rFonts w:ascii="Times New Roman" w:eastAsiaTheme="minorEastAsia" w:hAnsi="Times New Roman" w:cs="Times New Roman"/>
          <w:sz w:val="24"/>
          <w:szCs w:val="24"/>
        </w:rPr>
        <w:t xml:space="preserve">  I</w:t>
      </w:r>
      <w:r>
        <w:rPr>
          <w:rFonts w:ascii="Times New Roman" w:eastAsiaTheme="minorEastAsia" w:hAnsi="Times New Roman" w:cs="Times New Roman"/>
          <w:sz w:val="24"/>
          <w:szCs w:val="24"/>
        </w:rPr>
        <w:t xml:space="preserve">t can have many anthropogenic sources to the marine environment, including emissions from coal and oil combustion, Se refining factories, base metal smelting/refining factories, mining operations, end-product manufacturers, sewage effluent, agricultural runoff, and industrial </w:t>
      </w:r>
      <w:r w:rsidRPr="00832C4A">
        <w:rPr>
          <w:rFonts w:ascii="Times New Roman" w:eastAsiaTheme="minorEastAsia" w:hAnsi="Times New Roman" w:cs="Times New Roman"/>
          <w:sz w:val="24"/>
          <w:szCs w:val="24"/>
        </w:rPr>
        <w:t>wastewater (USDHHS, Toxicology</w:t>
      </w:r>
      <w:r w:rsidR="00886867">
        <w:rPr>
          <w:rFonts w:ascii="Times New Roman" w:eastAsiaTheme="minorEastAsia" w:hAnsi="Times New Roman" w:cs="Times New Roman"/>
          <w:sz w:val="24"/>
          <w:szCs w:val="24"/>
        </w:rPr>
        <w:t>, Se</w:t>
      </w:r>
      <w:r w:rsidRPr="00832C4A">
        <w:rPr>
          <w:rFonts w:ascii="Times New Roman" w:eastAsiaTheme="minorEastAsia" w:hAnsi="Times New Roman" w:cs="Times New Roman"/>
          <w:sz w:val="24"/>
          <w:szCs w:val="24"/>
        </w:rPr>
        <w:t>.)  T</w:t>
      </w:r>
      <w:r>
        <w:rPr>
          <w:rFonts w:ascii="Times New Roman" w:eastAsiaTheme="minorEastAsia" w:hAnsi="Times New Roman" w:cs="Times New Roman"/>
          <w:sz w:val="24"/>
          <w:szCs w:val="24"/>
        </w:rPr>
        <w:t>he high enrichment of Se at the three mining stations (CB01, SC01, and PS01) could be explained by Se sources from mining operations, and the PS01 Se enrichment might also be explained by agricultural runoff from t</w:t>
      </w:r>
      <w:r w:rsidR="00227652">
        <w:rPr>
          <w:rFonts w:ascii="Times New Roman" w:eastAsiaTheme="minorEastAsia" w:hAnsi="Times New Roman" w:cs="Times New Roman"/>
          <w:sz w:val="24"/>
          <w:szCs w:val="24"/>
        </w:rPr>
        <w:t>he Snohomish River watershed as well as</w:t>
      </w:r>
      <w:r>
        <w:rPr>
          <w:rFonts w:ascii="Times New Roman" w:eastAsiaTheme="minorEastAsia" w:hAnsi="Times New Roman" w:cs="Times New Roman"/>
          <w:sz w:val="24"/>
          <w:szCs w:val="24"/>
        </w:rPr>
        <w:t xml:space="preserve"> wastewater f</w:t>
      </w:r>
      <w:r w:rsidR="006E6CE4">
        <w:rPr>
          <w:rFonts w:ascii="Times New Roman" w:eastAsiaTheme="minorEastAsia" w:hAnsi="Times New Roman" w:cs="Times New Roman"/>
          <w:sz w:val="24"/>
          <w:szCs w:val="24"/>
        </w:rPr>
        <w:t>rom the Everett treatment plant.  For instance, Se is an ingredient that is used within anti-dandruff shampoos in high concentrations (</w:t>
      </w:r>
      <w:r w:rsidR="006E6CE4" w:rsidRPr="00832C4A">
        <w:rPr>
          <w:rFonts w:ascii="Times New Roman" w:eastAsiaTheme="minorEastAsia" w:hAnsi="Times New Roman" w:cs="Times New Roman"/>
          <w:sz w:val="24"/>
          <w:szCs w:val="24"/>
        </w:rPr>
        <w:t>USDHHS, Toxicology</w:t>
      </w:r>
      <w:r w:rsidR="006E6CE4">
        <w:rPr>
          <w:rFonts w:ascii="Times New Roman" w:eastAsiaTheme="minorEastAsia" w:hAnsi="Times New Roman" w:cs="Times New Roman"/>
          <w:sz w:val="24"/>
          <w:szCs w:val="24"/>
        </w:rPr>
        <w:t>, Se</w:t>
      </w:r>
      <w:r w:rsidR="006E6CE4" w:rsidRPr="00832C4A">
        <w:rPr>
          <w:rFonts w:ascii="Times New Roman" w:eastAsiaTheme="minorEastAsia" w:hAnsi="Times New Roman" w:cs="Times New Roman"/>
          <w:sz w:val="24"/>
          <w:szCs w:val="24"/>
        </w:rPr>
        <w:t>)</w:t>
      </w:r>
      <w:r w:rsidR="006E6CE4">
        <w:rPr>
          <w:rFonts w:ascii="Times New Roman" w:eastAsiaTheme="minorEastAsia" w:hAnsi="Times New Roman" w:cs="Times New Roman"/>
          <w:sz w:val="24"/>
          <w:szCs w:val="24"/>
        </w:rPr>
        <w:t>, and so could potentially contribute to Se enrichment within wastewater</w:t>
      </w:r>
      <w:r w:rsidR="00E54198">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Even though these may be sources that contribute to the </w:t>
      </w:r>
      <w:r w:rsidR="00227652">
        <w:rPr>
          <w:rFonts w:ascii="Times New Roman" w:eastAsiaTheme="minorEastAsia" w:hAnsi="Times New Roman" w:cs="Times New Roman"/>
          <w:sz w:val="24"/>
          <w:szCs w:val="24"/>
        </w:rPr>
        <w:t xml:space="preserve">observed </w:t>
      </w:r>
      <w:r>
        <w:rPr>
          <w:rFonts w:ascii="Times New Roman" w:eastAsiaTheme="minorEastAsia" w:hAnsi="Times New Roman" w:cs="Times New Roman"/>
          <w:sz w:val="24"/>
          <w:szCs w:val="24"/>
        </w:rPr>
        <w:t xml:space="preserve">Se enrichment, since Se is even more highly enriched at station RP01 (fish farm site) than at </w:t>
      </w:r>
      <w:r w:rsidR="00227652">
        <w:rPr>
          <w:rFonts w:ascii="Times New Roman" w:eastAsiaTheme="minorEastAsia" w:hAnsi="Times New Roman" w:cs="Times New Roman"/>
          <w:sz w:val="24"/>
          <w:szCs w:val="24"/>
        </w:rPr>
        <w:t xml:space="preserve">the other three </w:t>
      </w:r>
      <w:r>
        <w:rPr>
          <w:rFonts w:ascii="Times New Roman" w:eastAsiaTheme="minorEastAsia" w:hAnsi="Times New Roman" w:cs="Times New Roman"/>
          <w:sz w:val="24"/>
          <w:szCs w:val="24"/>
        </w:rPr>
        <w:t xml:space="preserve">stations, these are likely not the only sources (Fig. </w:t>
      </w:r>
      <w:r w:rsidR="00FA65FF">
        <w:rPr>
          <w:rFonts w:ascii="Times New Roman" w:eastAsiaTheme="minorEastAsia" w:hAnsi="Times New Roman" w:cs="Times New Roman"/>
          <w:sz w:val="24"/>
          <w:szCs w:val="24"/>
        </w:rPr>
        <w:t>3</w:t>
      </w:r>
      <w:r w:rsidRPr="00446715">
        <w:rPr>
          <w:rFonts w:ascii="Times New Roman" w:eastAsiaTheme="minorEastAsia" w:hAnsi="Times New Roman" w:cs="Times New Roman"/>
          <w:sz w:val="24"/>
          <w:szCs w:val="24"/>
        </w:rPr>
        <w:t>.)</w:t>
      </w:r>
      <w:r w:rsidR="00446715" w:rsidRPr="00446715">
        <w:rPr>
          <w:rFonts w:ascii="Times New Roman" w:eastAsiaTheme="minorEastAsia" w:hAnsi="Times New Roman" w:cs="Times New Roman"/>
          <w:sz w:val="24"/>
          <w:szCs w:val="24"/>
        </w:rPr>
        <w:t xml:space="preserve">  Se has been recommended as a </w:t>
      </w:r>
      <w:r w:rsidR="00446715" w:rsidRPr="00446715">
        <w:rPr>
          <w:rFonts w:ascii="Times New Roman" w:eastAsiaTheme="minorEastAsia" w:hAnsi="Times New Roman" w:cs="Times New Roman"/>
          <w:sz w:val="24"/>
          <w:szCs w:val="24"/>
        </w:rPr>
        <w:lastRenderedPageBreak/>
        <w:t>supplement for fish feed in aquaculture (Pacitti et al. 2016), so this could potentially be a source of Se to station RP01</w:t>
      </w:r>
      <w:r w:rsidR="006E6CE4">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The behavior of Se within the environment can also be influenced by its oxidation state and the differences in behavior of its different chemical compounds </w:t>
      </w:r>
      <w:r w:rsidRPr="00832C4A">
        <w:rPr>
          <w:rFonts w:ascii="Times New Roman" w:eastAsiaTheme="minorEastAsia" w:hAnsi="Times New Roman" w:cs="Times New Roman"/>
          <w:sz w:val="24"/>
          <w:szCs w:val="24"/>
        </w:rPr>
        <w:t>(USDHHS, Toxicology</w:t>
      </w:r>
      <w:r w:rsidR="00886867">
        <w:rPr>
          <w:rFonts w:ascii="Times New Roman" w:eastAsiaTheme="minorEastAsia" w:hAnsi="Times New Roman" w:cs="Times New Roman"/>
          <w:sz w:val="24"/>
          <w:szCs w:val="24"/>
        </w:rPr>
        <w:t>, Se</w:t>
      </w:r>
      <w:r w:rsidRPr="00832C4A">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w:t>
      </w:r>
    </w:p>
    <w:p w14:paraId="07EC1023" w14:textId="6EC41164" w:rsidR="00A14FE7" w:rsidRDefault="00A14FE7" w:rsidP="00A14FE7">
      <w:pPr>
        <w:spacing w:after="0" w:line="480" w:lineRule="auto"/>
        <w:rPr>
          <w:rFonts w:ascii="Times New Roman" w:hAnsi="Times New Roman" w:cs="Times New Roman"/>
          <w:sz w:val="24"/>
          <w:szCs w:val="24"/>
        </w:rPr>
      </w:pPr>
      <w:r>
        <w:rPr>
          <w:rFonts w:ascii="Times New Roman" w:hAnsi="Times New Roman" w:cs="Times New Roman"/>
          <w:sz w:val="24"/>
          <w:szCs w:val="24"/>
        </w:rPr>
        <w:tab/>
        <w:t>In a recent study, EFs were calculated for the surface sediments of two fjords on Vancouver Island: Zeballo</w:t>
      </w:r>
      <w:r w:rsidR="00C5460E">
        <w:rPr>
          <w:rFonts w:ascii="Times New Roman" w:hAnsi="Times New Roman" w:cs="Times New Roman"/>
          <w:sz w:val="24"/>
          <w:szCs w:val="24"/>
        </w:rPr>
        <w:t>s Inlet and Tahsis Inlet (Fig. 1</w:t>
      </w:r>
      <w:r>
        <w:rPr>
          <w:rFonts w:ascii="Times New Roman" w:hAnsi="Times New Roman" w:cs="Times New Roman"/>
          <w:sz w:val="24"/>
          <w:szCs w:val="24"/>
        </w:rPr>
        <w:t>) (Purdy et al. 2016.)  Purdy et al. (2016) concluded that As, Cd, and Se were the biggest problems for the local environment, given their high EFs c</w:t>
      </w:r>
      <w:r w:rsidR="00C5460E">
        <w:rPr>
          <w:rFonts w:ascii="Times New Roman" w:hAnsi="Times New Roman" w:cs="Times New Roman"/>
          <w:sz w:val="24"/>
          <w:szCs w:val="24"/>
        </w:rPr>
        <w:t>ompared to average shale (Fig. 1</w:t>
      </w:r>
      <w:r>
        <w:rPr>
          <w:rFonts w:ascii="Times New Roman" w:hAnsi="Times New Roman" w:cs="Times New Roman"/>
          <w:sz w:val="24"/>
          <w:szCs w:val="24"/>
        </w:rPr>
        <w:t>.)  The EFs of As and Se calculated for the surface sedime</w:t>
      </w:r>
      <w:r w:rsidR="00FA65FF">
        <w:rPr>
          <w:rFonts w:ascii="Times New Roman" w:hAnsi="Times New Roman" w:cs="Times New Roman"/>
          <w:sz w:val="24"/>
          <w:szCs w:val="24"/>
        </w:rPr>
        <w:t>nts in the present study (Fig. 3</w:t>
      </w:r>
      <w:r>
        <w:rPr>
          <w:rFonts w:ascii="Times New Roman" w:hAnsi="Times New Roman" w:cs="Times New Roman"/>
          <w:sz w:val="24"/>
          <w:szCs w:val="24"/>
        </w:rPr>
        <w:t>) were much higher than the EFs calculated in Purdy et al.’s (2016) study, by approximately one order of magnitude.  One possible explanation for these differences in As and Se EFs could be due to the fact that the mines that were located north of the rivers in Zeballos Inlet and Tahsis Inlet were not in operation as long as the Lenora, Tyee, and Richard III mines near stations CB01 and SC01 north of Saanich Inlet.  The Zeballos mines were operated between 1924-1929 and again from 1934-1948, with intermittent mining activities within those time periods (Stevenson, 1950.)  The Lenora, Tyee, and Richard III mines were in operation between approximately 1898-1910, and then were amalgamated and operated again between 1942-1952 as the “Twin J” mine</w:t>
      </w:r>
    </w:p>
    <w:p w14:paraId="4260C08A" w14:textId="5DEE7EFE" w:rsidR="00C830BA" w:rsidRDefault="00A14FE7" w:rsidP="00A14FE7">
      <w:pPr>
        <w:spacing w:after="0" w:line="480" w:lineRule="auto"/>
        <w:rPr>
          <w:rFonts w:ascii="Times New Roman" w:hAnsi="Times New Roman" w:cs="Times New Roman"/>
          <w:sz w:val="24"/>
          <w:szCs w:val="24"/>
        </w:rPr>
      </w:pPr>
      <w:r w:rsidRPr="007A1B57">
        <w:rPr>
          <w:rFonts w:ascii="Times New Roman" w:hAnsi="Times New Roman" w:cs="Times New Roman"/>
          <w:sz w:val="24"/>
          <w:szCs w:val="24"/>
        </w:rPr>
        <w:t xml:space="preserve"> (MINFILE Record Summary No 092B001, Ministry of Energy and Mines.)</w:t>
      </w:r>
      <w:r>
        <w:rPr>
          <w:rFonts w:ascii="Times New Roman" w:hAnsi="Times New Roman" w:cs="Times New Roman"/>
          <w:sz w:val="24"/>
          <w:szCs w:val="24"/>
        </w:rPr>
        <w:t xml:space="preserve">  In addition to the mines near Saanich Inlet being run for a longer total period of time and more recently than the mines in Zeballos Inlet, there were more consistent/less intermittent mining activities conducted during the years of operation.  This likely allowed more time for greater accumulation of heavy metals within the sediments at stations CB01 and SC01 than at Purdy et al.’s (2016) Zeballos Inlet and Tahsis Inlet stations, contributing to higher As and Se EFs at these sites.  However, it is </w:t>
      </w:r>
      <w:r>
        <w:rPr>
          <w:rFonts w:ascii="Times New Roman" w:hAnsi="Times New Roman" w:cs="Times New Roman"/>
          <w:sz w:val="24"/>
          <w:szCs w:val="24"/>
        </w:rPr>
        <w:lastRenderedPageBreak/>
        <w:t>important to note that the EF for Cu in Purdy et al.’s (2016) study was higher than the EF for</w:t>
      </w:r>
      <w:r w:rsidR="007F3454">
        <w:rPr>
          <w:rFonts w:ascii="Times New Roman" w:hAnsi="Times New Roman" w:cs="Times New Roman"/>
          <w:sz w:val="24"/>
          <w:szCs w:val="24"/>
        </w:rPr>
        <w:t xml:space="preserve"> Cu in t</w:t>
      </w:r>
      <w:r w:rsidR="00FA65FF">
        <w:rPr>
          <w:rFonts w:ascii="Times New Roman" w:hAnsi="Times New Roman" w:cs="Times New Roman"/>
          <w:sz w:val="24"/>
          <w:szCs w:val="24"/>
        </w:rPr>
        <w:t>he present study (Fig. 3</w:t>
      </w:r>
      <w:r w:rsidR="00C5460E">
        <w:rPr>
          <w:rFonts w:ascii="Times New Roman" w:hAnsi="Times New Roman" w:cs="Times New Roman"/>
          <w:sz w:val="24"/>
          <w:szCs w:val="24"/>
        </w:rPr>
        <w:t>, Fig. 1</w:t>
      </w:r>
      <w:r>
        <w:rPr>
          <w:rFonts w:ascii="Times New Roman" w:hAnsi="Times New Roman" w:cs="Times New Roman"/>
          <w:sz w:val="24"/>
          <w:szCs w:val="24"/>
        </w:rPr>
        <w:t xml:space="preserve">,) even though the mines in both studies were copper mines.  The amount of Cu extracted from the “Twin J” mine (comprised of three separate sites) was 16.72 lbs/ton </w:t>
      </w:r>
      <w:r w:rsidRPr="007A1B57">
        <w:rPr>
          <w:rFonts w:ascii="Times New Roman" w:hAnsi="Times New Roman" w:cs="Times New Roman"/>
          <w:sz w:val="24"/>
          <w:szCs w:val="24"/>
        </w:rPr>
        <w:t>(MINFILE Record Summary No 092B001, Minis</w:t>
      </w:r>
      <w:r>
        <w:rPr>
          <w:rFonts w:ascii="Times New Roman" w:hAnsi="Times New Roman" w:cs="Times New Roman"/>
          <w:sz w:val="24"/>
          <w:szCs w:val="24"/>
        </w:rPr>
        <w:t xml:space="preserve">try of Energy and Mines,) while the amount of Cu extracted from the suite of fifteen Zeballos mines was approximately 35.6 lbs/ton (Stevenson, 1950.)  Even though the mines north of Saanich were </w:t>
      </w:r>
      <w:r w:rsidR="001A1679">
        <w:rPr>
          <w:rFonts w:ascii="Times New Roman" w:hAnsi="Times New Roman" w:cs="Times New Roman"/>
          <w:sz w:val="24"/>
          <w:szCs w:val="24"/>
        </w:rPr>
        <w:t>in operation</w:t>
      </w:r>
      <w:r>
        <w:rPr>
          <w:rFonts w:ascii="Times New Roman" w:hAnsi="Times New Roman" w:cs="Times New Roman"/>
          <w:sz w:val="24"/>
          <w:szCs w:val="24"/>
        </w:rPr>
        <w:t xml:space="preserve"> more consistently and for a longer total period of time, allowing for a greater accumulation of heavy metals such as As and Se, the total amount of Cu extracted from the Saanich mines was not as much as was extracted from the Zeballos mines because there were </w:t>
      </w:r>
      <w:r w:rsidR="00FC78DD">
        <w:rPr>
          <w:rFonts w:ascii="Times New Roman" w:hAnsi="Times New Roman" w:cs="Times New Roman"/>
          <w:sz w:val="24"/>
          <w:szCs w:val="24"/>
        </w:rPr>
        <w:t>fewer mining sites</w:t>
      </w:r>
      <w:r>
        <w:rPr>
          <w:rFonts w:ascii="Times New Roman" w:hAnsi="Times New Roman" w:cs="Times New Roman"/>
          <w:sz w:val="24"/>
          <w:szCs w:val="24"/>
        </w:rPr>
        <w:t xml:space="preserve">.  The greater total amount of Cu extracted from Zeballos likely contributed to the higher Cu EF </w:t>
      </w:r>
      <w:r w:rsidR="00302FEE">
        <w:rPr>
          <w:rFonts w:ascii="Times New Roman" w:hAnsi="Times New Roman" w:cs="Times New Roman"/>
          <w:sz w:val="24"/>
          <w:szCs w:val="24"/>
        </w:rPr>
        <w:t>in Purdy et al.’s (2016) study.</w:t>
      </w:r>
      <w:r w:rsidR="001F65A5">
        <w:rPr>
          <w:rFonts w:ascii="Times New Roman" w:hAnsi="Times New Roman" w:cs="Times New Roman"/>
          <w:sz w:val="24"/>
          <w:szCs w:val="24"/>
        </w:rPr>
        <w:t xml:space="preserve">  </w:t>
      </w:r>
      <w:r w:rsidR="00302FEE">
        <w:rPr>
          <w:rFonts w:ascii="Times New Roman" w:hAnsi="Times New Roman" w:cs="Times New Roman"/>
          <w:sz w:val="24"/>
          <w:szCs w:val="24"/>
        </w:rPr>
        <w:t>S</w:t>
      </w:r>
      <w:r w:rsidR="00C830BA">
        <w:rPr>
          <w:rFonts w:ascii="Times New Roman" w:hAnsi="Times New Roman" w:cs="Times New Roman"/>
          <w:sz w:val="24"/>
          <w:szCs w:val="24"/>
        </w:rPr>
        <w:t>ince these two studies were conducted in separate fjords,</w:t>
      </w:r>
      <w:r w:rsidR="008E12DE">
        <w:rPr>
          <w:rFonts w:ascii="Times New Roman" w:hAnsi="Times New Roman" w:cs="Times New Roman"/>
          <w:sz w:val="24"/>
          <w:szCs w:val="24"/>
        </w:rPr>
        <w:t xml:space="preserve"> it is possible that</w:t>
      </w:r>
      <w:r w:rsidR="00C830BA">
        <w:rPr>
          <w:rFonts w:ascii="Times New Roman" w:hAnsi="Times New Roman" w:cs="Times New Roman"/>
          <w:sz w:val="24"/>
          <w:szCs w:val="24"/>
        </w:rPr>
        <w:t xml:space="preserve"> differences in sediment accumulation rates</w:t>
      </w:r>
      <w:r w:rsidR="00302FEE">
        <w:rPr>
          <w:rFonts w:ascii="Times New Roman" w:hAnsi="Times New Roman" w:cs="Times New Roman"/>
          <w:sz w:val="24"/>
          <w:szCs w:val="24"/>
        </w:rPr>
        <w:t>, along with dif</w:t>
      </w:r>
      <w:r w:rsidR="009A7CAE">
        <w:rPr>
          <w:rFonts w:ascii="Times New Roman" w:hAnsi="Times New Roman" w:cs="Times New Roman"/>
          <w:sz w:val="24"/>
          <w:szCs w:val="24"/>
        </w:rPr>
        <w:t>ferences in the amount of metal</w:t>
      </w:r>
      <w:r w:rsidR="00302FEE">
        <w:rPr>
          <w:rFonts w:ascii="Times New Roman" w:hAnsi="Times New Roman" w:cs="Times New Roman"/>
          <w:sz w:val="24"/>
          <w:szCs w:val="24"/>
        </w:rPr>
        <w:t xml:space="preserve"> that could be potentially still leaching from inland mine tailings, </w:t>
      </w:r>
      <w:r w:rsidR="00C830BA">
        <w:rPr>
          <w:rFonts w:ascii="Times New Roman" w:hAnsi="Times New Roman" w:cs="Times New Roman"/>
          <w:sz w:val="24"/>
          <w:szCs w:val="24"/>
        </w:rPr>
        <w:t>could have contributed to the differences between the calculated EFs.</w:t>
      </w:r>
      <w:r w:rsidR="00302FEE">
        <w:rPr>
          <w:rFonts w:ascii="Times New Roman" w:hAnsi="Times New Roman" w:cs="Times New Roman"/>
          <w:sz w:val="24"/>
          <w:szCs w:val="24"/>
        </w:rPr>
        <w:t xml:space="preserve">  The higher the sediment accumulation rate and the l</w:t>
      </w:r>
      <w:r w:rsidR="009A7CAE">
        <w:rPr>
          <w:rFonts w:ascii="Times New Roman" w:hAnsi="Times New Roman" w:cs="Times New Roman"/>
          <w:sz w:val="24"/>
          <w:szCs w:val="24"/>
        </w:rPr>
        <w:t xml:space="preserve">ower the amount of metal that could be </w:t>
      </w:r>
      <w:r w:rsidR="00302FEE">
        <w:rPr>
          <w:rFonts w:ascii="Times New Roman" w:hAnsi="Times New Roman" w:cs="Times New Roman"/>
          <w:sz w:val="24"/>
          <w:szCs w:val="24"/>
        </w:rPr>
        <w:t>potentially still leaching from mine tailin</w:t>
      </w:r>
      <w:r w:rsidR="009A7CAE">
        <w:rPr>
          <w:rFonts w:ascii="Times New Roman" w:hAnsi="Times New Roman" w:cs="Times New Roman"/>
          <w:sz w:val="24"/>
          <w:szCs w:val="24"/>
        </w:rPr>
        <w:t>gs, the lower the EF</w:t>
      </w:r>
      <w:r w:rsidR="008E12DE">
        <w:rPr>
          <w:rFonts w:ascii="Times New Roman" w:hAnsi="Times New Roman" w:cs="Times New Roman"/>
          <w:sz w:val="24"/>
          <w:szCs w:val="24"/>
        </w:rPr>
        <w:t xml:space="preserve"> </w:t>
      </w:r>
      <w:r w:rsidR="00705329">
        <w:rPr>
          <w:rFonts w:ascii="Times New Roman" w:hAnsi="Times New Roman" w:cs="Times New Roman"/>
          <w:sz w:val="24"/>
          <w:szCs w:val="24"/>
        </w:rPr>
        <w:t>in the surface sediments would be</w:t>
      </w:r>
      <w:r w:rsidR="009A7CAE">
        <w:rPr>
          <w:rFonts w:ascii="Times New Roman" w:hAnsi="Times New Roman" w:cs="Times New Roman"/>
          <w:sz w:val="24"/>
          <w:szCs w:val="24"/>
        </w:rPr>
        <w:t>.  Likewise,</w:t>
      </w:r>
      <w:r w:rsidR="00302FEE">
        <w:rPr>
          <w:rFonts w:ascii="Times New Roman" w:hAnsi="Times New Roman" w:cs="Times New Roman"/>
          <w:sz w:val="24"/>
          <w:szCs w:val="24"/>
        </w:rPr>
        <w:t xml:space="preserve"> the lower the sediment accumulation rate and the hi</w:t>
      </w:r>
      <w:r w:rsidR="009A7CAE">
        <w:rPr>
          <w:rFonts w:ascii="Times New Roman" w:hAnsi="Times New Roman" w:cs="Times New Roman"/>
          <w:sz w:val="24"/>
          <w:szCs w:val="24"/>
        </w:rPr>
        <w:t>gher the amount of metal that could be</w:t>
      </w:r>
      <w:r w:rsidR="00302FEE">
        <w:rPr>
          <w:rFonts w:ascii="Times New Roman" w:hAnsi="Times New Roman" w:cs="Times New Roman"/>
          <w:sz w:val="24"/>
          <w:szCs w:val="24"/>
        </w:rPr>
        <w:t xml:space="preserve"> potentially still leaching from mi</w:t>
      </w:r>
      <w:r w:rsidR="009A7CAE">
        <w:rPr>
          <w:rFonts w:ascii="Times New Roman" w:hAnsi="Times New Roman" w:cs="Times New Roman"/>
          <w:sz w:val="24"/>
          <w:szCs w:val="24"/>
        </w:rPr>
        <w:t xml:space="preserve">ne tailings, </w:t>
      </w:r>
      <w:r w:rsidR="00302FEE">
        <w:rPr>
          <w:rFonts w:ascii="Times New Roman" w:hAnsi="Times New Roman" w:cs="Times New Roman"/>
          <w:sz w:val="24"/>
          <w:szCs w:val="24"/>
        </w:rPr>
        <w:t>the higher the EF</w:t>
      </w:r>
      <w:r w:rsidR="00705329">
        <w:rPr>
          <w:rFonts w:ascii="Times New Roman" w:hAnsi="Times New Roman" w:cs="Times New Roman"/>
          <w:sz w:val="24"/>
          <w:szCs w:val="24"/>
        </w:rPr>
        <w:t xml:space="preserve"> in the surface sediments</w:t>
      </w:r>
      <w:r w:rsidR="008E12DE">
        <w:rPr>
          <w:rFonts w:ascii="Times New Roman" w:hAnsi="Times New Roman" w:cs="Times New Roman"/>
          <w:sz w:val="24"/>
          <w:szCs w:val="24"/>
        </w:rPr>
        <w:t xml:space="preserve"> would be</w:t>
      </w:r>
      <w:r w:rsidR="00302FEE">
        <w:rPr>
          <w:rFonts w:ascii="Times New Roman" w:hAnsi="Times New Roman" w:cs="Times New Roman"/>
          <w:sz w:val="24"/>
          <w:szCs w:val="24"/>
        </w:rPr>
        <w:t>.</w:t>
      </w:r>
      <w:r w:rsidR="001F65A5">
        <w:rPr>
          <w:rFonts w:ascii="Times New Roman" w:hAnsi="Times New Roman" w:cs="Times New Roman"/>
          <w:sz w:val="24"/>
          <w:szCs w:val="24"/>
        </w:rPr>
        <w:t xml:space="preserve">  </w:t>
      </w:r>
      <w:r w:rsidR="00B209D7">
        <w:rPr>
          <w:rFonts w:ascii="Times New Roman" w:hAnsi="Times New Roman" w:cs="Times New Roman"/>
          <w:sz w:val="24"/>
          <w:szCs w:val="24"/>
        </w:rPr>
        <w:t xml:space="preserve">More research would need to be done to further investigate this </w:t>
      </w:r>
      <w:r w:rsidR="00F56ECA">
        <w:rPr>
          <w:rFonts w:ascii="Times New Roman" w:hAnsi="Times New Roman" w:cs="Times New Roman"/>
          <w:sz w:val="24"/>
          <w:szCs w:val="24"/>
        </w:rPr>
        <w:t>potential process</w:t>
      </w:r>
      <w:r w:rsidR="00B209D7">
        <w:rPr>
          <w:rFonts w:ascii="Times New Roman" w:hAnsi="Times New Roman" w:cs="Times New Roman"/>
          <w:sz w:val="24"/>
          <w:szCs w:val="24"/>
        </w:rPr>
        <w:t xml:space="preserve"> in order to get a broader understanding of what contributes to elevated me</w:t>
      </w:r>
      <w:r w:rsidR="00F56ECA">
        <w:rPr>
          <w:rFonts w:ascii="Times New Roman" w:hAnsi="Times New Roman" w:cs="Times New Roman"/>
          <w:sz w:val="24"/>
          <w:szCs w:val="24"/>
        </w:rPr>
        <w:t>tal concentrations between</w:t>
      </w:r>
      <w:r w:rsidR="00B209D7">
        <w:rPr>
          <w:rFonts w:ascii="Times New Roman" w:hAnsi="Times New Roman" w:cs="Times New Roman"/>
          <w:sz w:val="24"/>
          <w:szCs w:val="24"/>
        </w:rPr>
        <w:t xml:space="preserve"> different locations.  </w:t>
      </w:r>
    </w:p>
    <w:p w14:paraId="60D14C01" w14:textId="77777777" w:rsidR="000F2489" w:rsidRDefault="000F2489" w:rsidP="00A14FE7">
      <w:pPr>
        <w:spacing w:after="0" w:line="480" w:lineRule="auto"/>
        <w:rPr>
          <w:rFonts w:ascii="Times New Roman" w:hAnsi="Times New Roman" w:cs="Times New Roman"/>
          <w:sz w:val="24"/>
          <w:szCs w:val="24"/>
          <w:u w:val="single"/>
        </w:rPr>
      </w:pPr>
    </w:p>
    <w:p w14:paraId="44C88AD7" w14:textId="77777777" w:rsidR="00A14FE7" w:rsidRPr="00A21FAD" w:rsidRDefault="00A14FE7" w:rsidP="00A14FE7">
      <w:pPr>
        <w:spacing w:after="0" w:line="480" w:lineRule="auto"/>
        <w:rPr>
          <w:rFonts w:ascii="Times New Roman" w:hAnsi="Times New Roman" w:cs="Times New Roman"/>
          <w:sz w:val="24"/>
          <w:szCs w:val="24"/>
          <w:u w:val="single"/>
        </w:rPr>
      </w:pPr>
      <w:r w:rsidRPr="00A21FAD">
        <w:rPr>
          <w:rFonts w:ascii="Times New Roman" w:hAnsi="Times New Roman" w:cs="Times New Roman"/>
          <w:sz w:val="24"/>
          <w:szCs w:val="24"/>
          <w:u w:val="single"/>
        </w:rPr>
        <w:t>Biota</w:t>
      </w:r>
      <w:r>
        <w:rPr>
          <w:rFonts w:ascii="Times New Roman" w:hAnsi="Times New Roman" w:cs="Times New Roman"/>
          <w:sz w:val="24"/>
          <w:szCs w:val="24"/>
          <w:u w:val="single"/>
        </w:rPr>
        <w:t xml:space="preserve"> Enrichment Factors (EFs)</w:t>
      </w:r>
    </w:p>
    <w:p w14:paraId="5C832123" w14:textId="53208442" w:rsidR="00A14FE7" w:rsidRDefault="00A14FE7" w:rsidP="00A14FE7">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The second hypothesis, that when these heavy metal contaminants were detectable within the sediments they would also be detectable within the benthic invertebrates and pelagic zooplankton, was also only partially supported.  All the heavy metals that showed elevated concentrations within the surface sediments also showed elevated concentrations within the inver</w:t>
      </w:r>
      <w:r w:rsidR="00FA65FF">
        <w:rPr>
          <w:rFonts w:ascii="Times New Roman" w:hAnsi="Times New Roman" w:cs="Times New Roman"/>
          <w:sz w:val="24"/>
          <w:szCs w:val="24"/>
        </w:rPr>
        <w:t>tebrates and zooplankton (Fig. 3, Fig. 4</w:t>
      </w:r>
      <w:r>
        <w:rPr>
          <w:rFonts w:ascii="Times New Roman" w:hAnsi="Times New Roman" w:cs="Times New Roman"/>
          <w:sz w:val="24"/>
          <w:szCs w:val="24"/>
        </w:rPr>
        <w:t>), which supports the hypothesi</w:t>
      </w:r>
      <w:r w:rsidR="00936825">
        <w:rPr>
          <w:rFonts w:ascii="Times New Roman" w:hAnsi="Times New Roman" w:cs="Times New Roman"/>
          <w:sz w:val="24"/>
          <w:szCs w:val="24"/>
        </w:rPr>
        <w:t xml:space="preserve">s.  It is possible that some metals are still leaching from inland mine tailings, which is why they are enriched within the surface sediments and within the biota </w:t>
      </w:r>
      <w:r w:rsidR="00936825" w:rsidRPr="00AF2E93">
        <w:rPr>
          <w:rFonts w:ascii="Times New Roman" w:hAnsi="Times New Roman" w:cs="Times New Roman"/>
          <w:sz w:val="24"/>
          <w:szCs w:val="24"/>
        </w:rPr>
        <w:t>(Table II</w:t>
      </w:r>
      <w:r w:rsidR="00B03E28" w:rsidRPr="00AF2E93">
        <w:rPr>
          <w:rFonts w:ascii="Times New Roman" w:hAnsi="Times New Roman" w:cs="Times New Roman"/>
          <w:sz w:val="24"/>
          <w:szCs w:val="24"/>
        </w:rPr>
        <w:t>I</w:t>
      </w:r>
      <w:r w:rsidR="00936825" w:rsidRPr="00AF2E93">
        <w:rPr>
          <w:rFonts w:ascii="Times New Roman" w:hAnsi="Times New Roman" w:cs="Times New Roman"/>
          <w:sz w:val="24"/>
          <w:szCs w:val="24"/>
        </w:rPr>
        <w:t>,)</w:t>
      </w:r>
      <w:r w:rsidR="00936825">
        <w:rPr>
          <w:rFonts w:ascii="Times New Roman" w:hAnsi="Times New Roman" w:cs="Times New Roman"/>
          <w:sz w:val="24"/>
          <w:szCs w:val="24"/>
        </w:rPr>
        <w:t xml:space="preserve"> however, more research is needed in order to investigate this mechanism.  </w:t>
      </w:r>
      <w:r>
        <w:rPr>
          <w:rFonts w:ascii="Times New Roman" w:hAnsi="Times New Roman" w:cs="Times New Roman"/>
          <w:sz w:val="24"/>
          <w:szCs w:val="24"/>
        </w:rPr>
        <w:t xml:space="preserve">The EFs calculated for the biota were approximately one order of magnitude higher than the EFs calculated for the surface sediments, providing evidence of bioaccumulation of heavy </w:t>
      </w:r>
      <w:r w:rsidR="00FA65FF">
        <w:rPr>
          <w:rFonts w:ascii="Times New Roman" w:hAnsi="Times New Roman" w:cs="Times New Roman"/>
          <w:sz w:val="24"/>
          <w:szCs w:val="24"/>
        </w:rPr>
        <w:t>metals into the food web (Fig. 3, Fig. 4</w:t>
      </w:r>
      <w:r>
        <w:rPr>
          <w:rFonts w:ascii="Times New Roman" w:hAnsi="Times New Roman" w:cs="Times New Roman"/>
          <w:sz w:val="24"/>
          <w:szCs w:val="24"/>
        </w:rPr>
        <w:t>.)  Two of the heavy metals were enriched in the biota but were not detected within the sediments.  Pb was present at elevated concentrations within the zooplankton at station CB01 and within the invertebrates at station SC01, and Ag was present at highly elevated concentrations within the invertebrates at bot</w:t>
      </w:r>
      <w:r w:rsidR="00FA65FF">
        <w:rPr>
          <w:rFonts w:ascii="Times New Roman" w:hAnsi="Times New Roman" w:cs="Times New Roman"/>
          <w:sz w:val="24"/>
          <w:szCs w:val="24"/>
        </w:rPr>
        <w:t>h stations CB01 and SC01 (Fig. 4</w:t>
      </w:r>
      <w:r>
        <w:rPr>
          <w:rFonts w:ascii="Times New Roman" w:hAnsi="Times New Roman" w:cs="Times New Roman"/>
          <w:sz w:val="24"/>
          <w:szCs w:val="24"/>
        </w:rPr>
        <w:t>), even when these two metals were not detected within the surface sediments at either station (Table I</w:t>
      </w:r>
      <w:r w:rsidR="00373936">
        <w:rPr>
          <w:rFonts w:ascii="Times New Roman" w:hAnsi="Times New Roman" w:cs="Times New Roman"/>
          <w:sz w:val="24"/>
          <w:szCs w:val="24"/>
        </w:rPr>
        <w:t>I</w:t>
      </w:r>
      <w:r>
        <w:rPr>
          <w:rFonts w:ascii="Times New Roman" w:hAnsi="Times New Roman" w:cs="Times New Roman"/>
          <w:sz w:val="24"/>
          <w:szCs w:val="24"/>
        </w:rPr>
        <w:t>.)  The Lenora, Tyee, and Richard III mines produced mainly copper, silver, and gold.  But when these three mines were amalgamated and run from 1942-1952, they produced Au, Ag, Cu, Pb, Zn, and Cd</w:t>
      </w:r>
      <w:r w:rsidRPr="007A1B57">
        <w:rPr>
          <w:rFonts w:ascii="Times New Roman" w:hAnsi="Times New Roman" w:cs="Times New Roman"/>
          <w:sz w:val="24"/>
          <w:szCs w:val="24"/>
        </w:rPr>
        <w:t xml:space="preserve"> (MINFILE Record Summary No 092B001, Ministry of Energy and Mines.)</w:t>
      </w:r>
      <w:r>
        <w:rPr>
          <w:rFonts w:ascii="Times New Roman" w:hAnsi="Times New Roman" w:cs="Times New Roman"/>
          <w:sz w:val="24"/>
          <w:szCs w:val="24"/>
        </w:rPr>
        <w:t xml:space="preserve">  Since it has been 66 years since the mines were in operation, there are likely no leftover traces of Pb and Ag to the surface sediments, and these metals are likely located l</w:t>
      </w:r>
      <w:r w:rsidR="003D2C38">
        <w:rPr>
          <w:rFonts w:ascii="Times New Roman" w:hAnsi="Times New Roman" w:cs="Times New Roman"/>
          <w:sz w:val="24"/>
          <w:szCs w:val="24"/>
        </w:rPr>
        <w:t>ower within the sediment column</w:t>
      </w:r>
      <w:r>
        <w:rPr>
          <w:rFonts w:ascii="Times New Roman" w:hAnsi="Times New Roman" w:cs="Times New Roman"/>
          <w:sz w:val="24"/>
          <w:szCs w:val="24"/>
        </w:rPr>
        <w:t xml:space="preserve"> and therefore do not show up in the surface sediments.  Since benthic invertebrates can move within the sediments, they likely moved farther down within the sediment column, accumulating the Ag and Pb that had been deposited earlier, before coming back up to the surface sediments.  In order to validate this </w:t>
      </w:r>
      <w:r>
        <w:rPr>
          <w:rFonts w:ascii="Times New Roman" w:hAnsi="Times New Roman" w:cs="Times New Roman"/>
          <w:sz w:val="24"/>
          <w:szCs w:val="24"/>
        </w:rPr>
        <w:lastRenderedPageBreak/>
        <w:t>theory, further studies would need to be conducted on the sediments at stations CB01 and SC01 in order to determine the distribution of heavy metal contaminants within the sediment column</w:t>
      </w:r>
      <w:r w:rsidR="00976036">
        <w:rPr>
          <w:rFonts w:ascii="Times New Roman" w:hAnsi="Times New Roman" w:cs="Times New Roman"/>
          <w:sz w:val="24"/>
          <w:szCs w:val="24"/>
        </w:rPr>
        <w:t>.</w:t>
      </w:r>
      <w:r w:rsidR="000D3036">
        <w:rPr>
          <w:rFonts w:ascii="Times New Roman" w:hAnsi="Times New Roman" w:cs="Times New Roman"/>
          <w:sz w:val="24"/>
          <w:szCs w:val="24"/>
        </w:rPr>
        <w:t xml:space="preserve"> </w:t>
      </w:r>
    </w:p>
    <w:p w14:paraId="2D9B1D0C" w14:textId="3300ACD2" w:rsidR="00A14FE7" w:rsidRPr="002E0725" w:rsidRDefault="00A14FE7" w:rsidP="00A14FE7">
      <w:pPr>
        <w:spacing w:after="0" w:line="480" w:lineRule="auto"/>
        <w:rPr>
          <w:rFonts w:ascii="Times New Roman" w:hAnsi="Times New Roman" w:cs="Times New Roman"/>
          <w:color w:val="000000"/>
          <w:sz w:val="24"/>
          <w:szCs w:val="24"/>
        </w:rPr>
      </w:pPr>
      <w:r>
        <w:rPr>
          <w:rFonts w:ascii="Times New Roman" w:hAnsi="Times New Roman" w:cs="Times New Roman"/>
          <w:sz w:val="24"/>
          <w:szCs w:val="24"/>
        </w:rPr>
        <w:tab/>
        <w:t>The concentrations of the nine heavy metals within each sample, along with the % organic carbon (OC) within the same respective sample, were used to calculate an amount of metal per gram of OC in order to provide a standardization that will overcome spatial and temporal constraints and will allow comparison t</w:t>
      </w:r>
      <w:r w:rsidR="00FA65FF">
        <w:rPr>
          <w:rFonts w:ascii="Times New Roman" w:hAnsi="Times New Roman" w:cs="Times New Roman"/>
          <w:sz w:val="24"/>
          <w:szCs w:val="24"/>
        </w:rPr>
        <w:t>o other similar datasets (Fig. 5</w:t>
      </w:r>
      <w:r>
        <w:rPr>
          <w:rFonts w:ascii="Times New Roman" w:hAnsi="Times New Roman" w:cs="Times New Roman"/>
          <w:sz w:val="24"/>
          <w:szCs w:val="24"/>
        </w:rPr>
        <w:t>.)  Out of the nine heavy metals present at enriched concentrations within</w:t>
      </w:r>
      <w:r w:rsidR="00FA65FF">
        <w:rPr>
          <w:rFonts w:ascii="Times New Roman" w:hAnsi="Times New Roman" w:cs="Times New Roman"/>
          <w:sz w:val="24"/>
          <w:szCs w:val="24"/>
        </w:rPr>
        <w:t xml:space="preserve"> the invertebrate tissue (Fig. 4</w:t>
      </w:r>
      <w:r>
        <w:rPr>
          <w:rFonts w:ascii="Times New Roman" w:hAnsi="Times New Roman" w:cs="Times New Roman"/>
          <w:sz w:val="24"/>
          <w:szCs w:val="24"/>
        </w:rPr>
        <w:t>), As, Se, and Zn showed the highes</w:t>
      </w:r>
      <w:r w:rsidR="00190E02">
        <w:rPr>
          <w:rFonts w:ascii="Times New Roman" w:hAnsi="Times New Roman" w:cs="Times New Roman"/>
          <w:sz w:val="24"/>
          <w:szCs w:val="24"/>
        </w:rPr>
        <w:t>t amounts per gra</w:t>
      </w:r>
      <w:r w:rsidR="00FA65FF">
        <w:rPr>
          <w:rFonts w:ascii="Times New Roman" w:hAnsi="Times New Roman" w:cs="Times New Roman"/>
          <w:sz w:val="24"/>
          <w:szCs w:val="24"/>
        </w:rPr>
        <w:t>m of OC (Fig. 5</w:t>
      </w:r>
      <w:r>
        <w:rPr>
          <w:rFonts w:ascii="Times New Roman" w:hAnsi="Times New Roman" w:cs="Times New Roman"/>
          <w:sz w:val="24"/>
          <w:szCs w:val="24"/>
        </w:rPr>
        <w:t>.)  All three of these metals are found naturally within the environment, but when these concen</w:t>
      </w:r>
      <w:r w:rsidR="00FA65FF">
        <w:rPr>
          <w:rFonts w:ascii="Times New Roman" w:hAnsi="Times New Roman" w:cs="Times New Roman"/>
          <w:sz w:val="24"/>
          <w:szCs w:val="24"/>
        </w:rPr>
        <w:t>trations become enriched (Fig. 4</w:t>
      </w:r>
      <w:r>
        <w:rPr>
          <w:rFonts w:ascii="Times New Roman" w:hAnsi="Times New Roman" w:cs="Times New Roman"/>
          <w:sz w:val="24"/>
          <w:szCs w:val="24"/>
        </w:rPr>
        <w:t xml:space="preserve">), they can become toxic to marine life, and sometimes can affect humans.  For instance, one study estimated the target cancer risks (TR) based on a 95% occurrence probability from ingesting inorganic As by consuming oysters with concentrations of As up to 33.37 </w:t>
      </w:r>
      <w:r w:rsidRPr="00D93232">
        <w:rPr>
          <w:rFonts w:ascii="Times New Roman" w:hAnsi="Times New Roman" w:cs="Times New Roman"/>
          <w:color w:val="000000"/>
          <w:sz w:val="24"/>
          <w:szCs w:val="24"/>
        </w:rPr>
        <w:t>μ</w:t>
      </w:r>
      <w:r>
        <w:rPr>
          <w:rFonts w:ascii="Times New Roman" w:hAnsi="Times New Roman" w:cs="Times New Roman"/>
          <w:color w:val="000000"/>
          <w:sz w:val="24"/>
          <w:szCs w:val="24"/>
        </w:rPr>
        <w:t>g/g</w:t>
      </w:r>
      <w:r>
        <w:rPr>
          <w:rFonts w:ascii="Times New Roman" w:hAnsi="Times New Roman" w:cs="Times New Roman"/>
          <w:sz w:val="24"/>
          <w:szCs w:val="24"/>
        </w:rPr>
        <w:t xml:space="preserve"> at a rate of 18.6-56 g/day  (Liu et al. 2006.)  The probabilities of TR from consuming these oysters fell within the range that suggested a potential cancer risk (Liu et al. 2006.)  The invertebrates in this study had As concentrations much higher than the As concentrations in these oysters; the zooplankton at station CB01 had an As concentration of 81 </w:t>
      </w:r>
      <w:r w:rsidRPr="00D93232">
        <w:rPr>
          <w:rFonts w:ascii="Times New Roman" w:hAnsi="Times New Roman" w:cs="Times New Roman"/>
          <w:color w:val="000000"/>
          <w:sz w:val="24"/>
          <w:szCs w:val="24"/>
        </w:rPr>
        <w:t>μ</w:t>
      </w:r>
      <w:r>
        <w:rPr>
          <w:rFonts w:ascii="Times New Roman" w:hAnsi="Times New Roman" w:cs="Times New Roman"/>
          <w:color w:val="000000"/>
          <w:sz w:val="24"/>
          <w:szCs w:val="24"/>
        </w:rPr>
        <w:t>g/g</w:t>
      </w:r>
      <w:r>
        <w:rPr>
          <w:rFonts w:ascii="Times New Roman" w:hAnsi="Times New Roman" w:cs="Times New Roman"/>
          <w:sz w:val="24"/>
          <w:szCs w:val="24"/>
        </w:rPr>
        <w:t xml:space="preserve">, the invertebrates at station CB01 had an As concentration of 155 </w:t>
      </w:r>
      <w:r w:rsidRPr="00D93232">
        <w:rPr>
          <w:rFonts w:ascii="Times New Roman" w:hAnsi="Times New Roman" w:cs="Times New Roman"/>
          <w:color w:val="000000"/>
          <w:sz w:val="24"/>
          <w:szCs w:val="24"/>
        </w:rPr>
        <w:t>μ</w:t>
      </w:r>
      <w:r>
        <w:rPr>
          <w:rFonts w:ascii="Times New Roman" w:hAnsi="Times New Roman" w:cs="Times New Roman"/>
          <w:color w:val="000000"/>
          <w:sz w:val="24"/>
          <w:szCs w:val="24"/>
        </w:rPr>
        <w:t xml:space="preserve">g/g, and the invertebrates at station SC01 had an As concentration of 310 </w:t>
      </w:r>
      <w:r w:rsidRPr="00D93232">
        <w:rPr>
          <w:rFonts w:ascii="Times New Roman" w:hAnsi="Times New Roman" w:cs="Times New Roman"/>
          <w:color w:val="000000"/>
          <w:sz w:val="24"/>
          <w:szCs w:val="24"/>
        </w:rPr>
        <w:t>μ</w:t>
      </w:r>
      <w:r>
        <w:rPr>
          <w:rFonts w:ascii="Times New Roman" w:hAnsi="Times New Roman" w:cs="Times New Roman"/>
          <w:color w:val="000000"/>
          <w:sz w:val="24"/>
          <w:szCs w:val="24"/>
        </w:rPr>
        <w:t xml:space="preserve">g/g (Table </w:t>
      </w:r>
      <w:r w:rsidR="00373936">
        <w:rPr>
          <w:rFonts w:ascii="Times New Roman" w:hAnsi="Times New Roman" w:cs="Times New Roman"/>
          <w:color w:val="000000"/>
          <w:sz w:val="24"/>
          <w:szCs w:val="24"/>
        </w:rPr>
        <w:t>I</w:t>
      </w:r>
      <w:r>
        <w:rPr>
          <w:rFonts w:ascii="Times New Roman" w:hAnsi="Times New Roman" w:cs="Times New Roman"/>
          <w:color w:val="000000"/>
          <w:sz w:val="24"/>
          <w:szCs w:val="24"/>
        </w:rPr>
        <w:t xml:space="preserve">I.)  This level of As enrichment has the potential to cause harm to organisms farther up the food chain, if the concentrations of As within their tissue range from 47.63 </w:t>
      </w:r>
      <w:r w:rsidRPr="00D93232">
        <w:rPr>
          <w:rFonts w:ascii="Times New Roman" w:hAnsi="Times New Roman" w:cs="Times New Roman"/>
          <w:color w:val="000000"/>
          <w:sz w:val="24"/>
          <w:szCs w:val="24"/>
        </w:rPr>
        <w:t>μ</w:t>
      </w:r>
      <w:r>
        <w:rPr>
          <w:rFonts w:ascii="Times New Roman" w:hAnsi="Times New Roman" w:cs="Times New Roman"/>
          <w:color w:val="000000"/>
          <w:sz w:val="24"/>
          <w:szCs w:val="24"/>
        </w:rPr>
        <w:t xml:space="preserve">g/g to 276.63 </w:t>
      </w:r>
      <w:r w:rsidRPr="00D93232">
        <w:rPr>
          <w:rFonts w:ascii="Times New Roman" w:hAnsi="Times New Roman" w:cs="Times New Roman"/>
          <w:color w:val="000000"/>
          <w:sz w:val="24"/>
          <w:szCs w:val="24"/>
        </w:rPr>
        <w:t>μ</w:t>
      </w:r>
      <w:r>
        <w:rPr>
          <w:rFonts w:ascii="Times New Roman" w:hAnsi="Times New Roman" w:cs="Times New Roman"/>
          <w:color w:val="000000"/>
          <w:sz w:val="24"/>
          <w:szCs w:val="24"/>
        </w:rPr>
        <w:t>g/g higher than what would be considered a cancer risk.</w:t>
      </w:r>
    </w:p>
    <w:p w14:paraId="32B62D54" w14:textId="77777777" w:rsidR="00A14FE7" w:rsidRDefault="00A14FE7" w:rsidP="00A14FE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Different organisms can accumulate different metals in different concentrations, and enrichment of these metals can be species-specific.  In a study measuring the bioaccumulation of heavy metals within two species of gastropod and three species of bivalve, it was found that one </w:t>
      </w:r>
      <w:r>
        <w:rPr>
          <w:rFonts w:ascii="Times New Roman" w:hAnsi="Times New Roman" w:cs="Times New Roman"/>
          <w:sz w:val="24"/>
          <w:szCs w:val="24"/>
        </w:rPr>
        <w:lastRenderedPageBreak/>
        <w:t xml:space="preserve">of the species of gastropod accumulated Cd more than the other species, one species of bivalve accumulated Cu and Zn in higher amounts than the other species, and one species of bivalve accumulated Ni in higher amounts than the other species (Liang et al. 2004.)  In the present study, not only were there various species of bivalve and gastropod, but there were also annelids, crustaceans, echinoderms, and cnidarians mixed together along with the mollusks and were submitted collectively for metal analyses.  Given this fact, and Liang et al.’s (2004) findings, it is very difficult to determine from the results of the present study which phyla of benthic invertebrates contributed to the calculated EFs within the invertebrate samples.  In future studies, it would be beneficial to separate the invertebrates by phylum, or even by species, and submit each phylum/species for metal analysis separately in order to see if there is an obvious distribution of accumulation of various metals across the different phyla/species.  </w:t>
      </w:r>
    </w:p>
    <w:p w14:paraId="11F5AC6F" w14:textId="6C31014A" w:rsidR="00A14FE7" w:rsidRDefault="00A14FE7" w:rsidP="00A14FE7">
      <w:pPr>
        <w:spacing w:after="0" w:line="480" w:lineRule="auto"/>
        <w:rPr>
          <w:rFonts w:ascii="Times New Roman" w:hAnsi="Times New Roman" w:cs="Times New Roman"/>
          <w:sz w:val="24"/>
          <w:szCs w:val="24"/>
        </w:rPr>
      </w:pPr>
      <w:r>
        <w:rPr>
          <w:rFonts w:ascii="Times New Roman" w:hAnsi="Times New Roman" w:cs="Times New Roman"/>
          <w:sz w:val="24"/>
          <w:szCs w:val="24"/>
        </w:rPr>
        <w:tab/>
        <w:t>It is important to note that the mollusks within the mixed invertebrate samples were submitted for metal analysis with their shells still attached.  Although the proportional weight of the mollusk shells within the mixed samples was accounted for and removed by utilizing measured Ca concentrations, the reported metal concentrations (Table I</w:t>
      </w:r>
      <w:r w:rsidR="00373936">
        <w:rPr>
          <w:rFonts w:ascii="Times New Roman" w:hAnsi="Times New Roman" w:cs="Times New Roman"/>
          <w:sz w:val="24"/>
          <w:szCs w:val="24"/>
        </w:rPr>
        <w:t>I</w:t>
      </w:r>
      <w:r>
        <w:rPr>
          <w:rFonts w:ascii="Times New Roman" w:hAnsi="Times New Roman" w:cs="Times New Roman"/>
          <w:sz w:val="24"/>
          <w:szCs w:val="24"/>
        </w:rPr>
        <w:t>) and resulting EFs (Table II</w:t>
      </w:r>
      <w:r w:rsidR="00373936">
        <w:rPr>
          <w:rFonts w:ascii="Times New Roman" w:hAnsi="Times New Roman" w:cs="Times New Roman"/>
          <w:sz w:val="24"/>
          <w:szCs w:val="24"/>
        </w:rPr>
        <w:t>I</w:t>
      </w:r>
      <w:r>
        <w:rPr>
          <w:rFonts w:ascii="Times New Roman" w:hAnsi="Times New Roman" w:cs="Times New Roman"/>
          <w:sz w:val="24"/>
          <w:szCs w:val="24"/>
        </w:rPr>
        <w:t xml:space="preserve">) for the biotic samples do not account for any metals that were within the shells themselves.  Therefore, the reported EFs are maximum values, and include all the metals within the soft bodies and within the shells of the invertebrates.  According to Jitar et al. (2015), metal uptake by organisms with shells can be different from uptake by organisms without shells.  For example, organisms with shells have higher Pb uptake than those without shells, because Pb follows similar biochemical models as Ca (Jitar et al. 2015.)  Given this, the reported concentrations and EFs for the biological samples could have been different if the shells had been removed prior to analysis.  In order to try to correct for this, values from Demina et al.’s </w:t>
      </w:r>
      <w:r>
        <w:rPr>
          <w:rFonts w:ascii="Times New Roman" w:hAnsi="Times New Roman" w:cs="Times New Roman"/>
          <w:sz w:val="24"/>
          <w:szCs w:val="24"/>
        </w:rPr>
        <w:lastRenderedPageBreak/>
        <w:t xml:space="preserve">(2016) study on the relative percentages of soft tissue vs shell for two mollusk species were utilized </w:t>
      </w:r>
      <w:r w:rsidR="00190E02">
        <w:rPr>
          <w:rFonts w:ascii="Times New Roman" w:hAnsi="Times New Roman" w:cs="Times New Roman"/>
          <w:sz w:val="24"/>
          <w:szCs w:val="24"/>
        </w:rPr>
        <w:t>(Fig. 9</w:t>
      </w:r>
      <w:r w:rsidRPr="004F190C">
        <w:rPr>
          <w:rFonts w:ascii="Times New Roman" w:hAnsi="Times New Roman" w:cs="Times New Roman"/>
          <w:sz w:val="24"/>
          <w:szCs w:val="24"/>
        </w:rPr>
        <w:t>.)</w:t>
      </w:r>
      <w:r>
        <w:rPr>
          <w:rFonts w:ascii="Times New Roman" w:hAnsi="Times New Roman" w:cs="Times New Roman"/>
          <w:sz w:val="24"/>
          <w:szCs w:val="24"/>
        </w:rPr>
        <w:t xml:space="preserve">  A wide range of EFs are possible, and this was only after considering two mollusk species.  It is important to note that these two mollusks from Demina et al. (2016) are both species of bivalve mussels, but in the present study, a combination of bivalves and gastropods were considered in metal analysis and in the calculation of EFs. </w:t>
      </w:r>
      <w:r w:rsidR="00190E02">
        <w:rPr>
          <w:rFonts w:ascii="Times New Roman" w:hAnsi="Times New Roman" w:cs="Times New Roman"/>
          <w:sz w:val="24"/>
          <w:szCs w:val="24"/>
        </w:rPr>
        <w:t xml:space="preserve"> So even this correction (Fig. 9</w:t>
      </w:r>
      <w:r>
        <w:rPr>
          <w:rFonts w:ascii="Times New Roman" w:hAnsi="Times New Roman" w:cs="Times New Roman"/>
          <w:sz w:val="24"/>
          <w:szCs w:val="24"/>
        </w:rPr>
        <w:t xml:space="preserve">) is not perfect and is definitely not all-encompassing.  In future studies, the shells should be removed from all mollusks in order to get a more representative and accurate EF calculation.  </w:t>
      </w:r>
    </w:p>
    <w:p w14:paraId="18E4EBA7" w14:textId="4C1502AC" w:rsidR="00A14FE7" w:rsidRDefault="00A14FE7" w:rsidP="00A14FE7">
      <w:pPr>
        <w:spacing w:after="0" w:line="480" w:lineRule="auto"/>
        <w:rPr>
          <w:rFonts w:ascii="Times New Roman" w:hAnsi="Times New Roman" w:cs="Times New Roman"/>
          <w:sz w:val="24"/>
          <w:szCs w:val="24"/>
        </w:rPr>
      </w:pPr>
      <w:r>
        <w:rPr>
          <w:rFonts w:ascii="Times New Roman" w:hAnsi="Times New Roman" w:cs="Times New Roman"/>
          <w:sz w:val="24"/>
          <w:szCs w:val="24"/>
        </w:rPr>
        <w:tab/>
        <w:t>The EFs of heavy metals were higher in the zooplankton than they were in the benthic invertebrates, even with the EFs for the invertebra</w:t>
      </w:r>
      <w:r w:rsidR="00FA65FF">
        <w:rPr>
          <w:rFonts w:ascii="Times New Roman" w:hAnsi="Times New Roman" w:cs="Times New Roman"/>
          <w:sz w:val="24"/>
          <w:szCs w:val="24"/>
        </w:rPr>
        <w:t>tes being maximum values (Fig. 4</w:t>
      </w:r>
      <w:r>
        <w:rPr>
          <w:rFonts w:ascii="Times New Roman" w:hAnsi="Times New Roman" w:cs="Times New Roman"/>
          <w:sz w:val="24"/>
          <w:szCs w:val="24"/>
        </w:rPr>
        <w:t xml:space="preserve">.)  This was an unexpected result, given that benthic invertebrates generally feed at a higher trophic level than zooplankton and should therefore show signs of increased bioaccumulation.  Wang (2002) found that the concentrations of metals within </w:t>
      </w:r>
      <w:r w:rsidRPr="00964D25">
        <w:rPr>
          <w:rFonts w:ascii="Times New Roman" w:hAnsi="Times New Roman" w:cs="Times New Roman"/>
          <w:sz w:val="24"/>
          <w:szCs w:val="24"/>
        </w:rPr>
        <w:t>predatory benthic organisms were much higher than th</w:t>
      </w:r>
      <w:r>
        <w:rPr>
          <w:rFonts w:ascii="Times New Roman" w:hAnsi="Times New Roman" w:cs="Times New Roman"/>
          <w:sz w:val="24"/>
          <w:szCs w:val="24"/>
        </w:rPr>
        <w:t xml:space="preserve">ey were within pelagic predatory organisms.  This study’s findings go against Wang’s (2002) findings.  Given that there was a lack of replication in sampling in this study, and given that only one zooplankton sample could be submitted for metal analysis, it is almost impossible to determine whether these results are a noteworthy anomaly, or whether they represent a sampling error.  Further research needs to be done, ensuring replication, so that the significance of these results can be determined.  </w:t>
      </w:r>
    </w:p>
    <w:p w14:paraId="47771CAC" w14:textId="408B823A" w:rsidR="00E46B9F" w:rsidRPr="00A21FAD" w:rsidRDefault="00E46B9F" w:rsidP="00E46B9F">
      <w:pPr>
        <w:spacing w:after="0" w:line="480" w:lineRule="auto"/>
        <w:rPr>
          <w:rFonts w:ascii="Times New Roman" w:hAnsi="Times New Roman" w:cs="Times New Roman"/>
          <w:sz w:val="24"/>
          <w:szCs w:val="24"/>
          <w:u w:val="single"/>
        </w:rPr>
      </w:pPr>
      <w:r>
        <w:rPr>
          <w:rFonts w:ascii="Times New Roman" w:hAnsi="Times New Roman" w:cs="Times New Roman"/>
          <w:sz w:val="24"/>
          <w:szCs w:val="24"/>
          <w:u w:val="single"/>
        </w:rPr>
        <w:t>Principal Component Analyses</w:t>
      </w:r>
    </w:p>
    <w:p w14:paraId="200DF302" w14:textId="65F87FC6" w:rsidR="006F52F3" w:rsidRDefault="006F52F3" w:rsidP="006F52F3">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The sediment PCA revealed a covariance between Ba, Cr, Mo, As, Zn, B, K, Cu, and Cd on th</w:t>
      </w:r>
      <w:r w:rsidR="00FA65FF">
        <w:rPr>
          <w:rFonts w:ascii="Times New Roman" w:hAnsi="Times New Roman" w:cs="Times New Roman"/>
          <w:sz w:val="24"/>
          <w:szCs w:val="24"/>
        </w:rPr>
        <w:t>e negative end of Axis 1 (Fig. 7</w:t>
      </w:r>
      <w:r>
        <w:rPr>
          <w:rFonts w:ascii="Times New Roman" w:hAnsi="Times New Roman" w:cs="Times New Roman"/>
          <w:sz w:val="24"/>
          <w:szCs w:val="24"/>
        </w:rPr>
        <w:t xml:space="preserve">.)  Because three out of the four stations sampled in this study were located at mining sites that were known to mine Cu, and because As, Cd, Mo, and Zn </w:t>
      </w:r>
      <w:r>
        <w:rPr>
          <w:rFonts w:ascii="Times New Roman" w:hAnsi="Times New Roman" w:cs="Times New Roman"/>
          <w:sz w:val="24"/>
          <w:szCs w:val="24"/>
        </w:rPr>
        <w:lastRenderedPageBreak/>
        <w:t xml:space="preserve">are known to enter the environment from mines (Haggarty et al. 2003; </w:t>
      </w:r>
      <w:r>
        <w:rPr>
          <w:rFonts w:ascii="Times New Roman" w:eastAsiaTheme="minorEastAsia" w:hAnsi="Times New Roman" w:cs="Times New Roman"/>
          <w:sz w:val="24"/>
          <w:szCs w:val="24"/>
        </w:rPr>
        <w:t xml:space="preserve">USDHHS, </w:t>
      </w:r>
      <w:r w:rsidRPr="00832C4A">
        <w:rPr>
          <w:rFonts w:ascii="Times New Roman" w:eastAsiaTheme="minorEastAsia" w:hAnsi="Times New Roman" w:cs="Times New Roman"/>
          <w:sz w:val="24"/>
          <w:szCs w:val="24"/>
        </w:rPr>
        <w:t>Toxicology</w:t>
      </w:r>
      <w:r>
        <w:rPr>
          <w:rFonts w:ascii="Times New Roman" w:eastAsiaTheme="minorEastAsia" w:hAnsi="Times New Roman" w:cs="Times New Roman"/>
          <w:sz w:val="24"/>
          <w:szCs w:val="24"/>
        </w:rPr>
        <w:t>, Zn,</w:t>
      </w:r>
      <w:r w:rsidRPr="00832C4A">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it is possible that Axis 1 could represent the sources of metals to the environment, with the negative side of Axis 1 representing mining sources.  Se is on the positive end of Axis 1, so is anti-correlated with the cluster of metals mentioned above.  Using the suggested representation of Axis 1 as sources of metals, this would imply that Se has a source other than mining.  This is supported by the fact that Se was more highly enriched at station RP01 (the fish farm site) than two o</w:t>
      </w:r>
      <w:r w:rsidR="00FA65FF">
        <w:rPr>
          <w:rFonts w:ascii="Times New Roman" w:eastAsiaTheme="minorEastAsia" w:hAnsi="Times New Roman" w:cs="Times New Roman"/>
          <w:sz w:val="24"/>
          <w:szCs w:val="24"/>
        </w:rPr>
        <w:t>f the three mining sites (Fig. 3</w:t>
      </w:r>
      <w:r>
        <w:rPr>
          <w:rFonts w:ascii="Times New Roman" w:eastAsiaTheme="minorEastAsia" w:hAnsi="Times New Roman" w:cs="Times New Roman"/>
          <w:sz w:val="24"/>
          <w:szCs w:val="24"/>
        </w:rPr>
        <w:t xml:space="preserve">.)  More research is needed in order to further investigate this potential “other” source of Se to the Puget Sound region.    </w:t>
      </w:r>
      <w:r>
        <w:rPr>
          <w:rFonts w:ascii="Times New Roman" w:hAnsi="Times New Roman" w:cs="Times New Roman"/>
          <w:sz w:val="24"/>
          <w:szCs w:val="24"/>
        </w:rPr>
        <w:t xml:space="preserve">    </w:t>
      </w:r>
    </w:p>
    <w:p w14:paraId="16729683" w14:textId="12E58076" w:rsidR="00A265F1" w:rsidRDefault="006F52F3" w:rsidP="006F52F3">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A covariance was also revealed between S, Na, Al, P, Mg, Ni, and Fe on the negative end of Axis 2, while Ca was anticorr</w:t>
      </w:r>
      <w:r w:rsidR="00FA65FF">
        <w:rPr>
          <w:rFonts w:ascii="Times New Roman" w:hAnsi="Times New Roman" w:cs="Times New Roman"/>
          <w:sz w:val="24"/>
          <w:szCs w:val="24"/>
        </w:rPr>
        <w:t>elated with this cluster (Fig. 7</w:t>
      </w:r>
      <w:r>
        <w:rPr>
          <w:rFonts w:ascii="Times New Roman" w:hAnsi="Times New Roman" w:cs="Times New Roman"/>
          <w:sz w:val="24"/>
          <w:szCs w:val="24"/>
        </w:rPr>
        <w:t xml:space="preserve">.)  Because Al is very common in the earth’s crust (Turekian&amp;Wedepohl 1961, Brumsack 2006) and because </w:t>
      </w:r>
      <w:r w:rsidRPr="00291AB3">
        <w:rPr>
          <w:rFonts w:ascii="Times New Roman" w:hAnsi="Times New Roman" w:cs="Times New Roman"/>
          <w:sz w:val="24"/>
          <w:szCs w:val="24"/>
        </w:rPr>
        <w:t>Fe is al</w:t>
      </w:r>
      <w:r>
        <w:rPr>
          <w:rFonts w:ascii="Times New Roman" w:hAnsi="Times New Roman" w:cs="Times New Roman"/>
          <w:sz w:val="24"/>
          <w:szCs w:val="24"/>
        </w:rPr>
        <w:t>so associated with terrigenous sources</w:t>
      </w:r>
      <w:r w:rsidRPr="00291AB3">
        <w:rPr>
          <w:rFonts w:ascii="Times New Roman" w:hAnsi="Times New Roman" w:cs="Times New Roman"/>
          <w:sz w:val="24"/>
          <w:szCs w:val="24"/>
        </w:rPr>
        <w:t>,</w:t>
      </w:r>
      <w:r>
        <w:rPr>
          <w:rFonts w:ascii="Times New Roman" w:hAnsi="Times New Roman" w:cs="Times New Roman"/>
          <w:sz w:val="24"/>
          <w:szCs w:val="24"/>
        </w:rPr>
        <w:t xml:space="preserve"> it is possible that the negative end of Axis 2 could represent </w:t>
      </w:r>
      <w:r w:rsidR="000346AA">
        <w:rPr>
          <w:rFonts w:ascii="Times New Roman" w:hAnsi="Times New Roman" w:cs="Times New Roman"/>
          <w:sz w:val="24"/>
          <w:szCs w:val="24"/>
        </w:rPr>
        <w:t xml:space="preserve">lithogenic elements.  </w:t>
      </w:r>
      <w:r>
        <w:rPr>
          <w:rFonts w:ascii="Times New Roman" w:hAnsi="Times New Roman" w:cs="Times New Roman"/>
          <w:sz w:val="24"/>
          <w:szCs w:val="24"/>
        </w:rPr>
        <w:t xml:space="preserve">The fact that Ca is anti-correlated with the “terrigenous-sourced” metals is supported by the fact that </w:t>
      </w:r>
      <w:r w:rsidRPr="007D29C8">
        <w:rPr>
          <w:rFonts w:ascii="Times New Roman" w:hAnsi="Times New Roman" w:cs="Times New Roman"/>
          <w:sz w:val="24"/>
          <w:szCs w:val="24"/>
        </w:rPr>
        <w:t>Ca is abundant in seawater</w:t>
      </w:r>
      <w:r w:rsidR="000346AA">
        <w:rPr>
          <w:rFonts w:ascii="Times New Roman" w:hAnsi="Times New Roman" w:cs="Times New Roman"/>
          <w:sz w:val="24"/>
          <w:szCs w:val="24"/>
        </w:rPr>
        <w:t xml:space="preserve"> and in both organic and inorganic biotic materials</w:t>
      </w:r>
      <w:r w:rsidRPr="007D29C8">
        <w:rPr>
          <w:rFonts w:ascii="Times New Roman" w:hAnsi="Times New Roman" w:cs="Times New Roman"/>
          <w:sz w:val="24"/>
          <w:szCs w:val="24"/>
        </w:rPr>
        <w:t>.</w:t>
      </w:r>
    </w:p>
    <w:p w14:paraId="523046C0" w14:textId="3FCDFFB5" w:rsidR="006F52F3" w:rsidRDefault="005F675E" w:rsidP="006F52F3">
      <w:pPr>
        <w:spacing w:line="480" w:lineRule="auto"/>
        <w:contextualSpacing/>
        <w:rPr>
          <w:rFonts w:ascii="Times New Roman" w:hAnsi="Times New Roman" w:cs="Times New Roman"/>
          <w:sz w:val="24"/>
          <w:szCs w:val="24"/>
        </w:rPr>
      </w:pPr>
      <w:r>
        <w:rPr>
          <w:rFonts w:ascii="Times New Roman" w:hAnsi="Times New Roman" w:cs="Times New Roman"/>
          <w:sz w:val="24"/>
          <w:szCs w:val="24"/>
        </w:rPr>
        <w:t>In addition, D50</w:t>
      </w:r>
      <w:r w:rsidR="00CB53FA">
        <w:rPr>
          <w:rFonts w:ascii="Times New Roman" w:hAnsi="Times New Roman" w:cs="Times New Roman"/>
          <w:sz w:val="24"/>
          <w:szCs w:val="24"/>
        </w:rPr>
        <w:t xml:space="preserve"> showed a clos</w:t>
      </w:r>
      <w:r w:rsidR="00FA65FF">
        <w:rPr>
          <w:rFonts w:ascii="Times New Roman" w:hAnsi="Times New Roman" w:cs="Times New Roman"/>
          <w:sz w:val="24"/>
          <w:szCs w:val="24"/>
        </w:rPr>
        <w:t>e association with Ca (Fig. 7</w:t>
      </w:r>
      <w:r>
        <w:rPr>
          <w:rFonts w:ascii="Times New Roman" w:hAnsi="Times New Roman" w:cs="Times New Roman"/>
          <w:sz w:val="24"/>
          <w:szCs w:val="24"/>
        </w:rPr>
        <w:t>.)  L</w:t>
      </w:r>
      <w:r w:rsidR="00CB53FA">
        <w:rPr>
          <w:rFonts w:ascii="Times New Roman" w:hAnsi="Times New Roman" w:cs="Times New Roman"/>
          <w:sz w:val="24"/>
          <w:szCs w:val="24"/>
        </w:rPr>
        <w:t>arger D50 values correspond with larger sediment grains, and Ca is a large component of shells.</w:t>
      </w:r>
      <w:r>
        <w:rPr>
          <w:rFonts w:ascii="Times New Roman" w:hAnsi="Times New Roman" w:cs="Times New Roman"/>
          <w:sz w:val="24"/>
          <w:szCs w:val="24"/>
        </w:rPr>
        <w:t xml:space="preserve">  Given this, t</w:t>
      </w:r>
      <w:r w:rsidR="00CB53FA">
        <w:rPr>
          <w:rFonts w:ascii="Times New Roman" w:hAnsi="Times New Roman" w:cs="Times New Roman"/>
          <w:sz w:val="24"/>
          <w:szCs w:val="24"/>
        </w:rPr>
        <w:t xml:space="preserve">he larger D50 values are likely associating with larger pieces of shell within the sediment samples.   </w:t>
      </w:r>
    </w:p>
    <w:p w14:paraId="21172857" w14:textId="5F379443" w:rsidR="006F52F3" w:rsidRDefault="006F52F3" w:rsidP="006F52F3">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The biota PCA revealed a covariance between Mo, Ni, Zn, Cu, Na, and Cd, on the positive end of Axis1, with Ca, Mn, and </w:t>
      </w:r>
      <w:r w:rsidR="00FA65FF">
        <w:rPr>
          <w:rFonts w:ascii="Times New Roman" w:hAnsi="Times New Roman" w:cs="Times New Roman"/>
          <w:sz w:val="24"/>
          <w:szCs w:val="24"/>
        </w:rPr>
        <w:t>Si being anti-correlated (Fig. 8</w:t>
      </w:r>
      <w:r>
        <w:rPr>
          <w:rFonts w:ascii="Times New Roman" w:hAnsi="Times New Roman" w:cs="Times New Roman"/>
          <w:sz w:val="24"/>
          <w:szCs w:val="24"/>
        </w:rPr>
        <w:t xml:space="preserve">.)  Because Ca is a major component in the </w:t>
      </w:r>
      <w:r w:rsidR="00BC2DC6">
        <w:rPr>
          <w:rFonts w:ascii="Times New Roman" w:hAnsi="Times New Roman" w:cs="Times New Roman"/>
          <w:sz w:val="24"/>
          <w:szCs w:val="24"/>
        </w:rPr>
        <w:t>formation of mollusk shells,</w:t>
      </w:r>
      <w:r>
        <w:rPr>
          <w:rFonts w:ascii="Times New Roman" w:hAnsi="Times New Roman" w:cs="Times New Roman"/>
          <w:sz w:val="24"/>
          <w:szCs w:val="24"/>
        </w:rPr>
        <w:t xml:space="preserve"> because Mn can sometimes replace Ca during shell formation (Soldati et al. 2016),</w:t>
      </w:r>
      <w:r w:rsidR="00BC2DC6">
        <w:rPr>
          <w:rFonts w:ascii="Times New Roman" w:hAnsi="Times New Roman" w:cs="Times New Roman"/>
          <w:sz w:val="24"/>
          <w:szCs w:val="24"/>
        </w:rPr>
        <w:t xml:space="preserve"> and because Si is a primary constituent of opal or silica (SiO2) shells,</w:t>
      </w:r>
      <w:r>
        <w:rPr>
          <w:rFonts w:ascii="Times New Roman" w:hAnsi="Times New Roman" w:cs="Times New Roman"/>
          <w:sz w:val="24"/>
          <w:szCs w:val="24"/>
        </w:rPr>
        <w:t xml:space="preserve"> it is likely that the negative end of Axis 1 represents shell-derived elements, while the positive end of Axis 1 most likely represents elements in the soft tissue.  Komjarova (2009) </w:t>
      </w:r>
      <w:r>
        <w:rPr>
          <w:rFonts w:ascii="Times New Roman" w:hAnsi="Times New Roman" w:cs="Times New Roman"/>
          <w:sz w:val="24"/>
          <w:szCs w:val="24"/>
        </w:rPr>
        <w:lastRenderedPageBreak/>
        <w:t>found that the addition of Na to an aqueous medium had an affect on the uptake of Cd and Ni by aquatic organisms.  This could explain why Na is cluster</w:t>
      </w:r>
      <w:r w:rsidR="00FA65FF">
        <w:rPr>
          <w:rFonts w:ascii="Times New Roman" w:hAnsi="Times New Roman" w:cs="Times New Roman"/>
          <w:sz w:val="24"/>
          <w:szCs w:val="24"/>
        </w:rPr>
        <w:t>ed near those two metals (Fig. 8</w:t>
      </w:r>
      <w:r>
        <w:rPr>
          <w:rFonts w:ascii="Times New Roman" w:hAnsi="Times New Roman" w:cs="Times New Roman"/>
          <w:sz w:val="24"/>
          <w:szCs w:val="24"/>
        </w:rPr>
        <w:t xml:space="preserve">.)  </w:t>
      </w:r>
    </w:p>
    <w:p w14:paraId="097C8DBF" w14:textId="34AB55C7" w:rsidR="00A26D4E" w:rsidRDefault="006F52F3" w:rsidP="006F52F3">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Another covariance was displayed between P, Ag, Al, Se, and As on the positive end of Axis 2 and the</w:t>
      </w:r>
      <w:r w:rsidR="00FA65FF">
        <w:rPr>
          <w:rFonts w:ascii="Times New Roman" w:hAnsi="Times New Roman" w:cs="Times New Roman"/>
          <w:sz w:val="24"/>
          <w:szCs w:val="24"/>
        </w:rPr>
        <w:t xml:space="preserve"> negative side of Axis 1 (Fig. 8</w:t>
      </w:r>
      <w:r>
        <w:rPr>
          <w:rFonts w:ascii="Times New Roman" w:hAnsi="Times New Roman" w:cs="Times New Roman"/>
          <w:sz w:val="24"/>
          <w:szCs w:val="24"/>
        </w:rPr>
        <w:t xml:space="preserve">.)  It has been found that As and P have similar chemical characteristics, and therefore As can be substituted for P in certain metabolic pathways (National Research Council, As,) which would explain why those two elements are clustered together.  It is possible that other metals within this same cluster could affect organisms through altering P concentrations within the body, but little is known about this and more research is needed.    </w:t>
      </w:r>
    </w:p>
    <w:p w14:paraId="2C0685DE" w14:textId="77777777" w:rsidR="00BD3991" w:rsidRPr="00872085" w:rsidRDefault="00BD3991" w:rsidP="006F52F3">
      <w:pPr>
        <w:spacing w:line="480" w:lineRule="auto"/>
        <w:contextualSpacing/>
        <w:rPr>
          <w:rFonts w:ascii="Times New Roman" w:hAnsi="Times New Roman" w:cs="Times New Roman"/>
          <w:sz w:val="24"/>
          <w:szCs w:val="24"/>
        </w:rPr>
      </w:pPr>
    </w:p>
    <w:p w14:paraId="2B6DC662" w14:textId="24168AFA" w:rsidR="00A14FE7" w:rsidRDefault="00A14FE7" w:rsidP="00A14FE7">
      <w:pPr>
        <w:spacing w:after="0" w:line="480" w:lineRule="auto"/>
        <w:rPr>
          <w:rFonts w:ascii="Times New Roman" w:hAnsi="Times New Roman" w:cs="Times New Roman"/>
          <w:b/>
          <w:sz w:val="24"/>
          <w:szCs w:val="24"/>
          <w:u w:val="single"/>
        </w:rPr>
      </w:pPr>
      <w:r>
        <w:rPr>
          <w:rFonts w:ascii="Times New Roman" w:hAnsi="Times New Roman" w:cs="Times New Roman"/>
          <w:b/>
          <w:sz w:val="24"/>
          <w:szCs w:val="24"/>
          <w:u w:val="single"/>
        </w:rPr>
        <w:t>Conclusions</w:t>
      </w:r>
      <w:r w:rsidR="00C62AE9">
        <w:rPr>
          <w:rFonts w:ascii="Times New Roman" w:hAnsi="Times New Roman" w:cs="Times New Roman"/>
          <w:b/>
          <w:sz w:val="24"/>
          <w:szCs w:val="24"/>
          <w:u w:val="single"/>
        </w:rPr>
        <w:t xml:space="preserve"> </w:t>
      </w:r>
    </w:p>
    <w:p w14:paraId="2D607472" w14:textId="376B567C" w:rsidR="00A14FE7" w:rsidRPr="00C62AE9" w:rsidRDefault="00A14FE7" w:rsidP="00A14FE7">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C937DF">
        <w:rPr>
          <w:rFonts w:ascii="Times New Roman" w:hAnsi="Times New Roman" w:cs="Times New Roman"/>
          <w:sz w:val="24"/>
          <w:szCs w:val="24"/>
        </w:rPr>
        <w:t>In this study,</w:t>
      </w:r>
      <w:r w:rsidR="00C62AE9">
        <w:rPr>
          <w:rFonts w:ascii="Times New Roman" w:hAnsi="Times New Roman" w:cs="Times New Roman"/>
          <w:sz w:val="24"/>
          <w:szCs w:val="24"/>
        </w:rPr>
        <w:t xml:space="preserve"> both initial hypotheses were partially accepted:</w:t>
      </w:r>
      <w:r w:rsidR="00C937DF">
        <w:rPr>
          <w:rFonts w:ascii="Times New Roman" w:hAnsi="Times New Roman" w:cs="Times New Roman"/>
          <w:sz w:val="24"/>
          <w:szCs w:val="24"/>
        </w:rPr>
        <w:t xml:space="preserve"> </w:t>
      </w:r>
      <w:r w:rsidR="00C62AE9">
        <w:rPr>
          <w:rFonts w:ascii="Times New Roman" w:hAnsi="Times New Roman" w:cs="Times New Roman"/>
          <w:sz w:val="24"/>
          <w:szCs w:val="24"/>
        </w:rPr>
        <w:t xml:space="preserve"> first, </w:t>
      </w:r>
      <w:r w:rsidR="00C937DF">
        <w:rPr>
          <w:rFonts w:ascii="Times New Roman" w:hAnsi="Times New Roman" w:cs="Times New Roman"/>
          <w:sz w:val="24"/>
          <w:szCs w:val="24"/>
        </w:rPr>
        <w:t>it was found</w:t>
      </w:r>
      <w:r w:rsidR="00C62AE9">
        <w:rPr>
          <w:rFonts w:ascii="Times New Roman" w:hAnsi="Times New Roman" w:cs="Times New Roman"/>
          <w:sz w:val="24"/>
          <w:szCs w:val="24"/>
        </w:rPr>
        <w:t xml:space="preserve"> that there was elevated heavy metal contamination present in the surface sediments at all four of the experimental stations within the greater Puget Sound area, although the specific predictions of which heavy metals would be most abundant were not entirely supported.  </w:t>
      </w:r>
      <w:r>
        <w:rPr>
          <w:rFonts w:ascii="Times New Roman" w:hAnsi="Times New Roman" w:cs="Times New Roman"/>
          <w:sz w:val="24"/>
          <w:szCs w:val="24"/>
        </w:rPr>
        <w:t xml:space="preserve">In addition to the predicted Cu and As that were present at most of the mining sites, there was also enrichments of </w:t>
      </w:r>
      <w:r>
        <w:rPr>
          <w:rFonts w:ascii="Times New Roman" w:eastAsiaTheme="minorEastAsia" w:hAnsi="Times New Roman" w:cs="Times New Roman"/>
          <w:sz w:val="24"/>
          <w:szCs w:val="24"/>
        </w:rPr>
        <w:t>Cr, Mo, Ni, Zn, and Se, with Se showing the highest enrichment.  Cu and Zn were predicted to be enriched at station RP01 due to runoff from anti-fouling paint, but neither were enriched; the only element enriched at station RP01 was Se.</w:t>
      </w:r>
    </w:p>
    <w:p w14:paraId="686000E5" w14:textId="060D8629" w:rsidR="00A14FE7" w:rsidRDefault="00A14FE7" w:rsidP="00A14FE7">
      <w:pPr>
        <w:spacing w:line="480" w:lineRule="auto"/>
        <w:contextualSpacing/>
        <w:rPr>
          <w:rFonts w:ascii="Times New Roman" w:hAnsi="Times New Roman" w:cs="Times New Roman"/>
          <w:sz w:val="24"/>
          <w:szCs w:val="24"/>
        </w:rPr>
      </w:pPr>
      <w:r>
        <w:rPr>
          <w:rFonts w:ascii="Times New Roman" w:eastAsiaTheme="minorEastAsia" w:hAnsi="Times New Roman" w:cs="Times New Roman"/>
          <w:sz w:val="24"/>
          <w:szCs w:val="24"/>
        </w:rPr>
        <w:tab/>
      </w:r>
      <w:r w:rsidR="00C62AE9">
        <w:rPr>
          <w:rFonts w:ascii="Times New Roman" w:eastAsiaTheme="minorEastAsia" w:hAnsi="Times New Roman" w:cs="Times New Roman"/>
          <w:sz w:val="24"/>
          <w:szCs w:val="24"/>
        </w:rPr>
        <w:t>Second, w</w:t>
      </w:r>
      <w:r>
        <w:rPr>
          <w:rFonts w:ascii="Times New Roman" w:eastAsiaTheme="minorEastAsia" w:hAnsi="Times New Roman" w:cs="Times New Roman"/>
          <w:sz w:val="24"/>
          <w:szCs w:val="24"/>
        </w:rPr>
        <w:t xml:space="preserve">hen these heavy metal contaminants were present within the surface sediments, they were present within the biota, but Pb and Ag were present within the biota without being detected within the surface sediments.  </w:t>
      </w:r>
      <w:r>
        <w:rPr>
          <w:rFonts w:ascii="Times New Roman" w:hAnsi="Times New Roman" w:cs="Times New Roman"/>
          <w:sz w:val="24"/>
          <w:szCs w:val="24"/>
        </w:rPr>
        <w:t xml:space="preserve">As, Se, and Zn showed the highest concentrations per gram of OC within the biota, and As enrichment within the biota was higher than concentrations </w:t>
      </w:r>
      <w:r>
        <w:rPr>
          <w:rFonts w:ascii="Times New Roman" w:hAnsi="Times New Roman" w:cs="Times New Roman"/>
          <w:sz w:val="24"/>
          <w:szCs w:val="24"/>
        </w:rPr>
        <w:lastRenderedPageBreak/>
        <w:t>known to be a cancer risk.  This could have serious implications for the health of the ecosystem, and these elevated As concentrations, along with Se and Zn, could bioaccumulate up the food chain.</w:t>
      </w:r>
    </w:p>
    <w:p w14:paraId="460F35F8" w14:textId="681D74D6" w:rsidR="00A14FE7" w:rsidRDefault="00A14FE7" w:rsidP="00A14FE7">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Further studies need to be conducted on the surface sediments and within the biota at all stations, but continuing to build on the data set at stations CB01 and SC01 would be ideal.  It is still unknown where in the sediment column the heavy metal contaminants are distributed; box cores would need to be taken</w:t>
      </w:r>
      <w:r w:rsidR="005527D9">
        <w:rPr>
          <w:rFonts w:ascii="Times New Roman" w:hAnsi="Times New Roman" w:cs="Times New Roman"/>
          <w:sz w:val="24"/>
          <w:szCs w:val="24"/>
        </w:rPr>
        <w:t xml:space="preserve"> and the sediments dated</w:t>
      </w:r>
      <w:r>
        <w:rPr>
          <w:rFonts w:ascii="Times New Roman" w:hAnsi="Times New Roman" w:cs="Times New Roman"/>
          <w:sz w:val="24"/>
          <w:szCs w:val="24"/>
        </w:rPr>
        <w:t xml:space="preserve"> at those locations in order to determine this.  In addition, separating out the invertebrates by phylum and making sure to remove the mollusk shells before submitting the sample</w:t>
      </w:r>
      <w:r w:rsidR="001E4EFE">
        <w:rPr>
          <w:rFonts w:ascii="Times New Roman" w:hAnsi="Times New Roman" w:cs="Times New Roman"/>
          <w:sz w:val="24"/>
          <w:szCs w:val="24"/>
        </w:rPr>
        <w:t xml:space="preserve">s for metal analysis will produce </w:t>
      </w:r>
      <w:r>
        <w:rPr>
          <w:rFonts w:ascii="Times New Roman" w:hAnsi="Times New Roman" w:cs="Times New Roman"/>
          <w:sz w:val="24"/>
          <w:szCs w:val="24"/>
        </w:rPr>
        <w:t>a more representative and accurate view of the distribution of accumulation of metals across the different phyla, as well as more accurate EF values.  Repetition within the zooplankton samples will allow significance of results to be determined.</w:t>
      </w:r>
    </w:p>
    <w:p w14:paraId="01611192" w14:textId="730A40C6" w:rsidR="00BB38B6" w:rsidRDefault="00A14FE7" w:rsidP="0014582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There is still much work to be done in understanding the nature of heavy metal processes within the local environment and within the organisms that live there.  However, future work can build upon the results of this study; it is now known that heavy metals are present within the local region at highly enriched concentrations, and more work is needed to begin to understand the implications of this enrichment for the greater Puget Sound ecosystem.  </w:t>
      </w:r>
    </w:p>
    <w:p w14:paraId="6B63E78F" w14:textId="77777777" w:rsidR="0014582D" w:rsidRDefault="0014582D" w:rsidP="0014582D">
      <w:pPr>
        <w:spacing w:line="480" w:lineRule="auto"/>
        <w:contextualSpacing/>
        <w:rPr>
          <w:rFonts w:ascii="Times New Roman" w:hAnsi="Times New Roman" w:cs="Times New Roman"/>
          <w:sz w:val="24"/>
          <w:szCs w:val="24"/>
        </w:rPr>
      </w:pPr>
    </w:p>
    <w:p w14:paraId="1EC54D2D" w14:textId="46D88787" w:rsidR="001677C6" w:rsidRDefault="00571BCB" w:rsidP="0014582D">
      <w:pPr>
        <w:spacing w:line="480" w:lineRule="auto"/>
        <w:contextualSpacing/>
        <w:rPr>
          <w:rFonts w:ascii="Times New Roman" w:hAnsi="Times New Roman" w:cs="Times New Roman"/>
          <w:sz w:val="24"/>
          <w:szCs w:val="24"/>
        </w:rPr>
      </w:pPr>
      <w:r w:rsidRPr="00571BCB">
        <w:rPr>
          <w:rFonts w:ascii="Times New Roman" w:hAnsi="Times New Roman" w:cs="Times New Roman"/>
          <w:b/>
          <w:sz w:val="24"/>
          <w:szCs w:val="24"/>
          <w:u w:val="single"/>
        </w:rPr>
        <w:t>Acknowledgements</w:t>
      </w:r>
    </w:p>
    <w:p w14:paraId="122E7E3C" w14:textId="34DED8CD" w:rsidR="001677C6" w:rsidRDefault="00692F9D" w:rsidP="007E349F">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7E349F">
        <w:rPr>
          <w:rFonts w:ascii="Times New Roman" w:hAnsi="Times New Roman" w:cs="Times New Roman"/>
          <w:sz w:val="24"/>
          <w:szCs w:val="24"/>
        </w:rPr>
        <w:t xml:space="preserve">I would like to thank the Captain and crew of the R/V Thomas G. Thompson and R/V Clifford A. Barnes for contributing to two successful data collection cruises.  I would like to thank the School of Oceanography for the funding that made this project possible.  I would like to offer special thanks to the following people: </w:t>
      </w:r>
      <w:r w:rsidR="00DD03A7">
        <w:rPr>
          <w:rFonts w:ascii="Times New Roman" w:hAnsi="Times New Roman" w:cs="Times New Roman"/>
          <w:sz w:val="24"/>
          <w:szCs w:val="24"/>
        </w:rPr>
        <w:t>Arthur Nowell</w:t>
      </w:r>
      <w:r w:rsidR="00197B1C">
        <w:rPr>
          <w:rFonts w:ascii="Times New Roman" w:hAnsi="Times New Roman" w:cs="Times New Roman"/>
          <w:sz w:val="24"/>
          <w:szCs w:val="24"/>
        </w:rPr>
        <w:t xml:space="preserve"> and Julian Sachs for their</w:t>
      </w:r>
      <w:r w:rsidR="00DD03A7">
        <w:rPr>
          <w:rFonts w:ascii="Times New Roman" w:hAnsi="Times New Roman" w:cs="Times New Roman"/>
          <w:sz w:val="24"/>
          <w:szCs w:val="24"/>
        </w:rPr>
        <w:t xml:space="preserve"> help </w:t>
      </w:r>
      <w:r w:rsidR="00DD03A7">
        <w:rPr>
          <w:rFonts w:ascii="Times New Roman" w:hAnsi="Times New Roman" w:cs="Times New Roman"/>
          <w:sz w:val="24"/>
          <w:szCs w:val="24"/>
        </w:rPr>
        <w:lastRenderedPageBreak/>
        <w:t>with project planning</w:t>
      </w:r>
      <w:r w:rsidR="00197B1C">
        <w:rPr>
          <w:rFonts w:ascii="Times New Roman" w:hAnsi="Times New Roman" w:cs="Times New Roman"/>
          <w:sz w:val="24"/>
          <w:szCs w:val="24"/>
        </w:rPr>
        <w:t xml:space="preserve">, </w:t>
      </w:r>
      <w:r w:rsidR="00DD03A7">
        <w:rPr>
          <w:rFonts w:ascii="Times New Roman" w:hAnsi="Times New Roman" w:cs="Times New Roman"/>
          <w:sz w:val="24"/>
          <w:szCs w:val="24"/>
        </w:rPr>
        <w:t>advising meetings</w:t>
      </w:r>
      <w:r w:rsidR="00197B1C">
        <w:rPr>
          <w:rFonts w:ascii="Times New Roman" w:hAnsi="Times New Roman" w:cs="Times New Roman"/>
          <w:sz w:val="24"/>
          <w:szCs w:val="24"/>
        </w:rPr>
        <w:t>,</w:t>
      </w:r>
      <w:r w:rsidR="00DD03A7">
        <w:rPr>
          <w:rFonts w:ascii="Times New Roman" w:hAnsi="Times New Roman" w:cs="Times New Roman"/>
          <w:sz w:val="24"/>
          <w:szCs w:val="24"/>
        </w:rPr>
        <w:t xml:space="preserve"> and supp</w:t>
      </w:r>
      <w:r w:rsidR="00AB75FB">
        <w:rPr>
          <w:rFonts w:ascii="Times New Roman" w:hAnsi="Times New Roman" w:cs="Times New Roman"/>
          <w:sz w:val="24"/>
          <w:szCs w:val="24"/>
        </w:rPr>
        <w:t>ort through the entire project</w:t>
      </w:r>
      <w:r w:rsidR="00DD03A7">
        <w:rPr>
          <w:rFonts w:ascii="Times New Roman" w:hAnsi="Times New Roman" w:cs="Times New Roman"/>
          <w:sz w:val="24"/>
          <w:szCs w:val="24"/>
        </w:rPr>
        <w:t xml:space="preserve">; </w:t>
      </w:r>
      <w:r w:rsidR="007E349F">
        <w:rPr>
          <w:rFonts w:ascii="Times New Roman" w:hAnsi="Times New Roman" w:cs="Times New Roman"/>
          <w:sz w:val="24"/>
          <w:szCs w:val="24"/>
        </w:rPr>
        <w:t xml:space="preserve">Kathy Newell and Miles Logsdon for </w:t>
      </w:r>
      <w:r w:rsidR="00DD03A7">
        <w:rPr>
          <w:rFonts w:ascii="Times New Roman" w:hAnsi="Times New Roman" w:cs="Times New Roman"/>
          <w:sz w:val="24"/>
          <w:szCs w:val="24"/>
        </w:rPr>
        <w:t xml:space="preserve">all of </w:t>
      </w:r>
      <w:r w:rsidR="007E349F">
        <w:rPr>
          <w:rFonts w:ascii="Times New Roman" w:hAnsi="Times New Roman" w:cs="Times New Roman"/>
          <w:sz w:val="24"/>
          <w:szCs w:val="24"/>
        </w:rPr>
        <w:t>their help in cruise prep</w:t>
      </w:r>
      <w:r w:rsidR="00DD03A7">
        <w:rPr>
          <w:rFonts w:ascii="Times New Roman" w:hAnsi="Times New Roman" w:cs="Times New Roman"/>
          <w:sz w:val="24"/>
          <w:szCs w:val="24"/>
        </w:rPr>
        <w:t>aration</w:t>
      </w:r>
      <w:r w:rsidR="007E349F">
        <w:rPr>
          <w:rFonts w:ascii="Times New Roman" w:hAnsi="Times New Roman" w:cs="Times New Roman"/>
          <w:sz w:val="24"/>
          <w:szCs w:val="24"/>
        </w:rPr>
        <w:t xml:space="preserve"> and for ensuring I</w:t>
      </w:r>
      <w:r w:rsidR="00DD03A7">
        <w:rPr>
          <w:rFonts w:ascii="Times New Roman" w:hAnsi="Times New Roman" w:cs="Times New Roman"/>
          <w:sz w:val="24"/>
          <w:szCs w:val="24"/>
        </w:rPr>
        <w:t xml:space="preserve"> had all the equipment I needed; and Susanna Michael and Angie Boyse</w:t>
      </w:r>
      <w:r w:rsidR="007E349F">
        <w:rPr>
          <w:rFonts w:ascii="Times New Roman" w:hAnsi="Times New Roman" w:cs="Times New Roman"/>
          <w:sz w:val="24"/>
          <w:szCs w:val="24"/>
        </w:rPr>
        <w:t>n for their invaluable technical support and assistance with data analysis.</w:t>
      </w:r>
      <w:r w:rsidR="00863A60">
        <w:rPr>
          <w:rFonts w:ascii="Times New Roman" w:hAnsi="Times New Roman" w:cs="Times New Roman"/>
          <w:sz w:val="24"/>
          <w:szCs w:val="24"/>
        </w:rPr>
        <w:t xml:space="preserve">  Thank you all for making this project a success. </w:t>
      </w:r>
    </w:p>
    <w:p w14:paraId="501200CC" w14:textId="77777777" w:rsidR="001677C6" w:rsidRPr="0014582D" w:rsidRDefault="001677C6" w:rsidP="0014582D">
      <w:pPr>
        <w:spacing w:line="480" w:lineRule="auto"/>
        <w:contextualSpacing/>
        <w:rPr>
          <w:rFonts w:ascii="Times New Roman" w:hAnsi="Times New Roman" w:cs="Times New Roman"/>
          <w:sz w:val="24"/>
          <w:szCs w:val="24"/>
        </w:rPr>
      </w:pPr>
    </w:p>
    <w:p w14:paraId="648D6DDD" w14:textId="1B278671" w:rsidR="00C339E0" w:rsidRPr="00F44326" w:rsidRDefault="00C339E0" w:rsidP="00C339E0">
      <w:pPr>
        <w:spacing w:after="0" w:line="480" w:lineRule="auto"/>
        <w:rPr>
          <w:rFonts w:ascii="Times New Roman" w:hAnsi="Times New Roman" w:cs="Times New Roman"/>
          <w:b/>
          <w:sz w:val="24"/>
          <w:szCs w:val="24"/>
          <w:u w:val="single"/>
        </w:rPr>
      </w:pPr>
      <w:r w:rsidRPr="00F44326">
        <w:rPr>
          <w:rFonts w:ascii="Times New Roman" w:hAnsi="Times New Roman" w:cs="Times New Roman"/>
          <w:b/>
          <w:sz w:val="24"/>
          <w:szCs w:val="24"/>
          <w:u w:val="single"/>
        </w:rPr>
        <w:t>References</w:t>
      </w:r>
    </w:p>
    <w:p w14:paraId="43D96E54" w14:textId="19B16E0A" w:rsidR="00D00BD6" w:rsidRPr="00F44326" w:rsidRDefault="00D00BD6" w:rsidP="000821AA">
      <w:pPr>
        <w:rPr>
          <w:rFonts w:ascii="Times New Roman" w:eastAsiaTheme="minorEastAsia" w:hAnsi="Times New Roman" w:cs="Times New Roman"/>
          <w:iCs/>
          <w:sz w:val="24"/>
          <w:szCs w:val="24"/>
        </w:rPr>
      </w:pPr>
      <w:r w:rsidRPr="00F44326">
        <w:rPr>
          <w:rFonts w:ascii="Times New Roman" w:hAnsi="Times New Roman" w:cs="Times New Roman"/>
          <w:sz w:val="24"/>
          <w:szCs w:val="24"/>
        </w:rPr>
        <w:t xml:space="preserve">Aylagas E., Mendibil I., Borja </w:t>
      </w:r>
      <w:r w:rsidRPr="00F44326">
        <w:rPr>
          <w:rFonts w:ascii="Times New Roman" w:eastAsiaTheme="minorEastAsia" w:hAnsi="Times New Roman" w:cs="Times New Roman"/>
          <w:iCs/>
          <w:sz w:val="24"/>
          <w:szCs w:val="24"/>
        </w:rPr>
        <w:t xml:space="preserve">Á, and Rodríguez-Ezpeleta N. 2016. “Marine Sediment Sample Pre-processing for Macroinvertebrates Metabarcoding; Mechanical Enrichment and Homogenization.” </w:t>
      </w:r>
      <w:r w:rsidRPr="00F44326">
        <w:rPr>
          <w:rFonts w:ascii="Times New Roman" w:eastAsiaTheme="minorEastAsia" w:hAnsi="Times New Roman" w:cs="Times New Roman"/>
          <w:i/>
          <w:iCs/>
          <w:sz w:val="24"/>
          <w:szCs w:val="24"/>
        </w:rPr>
        <w:t>Front. Mar. Sci.</w:t>
      </w:r>
      <w:r w:rsidRPr="00F44326">
        <w:rPr>
          <w:rFonts w:ascii="Times New Roman" w:eastAsiaTheme="minorEastAsia" w:hAnsi="Times New Roman" w:cs="Times New Roman"/>
          <w:iCs/>
          <w:sz w:val="24"/>
          <w:szCs w:val="24"/>
        </w:rPr>
        <w:t xml:space="preserve"> 3:203</w:t>
      </w:r>
    </w:p>
    <w:p w14:paraId="505213B3" w14:textId="77777777" w:rsidR="000821AA" w:rsidRPr="00F44326" w:rsidRDefault="000821AA" w:rsidP="000821AA">
      <w:pPr>
        <w:rPr>
          <w:rFonts w:ascii="Times New Roman" w:hAnsi="Times New Roman" w:cs="Times New Roman"/>
          <w:sz w:val="24"/>
          <w:szCs w:val="24"/>
        </w:rPr>
      </w:pPr>
      <w:r w:rsidRPr="00F44326">
        <w:rPr>
          <w:rFonts w:ascii="Times New Roman" w:hAnsi="Times New Roman" w:cs="Times New Roman"/>
          <w:sz w:val="24"/>
          <w:szCs w:val="24"/>
        </w:rPr>
        <w:t xml:space="preserve">Brooks K.M. and Mahnken C.V.W. 2003. “Interactions of Atlantic salmon in the Pacific Northwest environment III. Accumulation of zinc and copper.”  </w:t>
      </w:r>
      <w:r w:rsidRPr="00F44326">
        <w:rPr>
          <w:rFonts w:ascii="Times New Roman" w:hAnsi="Times New Roman" w:cs="Times New Roman"/>
          <w:i/>
          <w:sz w:val="24"/>
          <w:szCs w:val="24"/>
        </w:rPr>
        <w:t>Fisheries Research.</w:t>
      </w:r>
      <w:r w:rsidRPr="00F44326">
        <w:rPr>
          <w:rFonts w:ascii="Times New Roman" w:hAnsi="Times New Roman" w:cs="Times New Roman"/>
          <w:sz w:val="24"/>
          <w:szCs w:val="24"/>
        </w:rPr>
        <w:t xml:space="preserve"> 62:295-305.</w:t>
      </w:r>
    </w:p>
    <w:p w14:paraId="66400758" w14:textId="17E8F50E" w:rsidR="003C3330" w:rsidRPr="00F44326" w:rsidRDefault="003C3330" w:rsidP="000821AA">
      <w:pPr>
        <w:rPr>
          <w:rFonts w:ascii="Times New Roman" w:hAnsi="Times New Roman" w:cs="Times New Roman"/>
          <w:sz w:val="24"/>
          <w:szCs w:val="24"/>
        </w:rPr>
      </w:pPr>
      <w:r w:rsidRPr="00F44326">
        <w:rPr>
          <w:rFonts w:ascii="Times New Roman" w:hAnsi="Times New Roman" w:cs="Times New Roman"/>
          <w:sz w:val="24"/>
          <w:szCs w:val="24"/>
        </w:rPr>
        <w:t xml:space="preserve">Brumsack H.J., 2006.  “The trace metal content of recent organic carbon-rich sediments: </w:t>
      </w:r>
      <w:r w:rsidRPr="00F44326">
        <w:rPr>
          <w:rFonts w:ascii="Times New Roman" w:hAnsi="Times New Roman" w:cs="Times New Roman"/>
          <w:sz w:val="24"/>
          <w:szCs w:val="24"/>
        </w:rPr>
        <w:br/>
        <w:t xml:space="preserve">Implications for Cretaceous black shale formation.” </w:t>
      </w:r>
      <w:r w:rsidRPr="00F44326">
        <w:rPr>
          <w:rFonts w:ascii="Times New Roman" w:hAnsi="Times New Roman" w:cs="Times New Roman"/>
          <w:i/>
          <w:sz w:val="24"/>
          <w:szCs w:val="24"/>
        </w:rPr>
        <w:t>Palaeogeogr., Palaeoclimatol., Palaeoecol.</w:t>
      </w:r>
      <w:r w:rsidRPr="00F44326">
        <w:rPr>
          <w:rFonts w:ascii="Times New Roman" w:hAnsi="Times New Roman" w:cs="Times New Roman"/>
          <w:sz w:val="24"/>
          <w:szCs w:val="24"/>
        </w:rPr>
        <w:t xml:space="preserve"> 232: 344-361</w:t>
      </w:r>
    </w:p>
    <w:p w14:paraId="77CAA65F" w14:textId="77777777" w:rsidR="000821AA" w:rsidRPr="00F44326" w:rsidRDefault="000821AA" w:rsidP="000821AA">
      <w:pPr>
        <w:rPr>
          <w:rFonts w:ascii="Times New Roman" w:hAnsi="Times New Roman" w:cs="Times New Roman"/>
          <w:sz w:val="24"/>
          <w:szCs w:val="24"/>
        </w:rPr>
      </w:pPr>
      <w:r w:rsidRPr="00F44326">
        <w:rPr>
          <w:rFonts w:ascii="Times New Roman" w:hAnsi="Times New Roman" w:cs="Times New Roman"/>
          <w:sz w:val="24"/>
          <w:szCs w:val="24"/>
        </w:rPr>
        <w:t xml:space="preserve">Bryan G. W. and Langston W.J., 1992. “Bioavailability, accumulation and effects of heavy metals in sediments with special reference to United Kingdom estuaries: a review.” </w:t>
      </w:r>
      <w:r w:rsidRPr="00F44326">
        <w:rPr>
          <w:rFonts w:ascii="Times New Roman" w:hAnsi="Times New Roman" w:cs="Times New Roman"/>
          <w:i/>
          <w:sz w:val="24"/>
          <w:szCs w:val="24"/>
        </w:rPr>
        <w:t>Environ. Pollut.</w:t>
      </w:r>
      <w:r w:rsidRPr="00F44326">
        <w:rPr>
          <w:rFonts w:ascii="Times New Roman" w:hAnsi="Times New Roman" w:cs="Times New Roman"/>
          <w:sz w:val="24"/>
          <w:szCs w:val="24"/>
        </w:rPr>
        <w:t xml:space="preserve"> 76:89-131</w:t>
      </w:r>
    </w:p>
    <w:p w14:paraId="345D7D61" w14:textId="77777777" w:rsidR="000821AA" w:rsidRPr="00F44326" w:rsidRDefault="000821AA" w:rsidP="000821AA">
      <w:pPr>
        <w:rPr>
          <w:rFonts w:ascii="Times New Roman" w:hAnsi="Times New Roman" w:cs="Times New Roman"/>
          <w:sz w:val="24"/>
          <w:szCs w:val="24"/>
        </w:rPr>
      </w:pPr>
      <w:r w:rsidRPr="00F44326">
        <w:rPr>
          <w:rFonts w:ascii="Times New Roman" w:hAnsi="Times New Roman" w:cs="Times New Roman"/>
          <w:sz w:val="24"/>
          <w:szCs w:val="24"/>
        </w:rPr>
        <w:t xml:space="preserve">Claisse D. and Alzieu C.I. 1993. “Copper Contamination as a Result of Antifouling Paint Regulations?” </w:t>
      </w:r>
      <w:r w:rsidRPr="00F44326">
        <w:rPr>
          <w:rFonts w:ascii="Times New Roman" w:hAnsi="Times New Roman" w:cs="Times New Roman"/>
          <w:i/>
          <w:sz w:val="24"/>
          <w:szCs w:val="24"/>
        </w:rPr>
        <w:t>Mar. Pollut. Bull</w:t>
      </w:r>
      <w:r w:rsidRPr="00F44326">
        <w:rPr>
          <w:rFonts w:ascii="Times New Roman" w:hAnsi="Times New Roman" w:cs="Times New Roman"/>
          <w:sz w:val="24"/>
          <w:szCs w:val="24"/>
        </w:rPr>
        <w:t>. 26(7):395-397.</w:t>
      </w:r>
    </w:p>
    <w:p w14:paraId="019FB740" w14:textId="77777777" w:rsidR="000821AA" w:rsidRPr="00F44326" w:rsidRDefault="000821AA" w:rsidP="000821AA">
      <w:pPr>
        <w:rPr>
          <w:rFonts w:ascii="Times New Roman" w:hAnsi="Times New Roman" w:cs="Times New Roman"/>
          <w:sz w:val="24"/>
          <w:szCs w:val="24"/>
        </w:rPr>
      </w:pPr>
      <w:r w:rsidRPr="00F44326">
        <w:rPr>
          <w:rFonts w:ascii="Times New Roman" w:hAnsi="Times New Roman" w:cs="Times New Roman"/>
          <w:sz w:val="24"/>
          <w:szCs w:val="24"/>
        </w:rPr>
        <w:t xml:space="preserve">Dean R.J., Shimmield T.M., and Black K.D. 2007. “Copper, zinc and cadmium in marine cage fish farm sediments: An extensive survey.” </w:t>
      </w:r>
      <w:r w:rsidRPr="00F44326">
        <w:rPr>
          <w:rFonts w:ascii="Times New Roman" w:hAnsi="Times New Roman" w:cs="Times New Roman"/>
          <w:i/>
          <w:sz w:val="24"/>
          <w:szCs w:val="24"/>
        </w:rPr>
        <w:t xml:space="preserve">Environ. Pollut. </w:t>
      </w:r>
      <w:r w:rsidRPr="00F44326">
        <w:rPr>
          <w:rFonts w:ascii="Times New Roman" w:hAnsi="Times New Roman" w:cs="Times New Roman"/>
          <w:sz w:val="24"/>
          <w:szCs w:val="24"/>
        </w:rPr>
        <w:t>145:84-95.</w:t>
      </w:r>
    </w:p>
    <w:p w14:paraId="4816511E" w14:textId="4FF8E69F" w:rsidR="00751521" w:rsidRDefault="003E37C3" w:rsidP="00D00BD6">
      <w:pPr>
        <w:rPr>
          <w:rFonts w:ascii="Times New Roman" w:hAnsi="Times New Roman" w:cs="Times New Roman"/>
          <w:sz w:val="24"/>
          <w:szCs w:val="24"/>
        </w:rPr>
      </w:pPr>
      <w:r w:rsidRPr="00F44326">
        <w:rPr>
          <w:rFonts w:ascii="Times New Roman" w:hAnsi="Times New Roman" w:cs="Times New Roman"/>
          <w:sz w:val="24"/>
          <w:szCs w:val="24"/>
        </w:rPr>
        <w:t xml:space="preserve">Demina L.L., Oskina N.S., and Galkin S.V. 2016. “Trace metal accumulation in carbonate biominerals of the Atlantic Ocean.” </w:t>
      </w:r>
      <w:r w:rsidRPr="00F44326">
        <w:rPr>
          <w:rFonts w:ascii="Times New Roman" w:hAnsi="Times New Roman" w:cs="Times New Roman"/>
          <w:i/>
          <w:sz w:val="24"/>
          <w:szCs w:val="24"/>
        </w:rPr>
        <w:t>Oceonology</w:t>
      </w:r>
      <w:r w:rsidRPr="00F44326">
        <w:rPr>
          <w:rFonts w:ascii="Times New Roman" w:hAnsi="Times New Roman" w:cs="Times New Roman"/>
          <w:sz w:val="24"/>
          <w:szCs w:val="24"/>
        </w:rPr>
        <w:t xml:space="preserve"> 56(1):131-136</w:t>
      </w:r>
    </w:p>
    <w:p w14:paraId="05267D5B" w14:textId="76AFC3D6" w:rsidR="00751521" w:rsidRDefault="00751521" w:rsidP="00D00BD6">
      <w:pPr>
        <w:rPr>
          <w:rFonts w:ascii="Times New Roman" w:hAnsi="Times New Roman" w:cs="Times New Roman"/>
          <w:sz w:val="24"/>
          <w:szCs w:val="24"/>
        </w:rPr>
      </w:pPr>
      <w:r w:rsidRPr="00751521">
        <w:rPr>
          <w:rFonts w:ascii="Times New Roman" w:hAnsi="Times New Roman" w:cs="Times New Roman"/>
          <w:sz w:val="24"/>
          <w:szCs w:val="24"/>
        </w:rPr>
        <w:t xml:space="preserve">“Environmental Quality.” </w:t>
      </w:r>
      <w:r w:rsidRPr="00751521">
        <w:rPr>
          <w:rFonts w:ascii="Times New Roman" w:hAnsi="Times New Roman" w:cs="Times New Roman"/>
          <w:i/>
          <w:sz w:val="24"/>
          <w:szCs w:val="24"/>
        </w:rPr>
        <w:t>Nickel Institute</w:t>
      </w:r>
      <w:r>
        <w:rPr>
          <w:rFonts w:ascii="Times New Roman" w:hAnsi="Times New Roman" w:cs="Times New Roman"/>
          <w:i/>
          <w:sz w:val="24"/>
          <w:szCs w:val="24"/>
        </w:rPr>
        <w:t>.</w:t>
      </w:r>
      <w:r>
        <w:rPr>
          <w:rFonts w:ascii="Times New Roman" w:hAnsi="Times New Roman" w:cs="Times New Roman"/>
          <w:sz w:val="24"/>
          <w:szCs w:val="24"/>
        </w:rPr>
        <w:t xml:space="preserve"> </w:t>
      </w:r>
      <w:hyperlink r:id="rId7" w:history="1">
        <w:r w:rsidRPr="00547548">
          <w:rPr>
            <w:rStyle w:val="Hyperlink"/>
            <w:rFonts w:ascii="Times New Roman" w:eastAsiaTheme="minorEastAsia" w:hAnsi="Times New Roman" w:cs="Times New Roman"/>
            <w:sz w:val="24"/>
            <w:szCs w:val="24"/>
          </w:rPr>
          <w:t>https://www.nickelinstitute.org/Sustainability/EnvironmentalQuality</w:t>
        </w:r>
      </w:hyperlink>
      <w:r>
        <w:rPr>
          <w:rFonts w:ascii="Times New Roman" w:eastAsiaTheme="minorEastAsia" w:hAnsi="Times New Roman" w:cs="Times New Roman"/>
          <w:sz w:val="24"/>
          <w:szCs w:val="24"/>
        </w:rPr>
        <w:t>, accessed May 1, 2018.</w:t>
      </w:r>
    </w:p>
    <w:p w14:paraId="76A00FD8" w14:textId="50612340" w:rsidR="00D00BD6" w:rsidRPr="00F44326" w:rsidRDefault="000821AA" w:rsidP="00D00BD6">
      <w:pPr>
        <w:rPr>
          <w:rFonts w:ascii="Times New Roman" w:hAnsi="Times New Roman" w:cs="Times New Roman"/>
          <w:i/>
          <w:sz w:val="24"/>
          <w:szCs w:val="24"/>
        </w:rPr>
      </w:pPr>
      <w:r w:rsidRPr="00F44326">
        <w:rPr>
          <w:rFonts w:ascii="Times New Roman" w:hAnsi="Times New Roman" w:cs="Times New Roman"/>
          <w:sz w:val="24"/>
          <w:szCs w:val="24"/>
        </w:rPr>
        <w:t xml:space="preserve">EPA, 1984. “Ambient Water Quality Criteria for Copper.” </w:t>
      </w:r>
      <w:r w:rsidRPr="00F44326">
        <w:rPr>
          <w:rFonts w:ascii="Times New Roman" w:hAnsi="Times New Roman" w:cs="Times New Roman"/>
          <w:i/>
          <w:sz w:val="24"/>
          <w:szCs w:val="24"/>
        </w:rPr>
        <w:t>United States Environmental Protection Agency.</w:t>
      </w:r>
    </w:p>
    <w:p w14:paraId="758CBB90" w14:textId="77777777" w:rsidR="00D00BD6" w:rsidRPr="00F44326" w:rsidRDefault="00D00BD6" w:rsidP="00D00BD6">
      <w:pPr>
        <w:rPr>
          <w:rFonts w:ascii="Times New Roman" w:hAnsi="Times New Roman" w:cs="Times New Roman"/>
          <w:i/>
          <w:sz w:val="24"/>
          <w:szCs w:val="24"/>
        </w:rPr>
      </w:pPr>
      <w:r w:rsidRPr="00F44326">
        <w:rPr>
          <w:rFonts w:ascii="Times New Roman" w:hAnsi="Times New Roman" w:cs="Times New Roman"/>
          <w:sz w:val="24"/>
          <w:szCs w:val="24"/>
        </w:rPr>
        <w:t xml:space="preserve">EPA, 1996. “Method 3050B: Acid Digestion of Sediments, Sludges, and Soils,” Revision 2. </w:t>
      </w:r>
      <w:r w:rsidRPr="00F44326">
        <w:rPr>
          <w:rFonts w:ascii="Times New Roman" w:hAnsi="Times New Roman" w:cs="Times New Roman"/>
          <w:i/>
          <w:sz w:val="24"/>
          <w:szCs w:val="24"/>
        </w:rPr>
        <w:t>United States Environmental Protection Agency.</w:t>
      </w:r>
    </w:p>
    <w:p w14:paraId="4ACB5C48" w14:textId="39922804" w:rsidR="00D00BD6" w:rsidRPr="00F44326" w:rsidRDefault="00D00BD6" w:rsidP="000821AA">
      <w:pPr>
        <w:rPr>
          <w:rFonts w:ascii="Times New Roman" w:hAnsi="Times New Roman" w:cs="Times New Roman"/>
          <w:i/>
          <w:sz w:val="24"/>
          <w:szCs w:val="24"/>
        </w:rPr>
      </w:pPr>
      <w:r w:rsidRPr="00F44326">
        <w:rPr>
          <w:rFonts w:ascii="Times New Roman" w:hAnsi="Times New Roman" w:cs="Times New Roman"/>
          <w:sz w:val="24"/>
          <w:szCs w:val="24"/>
        </w:rPr>
        <w:t xml:space="preserve">EPA, 2001. “Trace Elements in Water, Solids, and Biosoilds by Inductively Coupled Plasma-Atomic Emission Spectrometry.” Revision 5. </w:t>
      </w:r>
      <w:r w:rsidRPr="00F44326">
        <w:rPr>
          <w:rFonts w:ascii="Times New Roman" w:hAnsi="Times New Roman" w:cs="Times New Roman"/>
          <w:i/>
          <w:sz w:val="24"/>
          <w:szCs w:val="24"/>
        </w:rPr>
        <w:t>United States Environmental Protection Agency.</w:t>
      </w:r>
    </w:p>
    <w:p w14:paraId="050F1581" w14:textId="7D9E5C44" w:rsidR="00CB4132" w:rsidRPr="00CB4132" w:rsidRDefault="00CB4132" w:rsidP="00CB4132">
      <w:pPr>
        <w:widowControl w:val="0"/>
        <w:autoSpaceDE w:val="0"/>
        <w:autoSpaceDN w:val="0"/>
        <w:adjustRightInd w:val="0"/>
        <w:spacing w:after="240" w:line="280" w:lineRule="atLeast"/>
        <w:rPr>
          <w:rFonts w:ascii="Times New Roman" w:eastAsiaTheme="minorEastAsia" w:hAnsi="Times New Roman" w:cs="Times New Roman"/>
          <w:sz w:val="24"/>
          <w:szCs w:val="24"/>
        </w:rPr>
      </w:pPr>
      <w:r w:rsidRPr="003C091A">
        <w:rPr>
          <w:rFonts w:ascii="Times New Roman" w:eastAsiaTheme="minorEastAsia" w:hAnsi="Times New Roman" w:cs="Times New Roman"/>
          <w:sz w:val="24"/>
          <w:szCs w:val="24"/>
        </w:rPr>
        <w:t xml:space="preserve">Fergusson, J.E. 1990. </w:t>
      </w:r>
      <w:r>
        <w:rPr>
          <w:rFonts w:ascii="Times New Roman" w:eastAsiaTheme="minorEastAsia" w:hAnsi="Times New Roman" w:cs="Times New Roman"/>
          <w:sz w:val="24"/>
          <w:szCs w:val="24"/>
        </w:rPr>
        <w:t>“</w:t>
      </w:r>
      <w:r w:rsidRPr="003C091A">
        <w:rPr>
          <w:rFonts w:ascii="Times New Roman" w:eastAsiaTheme="minorEastAsia" w:hAnsi="Times New Roman" w:cs="Times New Roman"/>
          <w:sz w:val="24"/>
          <w:szCs w:val="24"/>
        </w:rPr>
        <w:t xml:space="preserve">The Heavy Elements: Chemistry, Environmental Impact and Health </w:t>
      </w:r>
      <w:r w:rsidRPr="003C091A">
        <w:rPr>
          <w:rFonts w:ascii="Times New Roman" w:eastAsiaTheme="minorEastAsia" w:hAnsi="Times New Roman" w:cs="Times New Roman"/>
          <w:sz w:val="24"/>
          <w:szCs w:val="24"/>
        </w:rPr>
        <w:lastRenderedPageBreak/>
        <w:t>Effects.</w:t>
      </w:r>
      <w:r>
        <w:rPr>
          <w:rFonts w:ascii="Times New Roman" w:eastAsiaTheme="minorEastAsia" w:hAnsi="Times New Roman" w:cs="Times New Roman"/>
          <w:sz w:val="24"/>
          <w:szCs w:val="24"/>
        </w:rPr>
        <w:t>”</w:t>
      </w:r>
      <w:r w:rsidRPr="003C091A">
        <w:rPr>
          <w:rFonts w:ascii="Times New Roman" w:eastAsiaTheme="minorEastAsia" w:hAnsi="Times New Roman" w:cs="Times New Roman"/>
          <w:sz w:val="24"/>
          <w:szCs w:val="24"/>
        </w:rPr>
        <w:t xml:space="preserve"> Oxford: Pergamon Press.</w:t>
      </w:r>
    </w:p>
    <w:p w14:paraId="59EBFA0F" w14:textId="23BEB139" w:rsidR="006E1019" w:rsidRPr="00A93F6E" w:rsidRDefault="000821AA" w:rsidP="000821AA">
      <w:pPr>
        <w:rPr>
          <w:rFonts w:ascii="Times New Roman" w:hAnsi="Times New Roman" w:cs="Times New Roman"/>
          <w:i/>
          <w:sz w:val="24"/>
          <w:szCs w:val="24"/>
        </w:rPr>
      </w:pPr>
      <w:r w:rsidRPr="00F44326">
        <w:rPr>
          <w:rFonts w:ascii="Times New Roman" w:hAnsi="Times New Roman" w:cs="Times New Roman"/>
          <w:sz w:val="24"/>
          <w:szCs w:val="24"/>
        </w:rPr>
        <w:t xml:space="preserve">Gardner J. and Peterson D.L. 2003. “Making Sense of the Salmon Aquaculture Debate; Analysis of issues related to netcage salmon farming and wild salmon in British Columbia.” </w:t>
      </w:r>
      <w:r w:rsidRPr="00F44326">
        <w:rPr>
          <w:rFonts w:ascii="Times New Roman" w:hAnsi="Times New Roman" w:cs="Times New Roman"/>
          <w:i/>
          <w:sz w:val="24"/>
          <w:szCs w:val="24"/>
        </w:rPr>
        <w:t>Pacific Fisheries Resource Conservation Council.</w:t>
      </w:r>
    </w:p>
    <w:p w14:paraId="4CE4FBFF" w14:textId="65A19C31" w:rsidR="006E1019" w:rsidRPr="00A93F6E" w:rsidRDefault="00060228" w:rsidP="000821AA">
      <w:pPr>
        <w:rPr>
          <w:rFonts w:ascii="Times New Roman" w:hAnsi="Times New Roman" w:cs="Times New Roman"/>
          <w:sz w:val="24"/>
          <w:szCs w:val="24"/>
        </w:rPr>
      </w:pPr>
      <w:r>
        <w:rPr>
          <w:rFonts w:ascii="Times New Roman" w:hAnsi="Times New Roman" w:cs="Times New Roman"/>
          <w:sz w:val="24"/>
          <w:szCs w:val="24"/>
        </w:rPr>
        <w:t xml:space="preserve">Ghost Town Listings Washington State. </w:t>
      </w:r>
      <w:r w:rsidRPr="00060228">
        <w:rPr>
          <w:rFonts w:ascii="Times New Roman" w:hAnsi="Times New Roman" w:cs="Times New Roman"/>
          <w:i/>
          <w:sz w:val="24"/>
          <w:szCs w:val="24"/>
        </w:rPr>
        <w:t>Ghost Towns of Washington.</w:t>
      </w:r>
      <w:r w:rsidR="00F4460A">
        <w:rPr>
          <w:rFonts w:ascii="Times New Roman" w:hAnsi="Times New Roman" w:cs="Times New Roman"/>
          <w:sz w:val="24"/>
          <w:szCs w:val="24"/>
        </w:rPr>
        <w:t xml:space="preserve"> </w:t>
      </w:r>
      <w:hyperlink r:id="rId8" w:history="1">
        <w:r w:rsidR="00F4460A" w:rsidRPr="00547548">
          <w:rPr>
            <w:rStyle w:val="Hyperlink"/>
            <w:rFonts w:ascii="Times New Roman" w:hAnsi="Times New Roman" w:cs="Times New Roman"/>
            <w:sz w:val="24"/>
            <w:szCs w:val="24"/>
          </w:rPr>
          <w:t>http://www.ghosttownsofwashington.com/</w:t>
        </w:r>
      </w:hyperlink>
      <w:r w:rsidR="00F4460A">
        <w:rPr>
          <w:rFonts w:ascii="Times New Roman" w:hAnsi="Times New Roman" w:cs="Times New Roman"/>
          <w:sz w:val="24"/>
          <w:szCs w:val="24"/>
        </w:rPr>
        <w:t>,</w:t>
      </w:r>
      <w:r w:rsidR="00F4460A">
        <w:rPr>
          <w:rFonts w:eastAsia="Times New Roman" w:cs="Times New Roman"/>
        </w:rPr>
        <w:t xml:space="preserve"> </w:t>
      </w:r>
      <w:r w:rsidR="00F4460A">
        <w:rPr>
          <w:rFonts w:ascii="Times New Roman" w:hAnsi="Times New Roman" w:cs="Times New Roman"/>
          <w:sz w:val="24"/>
          <w:szCs w:val="24"/>
        </w:rPr>
        <w:t>accessed April 10, 2018.</w:t>
      </w:r>
    </w:p>
    <w:p w14:paraId="4558CB16" w14:textId="77777777" w:rsidR="000821AA" w:rsidRPr="00F44326" w:rsidRDefault="000821AA" w:rsidP="000821AA">
      <w:pPr>
        <w:rPr>
          <w:rFonts w:ascii="Times New Roman" w:hAnsi="Times New Roman" w:cs="Times New Roman"/>
          <w:sz w:val="24"/>
          <w:szCs w:val="24"/>
        </w:rPr>
      </w:pPr>
      <w:r w:rsidRPr="00F44326">
        <w:rPr>
          <w:rFonts w:ascii="Times New Roman" w:hAnsi="Times New Roman" w:cs="Times New Roman"/>
          <w:sz w:val="24"/>
          <w:szCs w:val="24"/>
        </w:rPr>
        <w:t xml:space="preserve">Haggarty, D.R., B. McCorquodale, D. I. Johannessen, C.D. Levings, and P.S. Ross, 2003. “Marine environmental quality in the central coast of British Columbia, Canada: A review of contaminant sources, types and risks.” </w:t>
      </w:r>
      <w:r w:rsidRPr="00F44326">
        <w:rPr>
          <w:rFonts w:ascii="Times New Roman" w:hAnsi="Times New Roman" w:cs="Times New Roman"/>
          <w:i/>
          <w:sz w:val="24"/>
          <w:szCs w:val="24"/>
        </w:rPr>
        <w:t>Can Tech. Rep. Fish. Aquatic Sci.</w:t>
      </w:r>
      <w:r w:rsidRPr="00F44326">
        <w:rPr>
          <w:rFonts w:ascii="Times New Roman" w:hAnsi="Times New Roman" w:cs="Times New Roman"/>
          <w:sz w:val="24"/>
          <w:szCs w:val="24"/>
        </w:rPr>
        <w:t xml:space="preserve"> 2507: x+153 p.</w:t>
      </w:r>
    </w:p>
    <w:p w14:paraId="3C4E3065" w14:textId="7CFAC0EC" w:rsidR="00DC2F5A" w:rsidRPr="00F44326" w:rsidRDefault="00DC2F5A" w:rsidP="000821AA">
      <w:pPr>
        <w:rPr>
          <w:rFonts w:ascii="Times New Roman" w:hAnsi="Times New Roman" w:cs="Times New Roman"/>
          <w:sz w:val="24"/>
          <w:szCs w:val="24"/>
        </w:rPr>
      </w:pPr>
      <w:r w:rsidRPr="00F44326">
        <w:rPr>
          <w:rFonts w:ascii="Times New Roman" w:hAnsi="Times New Roman" w:cs="Times New Roman"/>
          <w:sz w:val="24"/>
          <w:szCs w:val="24"/>
        </w:rPr>
        <w:t xml:space="preserve">Jitar O., Teodosiu C., Oros A., Plavan G., and Nicoara M. 2015. “Bioaccumulation of heavy metals in marine organisms from the Romanian sector of the Black Sea.” </w:t>
      </w:r>
      <w:r w:rsidRPr="00F44326">
        <w:rPr>
          <w:rFonts w:ascii="Times New Roman" w:hAnsi="Times New Roman" w:cs="Times New Roman"/>
          <w:i/>
          <w:sz w:val="24"/>
          <w:szCs w:val="24"/>
        </w:rPr>
        <w:t>N. Biotechnol.</w:t>
      </w:r>
      <w:r w:rsidRPr="00F44326">
        <w:rPr>
          <w:rFonts w:ascii="Times New Roman" w:hAnsi="Times New Roman" w:cs="Times New Roman"/>
          <w:sz w:val="24"/>
          <w:szCs w:val="24"/>
        </w:rPr>
        <w:t xml:space="preserve"> 32(3)</w:t>
      </w:r>
    </w:p>
    <w:p w14:paraId="00A6E024" w14:textId="7690D26B" w:rsidR="005E5A61" w:rsidRPr="005E5A61" w:rsidRDefault="005E5A61" w:rsidP="005E5A61">
      <w:pPr>
        <w:widowControl w:val="0"/>
        <w:autoSpaceDE w:val="0"/>
        <w:autoSpaceDN w:val="0"/>
        <w:adjustRightInd w:val="0"/>
        <w:spacing w:after="240" w:line="280" w:lineRule="atLeast"/>
        <w:rPr>
          <w:rFonts w:ascii="Times New Roman" w:eastAsiaTheme="minorEastAsia" w:hAnsi="Times New Roman" w:cs="Times New Roman"/>
          <w:sz w:val="24"/>
          <w:szCs w:val="24"/>
        </w:rPr>
      </w:pPr>
      <w:r w:rsidRPr="002D5876">
        <w:rPr>
          <w:rFonts w:ascii="Times New Roman" w:eastAsiaTheme="minorEastAsia" w:hAnsi="Times New Roman" w:cs="Times New Roman"/>
          <w:sz w:val="24"/>
          <w:szCs w:val="24"/>
        </w:rPr>
        <w:t xml:space="preserve">Kabata-Pendia A. 2001. “Trace Elements in Soils and Plants.” Boca Raton, FL: CRC Press </w:t>
      </w:r>
    </w:p>
    <w:p w14:paraId="284C0AFB" w14:textId="084E14AE" w:rsidR="00C64C0F" w:rsidRPr="00F44326" w:rsidRDefault="000821AA" w:rsidP="000821AA">
      <w:pPr>
        <w:rPr>
          <w:rFonts w:ascii="Times New Roman" w:hAnsi="Times New Roman" w:cs="Times New Roman"/>
          <w:sz w:val="24"/>
          <w:szCs w:val="24"/>
        </w:rPr>
      </w:pPr>
      <w:r w:rsidRPr="00F44326">
        <w:rPr>
          <w:rFonts w:ascii="Times New Roman" w:hAnsi="Times New Roman" w:cs="Times New Roman"/>
          <w:sz w:val="24"/>
          <w:szCs w:val="24"/>
        </w:rPr>
        <w:t xml:space="preserve">Katranitsas A., Castritsi-Catharios J., and Persoone G. 2003. “The effects of a copper-based antifouling paint on mortality and enzymatic activity of a non-target marine organism.” </w:t>
      </w:r>
      <w:r w:rsidRPr="00F44326">
        <w:rPr>
          <w:rFonts w:ascii="Times New Roman" w:hAnsi="Times New Roman" w:cs="Times New Roman"/>
          <w:i/>
          <w:sz w:val="24"/>
          <w:szCs w:val="24"/>
        </w:rPr>
        <w:t>Mar. Pollut. Bull.</w:t>
      </w:r>
      <w:r w:rsidRPr="00F44326">
        <w:rPr>
          <w:rFonts w:ascii="Times New Roman" w:hAnsi="Times New Roman" w:cs="Times New Roman"/>
          <w:sz w:val="24"/>
          <w:szCs w:val="24"/>
        </w:rPr>
        <w:t xml:space="preserve"> 46:1491-1494.</w:t>
      </w:r>
    </w:p>
    <w:p w14:paraId="2C321890" w14:textId="18E51B11" w:rsidR="00C64C0F" w:rsidRPr="00C64C0F" w:rsidRDefault="000821AA" w:rsidP="00C64C0F">
      <w:pPr>
        <w:rPr>
          <w:rFonts w:ascii="Times New Roman" w:hAnsi="Times New Roman" w:cs="Times New Roman"/>
          <w:i/>
          <w:sz w:val="24"/>
          <w:szCs w:val="24"/>
        </w:rPr>
      </w:pPr>
      <w:r w:rsidRPr="00F44326">
        <w:rPr>
          <w:rFonts w:ascii="Times New Roman" w:hAnsi="Times New Roman" w:cs="Times New Roman"/>
          <w:sz w:val="24"/>
          <w:szCs w:val="24"/>
        </w:rPr>
        <w:t xml:space="preserve">Kay B.H. 1989. Pollutants in British Columbia’s marine environment: a Status report.  A state of the environment report. SOE report, 89-1. Canada. </w:t>
      </w:r>
      <w:r w:rsidRPr="00F44326">
        <w:rPr>
          <w:rFonts w:ascii="Times New Roman" w:hAnsi="Times New Roman" w:cs="Times New Roman"/>
          <w:i/>
          <w:sz w:val="24"/>
          <w:szCs w:val="24"/>
        </w:rPr>
        <w:t>Environmental Protection.</w:t>
      </w:r>
    </w:p>
    <w:p w14:paraId="5B7C4DAA" w14:textId="77777777" w:rsidR="00C64C0F" w:rsidRDefault="00C64C0F" w:rsidP="00C64C0F">
      <w:pPr>
        <w:spacing w:after="0" w:line="240" w:lineRule="auto"/>
        <w:rPr>
          <w:rFonts w:ascii="Times New Roman" w:hAnsi="Times New Roman" w:cs="Times New Roman"/>
          <w:sz w:val="24"/>
          <w:szCs w:val="24"/>
        </w:rPr>
      </w:pPr>
      <w:r>
        <w:rPr>
          <w:rFonts w:ascii="Times New Roman" w:hAnsi="Times New Roman" w:cs="Times New Roman"/>
          <w:sz w:val="24"/>
          <w:szCs w:val="24"/>
        </w:rPr>
        <w:t>Komjarova I. 2009. “Uptake of Trace Metals in Aquatic Organisms: a Stable Isotopes Experiment.” Doctorate Dissertation, Department of Biology, University of Antwerp.</w:t>
      </w:r>
    </w:p>
    <w:p w14:paraId="3996246C" w14:textId="77777777" w:rsidR="00C64C0F" w:rsidRDefault="00C64C0F" w:rsidP="00C64C0F">
      <w:pPr>
        <w:spacing w:after="0" w:line="240" w:lineRule="auto"/>
        <w:rPr>
          <w:rFonts w:ascii="Times New Roman" w:hAnsi="Times New Roman" w:cs="Times New Roman"/>
          <w:sz w:val="24"/>
          <w:szCs w:val="24"/>
        </w:rPr>
      </w:pPr>
    </w:p>
    <w:p w14:paraId="1713B76F" w14:textId="4ABC6C5E" w:rsidR="00CC1131" w:rsidRDefault="000821AA" w:rsidP="00C64C0F">
      <w:pPr>
        <w:spacing w:after="0" w:line="240" w:lineRule="auto"/>
        <w:rPr>
          <w:rFonts w:ascii="Times New Roman" w:hAnsi="Times New Roman" w:cs="Times New Roman"/>
          <w:sz w:val="24"/>
          <w:szCs w:val="24"/>
        </w:rPr>
      </w:pPr>
      <w:r w:rsidRPr="00F44326">
        <w:rPr>
          <w:rFonts w:ascii="Times New Roman" w:hAnsi="Times New Roman" w:cs="Times New Roman"/>
          <w:sz w:val="24"/>
          <w:szCs w:val="24"/>
        </w:rPr>
        <w:t xml:space="preserve">Lee M.R. and Correa J.A. 2005. “Effects of copper mine tailings disposal on littoral meiofaunal assemblages in the Atacama region of northern Chile.” </w:t>
      </w:r>
      <w:r w:rsidRPr="00F44326">
        <w:rPr>
          <w:rFonts w:ascii="Times New Roman" w:hAnsi="Times New Roman" w:cs="Times New Roman"/>
          <w:i/>
          <w:sz w:val="24"/>
          <w:szCs w:val="24"/>
        </w:rPr>
        <w:t>Mar. Environ. Res.</w:t>
      </w:r>
      <w:r w:rsidRPr="00F44326">
        <w:rPr>
          <w:rFonts w:ascii="Times New Roman" w:hAnsi="Times New Roman" w:cs="Times New Roman"/>
          <w:sz w:val="24"/>
          <w:szCs w:val="24"/>
        </w:rPr>
        <w:t xml:space="preserve"> 59:1-18.</w:t>
      </w:r>
    </w:p>
    <w:p w14:paraId="500007A5" w14:textId="77777777" w:rsidR="00C64C0F" w:rsidRPr="00F44326" w:rsidRDefault="00C64C0F" w:rsidP="00C64C0F">
      <w:pPr>
        <w:spacing w:after="0" w:line="240" w:lineRule="auto"/>
        <w:rPr>
          <w:rFonts w:ascii="Times New Roman" w:hAnsi="Times New Roman" w:cs="Times New Roman"/>
          <w:sz w:val="24"/>
          <w:szCs w:val="24"/>
        </w:rPr>
      </w:pPr>
    </w:p>
    <w:p w14:paraId="6A70E195" w14:textId="77777777" w:rsidR="00CC1131" w:rsidRPr="00F44326" w:rsidRDefault="00CC1131" w:rsidP="00CC1131">
      <w:pPr>
        <w:rPr>
          <w:rFonts w:ascii="Times New Roman" w:hAnsi="Times New Roman" w:cs="Times New Roman"/>
          <w:sz w:val="24"/>
          <w:szCs w:val="24"/>
        </w:rPr>
      </w:pPr>
      <w:r w:rsidRPr="00F44326">
        <w:rPr>
          <w:rFonts w:ascii="Times New Roman" w:hAnsi="Times New Roman" w:cs="Times New Roman"/>
          <w:sz w:val="24"/>
          <w:szCs w:val="24"/>
        </w:rPr>
        <w:t xml:space="preserve">Liang L.N., He B., Jiang G.B., Chen D.Y., and Yao Z.W. 2004. “Evaluation of mollusks as biomonitors to investigate heavy metal contaminations along the Chinese Bohai Sea.” </w:t>
      </w:r>
      <w:r w:rsidRPr="00F44326">
        <w:rPr>
          <w:rFonts w:ascii="Times New Roman" w:hAnsi="Times New Roman" w:cs="Times New Roman"/>
          <w:i/>
          <w:sz w:val="24"/>
          <w:szCs w:val="24"/>
        </w:rPr>
        <w:t>Sci. Total Environ.</w:t>
      </w:r>
      <w:r w:rsidRPr="00F44326">
        <w:rPr>
          <w:rFonts w:ascii="Times New Roman" w:hAnsi="Times New Roman" w:cs="Times New Roman"/>
          <w:sz w:val="24"/>
          <w:szCs w:val="24"/>
        </w:rPr>
        <w:t xml:space="preserve"> 324:105-113</w:t>
      </w:r>
    </w:p>
    <w:p w14:paraId="70F8E26F" w14:textId="1400BBCB" w:rsidR="00CC1131" w:rsidRPr="00F44326" w:rsidRDefault="00CC1131" w:rsidP="000821AA">
      <w:pPr>
        <w:rPr>
          <w:rFonts w:ascii="Times New Roman" w:hAnsi="Times New Roman" w:cs="Times New Roman"/>
          <w:sz w:val="24"/>
          <w:szCs w:val="24"/>
        </w:rPr>
      </w:pPr>
      <w:r w:rsidRPr="00F44326">
        <w:rPr>
          <w:rFonts w:ascii="Times New Roman" w:hAnsi="Times New Roman" w:cs="Times New Roman"/>
          <w:sz w:val="24"/>
          <w:szCs w:val="24"/>
        </w:rPr>
        <w:t>Liu C.W., Liang C.P., Huang F.M., Hsueh Y.M. 2006. “Assessing the human health risks from exposure of inorganic arsenic through oyster (</w:t>
      </w:r>
      <w:r w:rsidRPr="00F44326">
        <w:rPr>
          <w:rFonts w:ascii="Times New Roman" w:hAnsi="Times New Roman" w:cs="Times New Roman"/>
          <w:i/>
          <w:sz w:val="24"/>
          <w:szCs w:val="24"/>
        </w:rPr>
        <w:t>Crassostrea gigas</w:t>
      </w:r>
      <w:r w:rsidRPr="00F44326">
        <w:rPr>
          <w:rFonts w:ascii="Times New Roman" w:hAnsi="Times New Roman" w:cs="Times New Roman"/>
          <w:sz w:val="24"/>
          <w:szCs w:val="24"/>
        </w:rPr>
        <w:t xml:space="preserve">) consumption in Taiwan.” </w:t>
      </w:r>
      <w:r w:rsidRPr="00F44326">
        <w:rPr>
          <w:rFonts w:ascii="Times New Roman" w:hAnsi="Times New Roman" w:cs="Times New Roman"/>
          <w:i/>
          <w:sz w:val="24"/>
          <w:szCs w:val="24"/>
        </w:rPr>
        <w:t>Sci. Total Environ.</w:t>
      </w:r>
      <w:r w:rsidRPr="00F44326">
        <w:rPr>
          <w:rFonts w:ascii="Times New Roman" w:hAnsi="Times New Roman" w:cs="Times New Roman"/>
          <w:sz w:val="24"/>
          <w:szCs w:val="24"/>
        </w:rPr>
        <w:t xml:space="preserve"> 361:57-66</w:t>
      </w:r>
    </w:p>
    <w:p w14:paraId="007315D4" w14:textId="77777777" w:rsidR="000821AA" w:rsidRPr="00F44326" w:rsidRDefault="000821AA" w:rsidP="000821AA">
      <w:pPr>
        <w:rPr>
          <w:rFonts w:ascii="Times New Roman" w:hAnsi="Times New Roman" w:cs="Times New Roman"/>
          <w:sz w:val="24"/>
          <w:szCs w:val="24"/>
        </w:rPr>
      </w:pPr>
      <w:r w:rsidRPr="00F44326">
        <w:rPr>
          <w:rFonts w:ascii="Times New Roman" w:hAnsi="Times New Roman" w:cs="Times New Roman"/>
          <w:sz w:val="24"/>
          <w:szCs w:val="24"/>
        </w:rPr>
        <w:t xml:space="preserve">Metaxas A. and Lewis A.G. 1991. “Copper tolerance of </w:t>
      </w:r>
      <w:r w:rsidRPr="00F44326">
        <w:rPr>
          <w:rFonts w:ascii="Times New Roman" w:hAnsi="Times New Roman" w:cs="Times New Roman"/>
          <w:i/>
          <w:sz w:val="24"/>
          <w:szCs w:val="24"/>
        </w:rPr>
        <w:t>Skeletonema costatum</w:t>
      </w:r>
      <w:r w:rsidRPr="00F44326">
        <w:rPr>
          <w:rFonts w:ascii="Times New Roman" w:hAnsi="Times New Roman" w:cs="Times New Roman"/>
          <w:sz w:val="24"/>
          <w:szCs w:val="24"/>
        </w:rPr>
        <w:t xml:space="preserve"> and </w:t>
      </w:r>
      <w:r w:rsidRPr="00F44326">
        <w:rPr>
          <w:rFonts w:ascii="Times New Roman" w:hAnsi="Times New Roman" w:cs="Times New Roman"/>
          <w:i/>
          <w:sz w:val="24"/>
          <w:szCs w:val="24"/>
        </w:rPr>
        <w:t>Nitzschia thermalis.</w:t>
      </w:r>
      <w:r w:rsidRPr="00F44326">
        <w:rPr>
          <w:rFonts w:ascii="Times New Roman" w:hAnsi="Times New Roman" w:cs="Times New Roman"/>
          <w:sz w:val="24"/>
          <w:szCs w:val="24"/>
        </w:rPr>
        <w:t xml:space="preserve">” </w:t>
      </w:r>
      <w:r w:rsidRPr="00F44326">
        <w:rPr>
          <w:rFonts w:ascii="Times New Roman" w:hAnsi="Times New Roman" w:cs="Times New Roman"/>
          <w:i/>
          <w:sz w:val="24"/>
          <w:szCs w:val="24"/>
        </w:rPr>
        <w:t xml:space="preserve">Aquat. Toxicol. </w:t>
      </w:r>
      <w:r w:rsidRPr="00F44326">
        <w:rPr>
          <w:rFonts w:ascii="Times New Roman" w:hAnsi="Times New Roman" w:cs="Times New Roman"/>
          <w:sz w:val="24"/>
          <w:szCs w:val="24"/>
        </w:rPr>
        <w:t>19:265-280.</w:t>
      </w:r>
    </w:p>
    <w:p w14:paraId="79581484" w14:textId="77777777" w:rsidR="00021E87" w:rsidRPr="00F44326" w:rsidRDefault="00021E87" w:rsidP="00021E87">
      <w:pPr>
        <w:rPr>
          <w:rFonts w:ascii="Times New Roman" w:hAnsi="Times New Roman" w:cs="Times New Roman"/>
          <w:sz w:val="24"/>
          <w:szCs w:val="24"/>
        </w:rPr>
      </w:pPr>
      <w:r w:rsidRPr="00F44326">
        <w:rPr>
          <w:rFonts w:ascii="Times New Roman" w:hAnsi="Times New Roman" w:cs="Times New Roman"/>
          <w:sz w:val="24"/>
          <w:szCs w:val="24"/>
        </w:rPr>
        <w:t xml:space="preserve">MINFILE Record Summary No 092B001, Ministry of Energy and Mines. </w:t>
      </w:r>
      <w:hyperlink r:id="rId9" w:history="1">
        <w:r w:rsidRPr="00F44326">
          <w:rPr>
            <w:rStyle w:val="Hyperlink"/>
            <w:rFonts w:ascii="Times New Roman" w:hAnsi="Times New Roman" w:cs="Times New Roman"/>
            <w:sz w:val="24"/>
            <w:szCs w:val="24"/>
          </w:rPr>
          <w:t>http://minfile.gov.bc.ca/Summary.aspx?minfilno=092B++001</w:t>
        </w:r>
      </w:hyperlink>
      <w:r w:rsidRPr="00F44326">
        <w:rPr>
          <w:rFonts w:ascii="Times New Roman" w:hAnsi="Times New Roman" w:cs="Times New Roman"/>
          <w:sz w:val="24"/>
          <w:szCs w:val="24"/>
        </w:rPr>
        <w:t xml:space="preserve"> </w:t>
      </w:r>
    </w:p>
    <w:p w14:paraId="3C3932A1" w14:textId="097DCFFA" w:rsidR="00021E87" w:rsidRPr="00F44326" w:rsidRDefault="00021E87" w:rsidP="000821AA">
      <w:pPr>
        <w:rPr>
          <w:rFonts w:ascii="Times New Roman" w:hAnsi="Times New Roman" w:cs="Times New Roman"/>
          <w:sz w:val="24"/>
          <w:szCs w:val="24"/>
        </w:rPr>
      </w:pPr>
      <w:r w:rsidRPr="00F44326">
        <w:rPr>
          <w:rFonts w:ascii="Times New Roman" w:hAnsi="Times New Roman" w:cs="Times New Roman"/>
          <w:sz w:val="24"/>
          <w:szCs w:val="24"/>
        </w:rPr>
        <w:t xml:space="preserve">Ministry of Energy, Mines, and Petroleum Resources, British Columbia, 2003.  The MapPlace-Historic Mines Atlas. </w:t>
      </w:r>
      <w:hyperlink r:id="rId10" w:history="1">
        <w:r w:rsidRPr="00F44326">
          <w:rPr>
            <w:rStyle w:val="Hyperlink"/>
            <w:rFonts w:ascii="Times New Roman" w:hAnsi="Times New Roman" w:cs="Times New Roman"/>
            <w:sz w:val="24"/>
            <w:szCs w:val="24"/>
          </w:rPr>
          <w:t>http://www.empr.gov.bc.ca/Mining/Geoscience/MapPlace/thematicmaps/Pages/HistoricMines.aspx</w:t>
        </w:r>
      </w:hyperlink>
      <w:r w:rsidRPr="00F44326">
        <w:rPr>
          <w:rFonts w:ascii="Times New Roman" w:hAnsi="Times New Roman" w:cs="Times New Roman"/>
          <w:sz w:val="24"/>
          <w:szCs w:val="24"/>
        </w:rPr>
        <w:t xml:space="preserve">. </w:t>
      </w:r>
    </w:p>
    <w:p w14:paraId="5125A2ED" w14:textId="07775B33" w:rsidR="00C64C0F" w:rsidRDefault="00C64C0F" w:rsidP="00C64C0F">
      <w:pPr>
        <w:spacing w:after="0" w:line="240" w:lineRule="auto"/>
        <w:rPr>
          <w:rFonts w:ascii="Times New Roman" w:hAnsi="Times New Roman" w:cs="Times New Roman"/>
          <w:b/>
          <w:sz w:val="24"/>
          <w:szCs w:val="24"/>
          <w:u w:val="single"/>
        </w:rPr>
      </w:pPr>
      <w:r w:rsidRPr="000740EC">
        <w:rPr>
          <w:rFonts w:ascii="Times New Roman" w:eastAsia="Times New Roman" w:hAnsi="Times New Roman" w:cs="Times New Roman"/>
          <w:sz w:val="24"/>
          <w:szCs w:val="24"/>
        </w:rPr>
        <w:lastRenderedPageBreak/>
        <w:t>National Research Council (US) Committee on Medical and Biological Effects of Environmental Pollutants. Arsenic: Medical and Biologic Effects of Environmental Pollutants. Washington (DC): National Academies Press (US); 1977. 5, Biologic Effects of Arsenic on Plants and Animals.</w:t>
      </w:r>
      <w:r w:rsidRPr="000740EC">
        <w:rPr>
          <w:rStyle w:val="bkciteavail"/>
          <w:rFonts w:ascii="Times New Roman" w:eastAsia="Times New Roman" w:hAnsi="Times New Roman" w:cs="Times New Roman"/>
          <w:sz w:val="24"/>
          <w:szCs w:val="24"/>
        </w:rPr>
        <w:t xml:space="preserve"> Available from: </w:t>
      </w:r>
      <w:hyperlink r:id="rId11" w:history="1">
        <w:r w:rsidRPr="00547548">
          <w:rPr>
            <w:rStyle w:val="Hyperlink"/>
            <w:rFonts w:ascii="Times New Roman" w:eastAsia="Times New Roman" w:hAnsi="Times New Roman" w:cs="Times New Roman"/>
            <w:sz w:val="24"/>
            <w:szCs w:val="24"/>
          </w:rPr>
          <w:t>https://www.ncbi.nlm.nih.gov/books/NBK231025/</w:t>
        </w:r>
      </w:hyperlink>
      <w:r>
        <w:rPr>
          <w:rStyle w:val="bkciteavail"/>
          <w:rFonts w:ascii="Times New Roman" w:eastAsia="Times New Roman" w:hAnsi="Times New Roman" w:cs="Times New Roman"/>
          <w:sz w:val="24"/>
          <w:szCs w:val="24"/>
        </w:rPr>
        <w:t xml:space="preserve">, accessed May 11, 2018. </w:t>
      </w:r>
    </w:p>
    <w:p w14:paraId="08F25EFD" w14:textId="77777777" w:rsidR="00C64C0F" w:rsidRPr="00C64C0F" w:rsidRDefault="00C64C0F" w:rsidP="00C64C0F">
      <w:pPr>
        <w:spacing w:after="0" w:line="240" w:lineRule="auto"/>
        <w:rPr>
          <w:rFonts w:ascii="Times New Roman" w:hAnsi="Times New Roman" w:cs="Times New Roman"/>
          <w:b/>
          <w:sz w:val="24"/>
          <w:szCs w:val="24"/>
          <w:u w:val="single"/>
        </w:rPr>
      </w:pPr>
    </w:p>
    <w:p w14:paraId="564638A6" w14:textId="706C49A0" w:rsidR="00C05920" w:rsidRDefault="00C05920" w:rsidP="00021E87">
      <w:pPr>
        <w:widowControl w:val="0"/>
        <w:autoSpaceDE w:val="0"/>
        <w:autoSpaceDN w:val="0"/>
        <w:adjustRightInd w:val="0"/>
        <w:spacing w:after="240" w:line="280" w:lineRule="atLeast"/>
        <w:rPr>
          <w:rFonts w:ascii="Times New Roman" w:eastAsiaTheme="minorEastAsia" w:hAnsi="Times New Roman" w:cs="Times New Roman"/>
          <w:sz w:val="24"/>
          <w:szCs w:val="24"/>
        </w:rPr>
      </w:pPr>
      <w:r w:rsidRPr="00213850">
        <w:rPr>
          <w:rFonts w:ascii="Times New Roman" w:eastAsiaTheme="minorEastAsia" w:hAnsi="Times New Roman" w:cs="Times New Roman"/>
          <w:sz w:val="24"/>
          <w:szCs w:val="24"/>
        </w:rPr>
        <w:t>Nriagu J</w:t>
      </w:r>
      <w:r>
        <w:rPr>
          <w:rFonts w:ascii="Times New Roman" w:eastAsiaTheme="minorEastAsia" w:hAnsi="Times New Roman" w:cs="Times New Roman"/>
          <w:sz w:val="24"/>
          <w:szCs w:val="24"/>
        </w:rPr>
        <w:t>.</w:t>
      </w:r>
      <w:r w:rsidRPr="00213850">
        <w:rPr>
          <w:rFonts w:ascii="Times New Roman" w:eastAsiaTheme="minorEastAsia" w:hAnsi="Times New Roman" w:cs="Times New Roman"/>
          <w:sz w:val="24"/>
          <w:szCs w:val="24"/>
        </w:rPr>
        <w:t>O.</w:t>
      </w:r>
      <w:r>
        <w:rPr>
          <w:rFonts w:ascii="Times New Roman" w:eastAsiaTheme="minorEastAsia" w:hAnsi="Times New Roman" w:cs="Times New Roman"/>
          <w:sz w:val="24"/>
          <w:szCs w:val="24"/>
        </w:rPr>
        <w:t xml:space="preserve"> 1989.</w:t>
      </w:r>
      <w:r w:rsidRPr="00213850">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sidRPr="00213850">
        <w:rPr>
          <w:rFonts w:ascii="Times New Roman" w:eastAsiaTheme="minorEastAsia" w:hAnsi="Times New Roman" w:cs="Times New Roman"/>
          <w:sz w:val="24"/>
          <w:szCs w:val="24"/>
        </w:rPr>
        <w:t>A global assessment of natural sources of atmospheric trace metals.</w:t>
      </w:r>
      <w:r>
        <w:rPr>
          <w:rFonts w:ascii="Times New Roman" w:eastAsiaTheme="minorEastAsia" w:hAnsi="Times New Roman" w:cs="Times New Roman"/>
          <w:sz w:val="24"/>
          <w:szCs w:val="24"/>
        </w:rPr>
        <w:t>”</w:t>
      </w:r>
      <w:r w:rsidRPr="00213850">
        <w:rPr>
          <w:rFonts w:ascii="Times New Roman" w:eastAsiaTheme="minorEastAsia" w:hAnsi="Times New Roman" w:cs="Times New Roman"/>
          <w:sz w:val="24"/>
          <w:szCs w:val="24"/>
        </w:rPr>
        <w:t xml:space="preserve"> </w:t>
      </w:r>
      <w:r w:rsidRPr="00213850">
        <w:rPr>
          <w:rFonts w:ascii="Times New Roman" w:eastAsiaTheme="minorEastAsia" w:hAnsi="Times New Roman" w:cs="Times New Roman"/>
          <w:i/>
          <w:sz w:val="24"/>
          <w:szCs w:val="24"/>
        </w:rPr>
        <w:t>Nature</w:t>
      </w:r>
      <w:r w:rsidRPr="00213850">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338:47–49</w:t>
      </w:r>
      <w:r w:rsidRPr="00213850">
        <w:rPr>
          <w:rFonts w:ascii="Times New Roman" w:eastAsiaTheme="minorEastAsia" w:hAnsi="Times New Roman" w:cs="Times New Roman"/>
          <w:sz w:val="24"/>
          <w:szCs w:val="24"/>
        </w:rPr>
        <w:t xml:space="preserve"> </w:t>
      </w:r>
    </w:p>
    <w:p w14:paraId="69D4126F" w14:textId="3782C47C" w:rsidR="006C5C86" w:rsidRDefault="006C5C86" w:rsidP="00021E87">
      <w:pPr>
        <w:widowControl w:val="0"/>
        <w:autoSpaceDE w:val="0"/>
        <w:autoSpaceDN w:val="0"/>
        <w:adjustRightInd w:val="0"/>
        <w:spacing w:after="240" w:line="280" w:lineRule="atLeast"/>
        <w:rPr>
          <w:rFonts w:ascii="Times New Roman" w:eastAsiaTheme="minorEastAsia" w:hAnsi="Times New Roman" w:cs="Times New Roman"/>
          <w:sz w:val="24"/>
          <w:szCs w:val="24"/>
        </w:rPr>
      </w:pPr>
      <w:r>
        <w:rPr>
          <w:rFonts w:ascii="Times New Roman" w:eastAsiaTheme="minorEastAsia" w:hAnsi="Times New Roman" w:cs="Times New Roman"/>
          <w:sz w:val="24"/>
          <w:szCs w:val="24"/>
        </w:rPr>
        <w:t>Pacitti D., Lawan M.M., Feldmann J., Sweetman J., Wang T., Martin S.A.M., and Secombed C.J. 2016. “Impact of selenium supplementation on antiviral responses: a whole transcriptomic analysis in rainbow trout (</w:t>
      </w:r>
      <w:r>
        <w:rPr>
          <w:rFonts w:ascii="Times New Roman" w:eastAsiaTheme="minorEastAsia" w:hAnsi="Times New Roman" w:cs="Times New Roman"/>
          <w:i/>
          <w:sz w:val="24"/>
          <w:szCs w:val="24"/>
        </w:rPr>
        <w:t>Oncorhynchus mykiss</w:t>
      </w:r>
      <w:r>
        <w:rPr>
          <w:rFonts w:ascii="Times New Roman" w:eastAsiaTheme="minorEastAsia" w:hAnsi="Times New Roman" w:cs="Times New Roman"/>
          <w:sz w:val="24"/>
          <w:szCs w:val="24"/>
        </w:rPr>
        <w:t xml:space="preserve">) fed supranutritional levels of Sel-Plex.” </w:t>
      </w:r>
      <w:r>
        <w:rPr>
          <w:rFonts w:ascii="Times New Roman" w:eastAsiaTheme="minorEastAsia" w:hAnsi="Times New Roman" w:cs="Times New Roman"/>
          <w:i/>
          <w:sz w:val="24"/>
          <w:szCs w:val="24"/>
        </w:rPr>
        <w:t>BMC Genomics</w:t>
      </w:r>
      <w:r>
        <w:rPr>
          <w:rFonts w:ascii="Times New Roman" w:eastAsiaTheme="minorEastAsia" w:hAnsi="Times New Roman" w:cs="Times New Roman"/>
          <w:sz w:val="24"/>
          <w:szCs w:val="24"/>
        </w:rPr>
        <w:t>. 17:116</w:t>
      </w:r>
    </w:p>
    <w:p w14:paraId="341CAA4F" w14:textId="071D4B3B" w:rsidR="00021E87" w:rsidRPr="00F44326" w:rsidRDefault="00021E87" w:rsidP="00021E87">
      <w:pPr>
        <w:widowControl w:val="0"/>
        <w:autoSpaceDE w:val="0"/>
        <w:autoSpaceDN w:val="0"/>
        <w:adjustRightInd w:val="0"/>
        <w:spacing w:after="240" w:line="280" w:lineRule="atLeast"/>
        <w:rPr>
          <w:rFonts w:ascii="Times New Roman" w:eastAsiaTheme="minorEastAsia" w:hAnsi="Times New Roman" w:cs="Times New Roman"/>
          <w:sz w:val="24"/>
          <w:szCs w:val="24"/>
        </w:rPr>
      </w:pPr>
      <w:r w:rsidRPr="00F44326">
        <w:rPr>
          <w:rFonts w:ascii="Times New Roman" w:eastAsiaTheme="minorEastAsia" w:hAnsi="Times New Roman" w:cs="Times New Roman"/>
          <w:sz w:val="24"/>
          <w:szCs w:val="24"/>
        </w:rPr>
        <w:t xml:space="preserve">Page A.L., Miller R.H., and Keeney D.R. 1982. “Methods of Soil Analysis, Part 2 </w:t>
      </w:r>
      <w:r w:rsidRPr="00F44326">
        <w:rPr>
          <w:rFonts w:ascii="Adobe Arabic" w:eastAsiaTheme="minorEastAsia" w:hAnsi="Adobe Arabic" w:cs="Adobe Arabic"/>
          <w:sz w:val="24"/>
          <w:szCs w:val="24"/>
        </w:rPr>
        <w:t>‐</w:t>
      </w:r>
      <w:r w:rsidRPr="00F44326">
        <w:rPr>
          <w:rFonts w:ascii="Times New Roman" w:eastAsiaTheme="minorEastAsia" w:hAnsi="Times New Roman" w:cs="Times New Roman"/>
          <w:sz w:val="24"/>
          <w:szCs w:val="24"/>
        </w:rPr>
        <w:t xml:space="preserve"> Chemical and Microbiological Properties.” American Society of Agronomy (ASA), Soil Science Society of America (SSSA),  2</w:t>
      </w:r>
      <w:r w:rsidRPr="00F44326">
        <w:rPr>
          <w:rFonts w:ascii="Times New Roman" w:eastAsiaTheme="minorEastAsia" w:hAnsi="Times New Roman" w:cs="Times New Roman"/>
          <w:sz w:val="24"/>
          <w:szCs w:val="24"/>
          <w:vertAlign w:val="superscript"/>
        </w:rPr>
        <w:t>nd</w:t>
      </w:r>
      <w:r w:rsidRPr="00F44326">
        <w:rPr>
          <w:rFonts w:ascii="Times New Roman" w:eastAsiaTheme="minorEastAsia" w:hAnsi="Times New Roman" w:cs="Times New Roman"/>
          <w:sz w:val="24"/>
          <w:szCs w:val="24"/>
        </w:rPr>
        <w:t xml:space="preserve"> edition.</w:t>
      </w:r>
    </w:p>
    <w:p w14:paraId="3076F4C5" w14:textId="2C477F6F" w:rsidR="003C3330" w:rsidRPr="00F44326" w:rsidRDefault="003C3330" w:rsidP="003C3330">
      <w:pPr>
        <w:rPr>
          <w:rFonts w:ascii="Times New Roman" w:hAnsi="Times New Roman" w:cs="Times New Roman"/>
          <w:sz w:val="24"/>
          <w:szCs w:val="24"/>
        </w:rPr>
      </w:pPr>
      <w:r w:rsidRPr="00F44326">
        <w:rPr>
          <w:rFonts w:ascii="Times New Roman" w:hAnsi="Times New Roman" w:cs="Times New Roman"/>
          <w:sz w:val="24"/>
          <w:szCs w:val="24"/>
        </w:rPr>
        <w:t xml:space="preserve">Pastorinho M.R., Telfer T.C., Nogueira A.J.A., Soares A.M.V.M., and Ranville J.F., 2012.  “An evaluation of trace metal distribution, enrichment factors and risk in sediments of a coastal lagoon (Ria de Aveiro, Portugal.)”  </w:t>
      </w:r>
      <w:r w:rsidRPr="00F44326">
        <w:rPr>
          <w:rFonts w:ascii="Times New Roman" w:hAnsi="Times New Roman" w:cs="Times New Roman"/>
          <w:i/>
          <w:sz w:val="24"/>
          <w:szCs w:val="24"/>
        </w:rPr>
        <w:t>Environ. Earth Sci.</w:t>
      </w:r>
      <w:r w:rsidRPr="00F44326">
        <w:rPr>
          <w:rFonts w:ascii="Times New Roman" w:hAnsi="Times New Roman" w:cs="Times New Roman"/>
          <w:sz w:val="24"/>
          <w:szCs w:val="24"/>
        </w:rPr>
        <w:t xml:space="preserve"> 67:2043-2052.</w:t>
      </w:r>
    </w:p>
    <w:p w14:paraId="5A19190A" w14:textId="77777777" w:rsidR="000821AA" w:rsidRPr="00F44326" w:rsidRDefault="000821AA" w:rsidP="000821AA">
      <w:pPr>
        <w:rPr>
          <w:rFonts w:ascii="Times New Roman" w:hAnsi="Times New Roman" w:cs="Times New Roman"/>
          <w:sz w:val="24"/>
          <w:szCs w:val="24"/>
        </w:rPr>
      </w:pPr>
      <w:r w:rsidRPr="00F44326">
        <w:rPr>
          <w:rFonts w:ascii="Times New Roman" w:hAnsi="Times New Roman" w:cs="Times New Roman"/>
          <w:sz w:val="24"/>
          <w:szCs w:val="24"/>
        </w:rPr>
        <w:t>Purdy S., Belleman C., and Sachs J., 2016. “Sources and transport of surface sediment and metals in B.C. fjord, Tahsis and Zeballos Inlets.”</w:t>
      </w:r>
    </w:p>
    <w:p w14:paraId="1E168696" w14:textId="6E101F0D" w:rsidR="00C64C0F" w:rsidRDefault="00C64C0F" w:rsidP="00C64C0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Soldati A.L., Jacob D.E., Glatzel P., Swarbrick J.C., and Geck J. 2016. “Element substitution by living organisms: the case of manganese in mollusc shell aragonite.” </w:t>
      </w:r>
      <w:r>
        <w:rPr>
          <w:rFonts w:ascii="Times New Roman" w:hAnsi="Times New Roman" w:cs="Times New Roman"/>
          <w:i/>
          <w:sz w:val="24"/>
          <w:szCs w:val="24"/>
        </w:rPr>
        <w:t>Sci. Rep.</w:t>
      </w:r>
      <w:r>
        <w:rPr>
          <w:rFonts w:ascii="Times New Roman" w:hAnsi="Times New Roman" w:cs="Times New Roman"/>
          <w:sz w:val="24"/>
          <w:szCs w:val="24"/>
        </w:rPr>
        <w:t xml:space="preserve"> 6:22514</w:t>
      </w:r>
    </w:p>
    <w:p w14:paraId="7B8429A2" w14:textId="77777777" w:rsidR="00C64C0F" w:rsidRDefault="00C64C0F" w:rsidP="00C64C0F">
      <w:pPr>
        <w:spacing w:after="0" w:line="240" w:lineRule="auto"/>
        <w:rPr>
          <w:rFonts w:ascii="Times New Roman" w:hAnsi="Times New Roman" w:cs="Times New Roman"/>
          <w:sz w:val="24"/>
          <w:szCs w:val="24"/>
        </w:rPr>
      </w:pPr>
    </w:p>
    <w:p w14:paraId="6817C1C9" w14:textId="7272182E" w:rsidR="00C64C0F" w:rsidRPr="00F44326" w:rsidRDefault="00B871F0" w:rsidP="003C3330">
      <w:pPr>
        <w:rPr>
          <w:rFonts w:ascii="Times New Roman" w:hAnsi="Times New Roman" w:cs="Times New Roman"/>
          <w:sz w:val="24"/>
          <w:szCs w:val="24"/>
        </w:rPr>
      </w:pPr>
      <w:r w:rsidRPr="00F44326">
        <w:rPr>
          <w:rFonts w:ascii="Times New Roman" w:hAnsi="Times New Roman" w:cs="Times New Roman"/>
          <w:sz w:val="24"/>
          <w:szCs w:val="24"/>
        </w:rPr>
        <w:t xml:space="preserve">Stevenson J.S. “Geology and Mineral Deposits of the Zeballos Mining Camp, 6.C. Ministry of.” </w:t>
      </w:r>
      <w:r w:rsidRPr="00F44326">
        <w:rPr>
          <w:rFonts w:ascii="Times New Roman" w:hAnsi="Times New Roman" w:cs="Times New Roman"/>
          <w:i/>
          <w:sz w:val="24"/>
          <w:szCs w:val="24"/>
        </w:rPr>
        <w:t>Energy, Res., Miscellaneous Report. Mines&amp;Pet. Res., Bull27</w:t>
      </w:r>
      <w:r w:rsidRPr="00F44326">
        <w:rPr>
          <w:rFonts w:ascii="Times New Roman" w:hAnsi="Times New Roman" w:cs="Times New Roman"/>
          <w:sz w:val="24"/>
          <w:szCs w:val="24"/>
        </w:rPr>
        <w:t xml:space="preserve"> (1950.)</w:t>
      </w:r>
    </w:p>
    <w:p w14:paraId="6A57D724" w14:textId="09C4C263" w:rsidR="003C3330" w:rsidRPr="00F44326" w:rsidRDefault="000821AA" w:rsidP="003C3330">
      <w:pPr>
        <w:rPr>
          <w:rFonts w:ascii="Times New Roman" w:hAnsi="Times New Roman" w:cs="Times New Roman"/>
          <w:sz w:val="24"/>
          <w:szCs w:val="24"/>
        </w:rPr>
      </w:pPr>
      <w:r w:rsidRPr="00F44326">
        <w:rPr>
          <w:rFonts w:ascii="Times New Roman" w:hAnsi="Times New Roman" w:cs="Times New Roman"/>
          <w:sz w:val="24"/>
          <w:szCs w:val="24"/>
        </w:rPr>
        <w:t>Sunda W.G. and Huntsman S.A. 1998. “Processes regulating cellular metal accumulation and physiological effects: Phytoplankton as model systems.”</w:t>
      </w:r>
      <w:r w:rsidRPr="00F44326">
        <w:rPr>
          <w:rFonts w:ascii="Times New Roman" w:hAnsi="Times New Roman" w:cs="Times New Roman"/>
          <w:i/>
          <w:sz w:val="24"/>
          <w:szCs w:val="24"/>
        </w:rPr>
        <w:t xml:space="preserve"> Sci. Total Environ.</w:t>
      </w:r>
      <w:r w:rsidRPr="00F44326">
        <w:rPr>
          <w:rFonts w:ascii="Times New Roman" w:hAnsi="Times New Roman" w:cs="Times New Roman"/>
          <w:sz w:val="24"/>
          <w:szCs w:val="24"/>
        </w:rPr>
        <w:t xml:space="preserve"> 219:165-181.</w:t>
      </w:r>
    </w:p>
    <w:p w14:paraId="0FC05A4D" w14:textId="10EBF20A" w:rsidR="00D93167" w:rsidRDefault="00D93167" w:rsidP="00D93167">
      <w:pPr>
        <w:rPr>
          <w:rFonts w:ascii="Times New Roman" w:hAnsi="Times New Roman" w:cs="Times New Roman"/>
          <w:sz w:val="24"/>
          <w:szCs w:val="24"/>
        </w:rPr>
      </w:pPr>
      <w:r>
        <w:rPr>
          <w:rFonts w:ascii="Times New Roman" w:hAnsi="Times New Roman" w:cs="Times New Roman"/>
          <w:sz w:val="24"/>
          <w:szCs w:val="24"/>
        </w:rPr>
        <w:t xml:space="preserve">Tchounwou P.B., Yedjou C.G., Patlolla A.K., and Sutton D.J. 2012. “Heavy Metals Toxicity and the Environment.” </w:t>
      </w:r>
      <w:r>
        <w:rPr>
          <w:rFonts w:ascii="Times New Roman" w:hAnsi="Times New Roman" w:cs="Times New Roman"/>
          <w:i/>
          <w:sz w:val="24"/>
          <w:szCs w:val="24"/>
        </w:rPr>
        <w:t>EXS.</w:t>
      </w:r>
      <w:r>
        <w:rPr>
          <w:rFonts w:ascii="Times New Roman" w:hAnsi="Times New Roman" w:cs="Times New Roman"/>
          <w:sz w:val="24"/>
          <w:szCs w:val="24"/>
        </w:rPr>
        <w:t xml:space="preserve"> 101:133-164</w:t>
      </w:r>
    </w:p>
    <w:p w14:paraId="32686783" w14:textId="6BED4D8B" w:rsidR="003C3330" w:rsidRPr="00F44326" w:rsidRDefault="003C3330" w:rsidP="003C3330">
      <w:pPr>
        <w:widowControl w:val="0"/>
        <w:autoSpaceDE w:val="0"/>
        <w:autoSpaceDN w:val="0"/>
        <w:adjustRightInd w:val="0"/>
        <w:spacing w:after="240" w:line="360" w:lineRule="atLeast"/>
        <w:rPr>
          <w:rFonts w:ascii="Times New Roman" w:eastAsiaTheme="minorEastAsia" w:hAnsi="Times New Roman" w:cs="Times New Roman"/>
          <w:sz w:val="24"/>
          <w:szCs w:val="24"/>
        </w:rPr>
      </w:pPr>
      <w:r w:rsidRPr="00F44326">
        <w:rPr>
          <w:rFonts w:ascii="Times New Roman" w:hAnsi="Times New Roman" w:cs="Times New Roman"/>
          <w:sz w:val="24"/>
          <w:szCs w:val="24"/>
        </w:rPr>
        <w:t xml:space="preserve">Turekian K.K. and Wedepohl K.H., 1961.  “Distribution of elements in some major units of the earth’s crust.” </w:t>
      </w:r>
      <w:r w:rsidRPr="00F44326">
        <w:rPr>
          <w:rFonts w:ascii="Times New Roman" w:eastAsiaTheme="minorEastAsia" w:hAnsi="Times New Roman" w:cs="Times New Roman"/>
          <w:i/>
          <w:sz w:val="24"/>
          <w:szCs w:val="24"/>
        </w:rPr>
        <w:t>Geol. Soc. Am. Bull</w:t>
      </w:r>
      <w:r w:rsidRPr="00F44326">
        <w:rPr>
          <w:rFonts w:ascii="Times New Roman" w:eastAsiaTheme="minorEastAsia" w:hAnsi="Times New Roman" w:cs="Times New Roman"/>
          <w:sz w:val="24"/>
          <w:szCs w:val="24"/>
        </w:rPr>
        <w:t xml:space="preserve">. </w:t>
      </w:r>
      <w:r w:rsidRPr="00F44326">
        <w:rPr>
          <w:rFonts w:ascii="Times New Roman" w:eastAsiaTheme="minorEastAsia" w:hAnsi="Times New Roman" w:cs="Times New Roman"/>
          <w:bCs/>
          <w:sz w:val="24"/>
          <w:szCs w:val="24"/>
        </w:rPr>
        <w:t>72</w:t>
      </w:r>
      <w:r w:rsidRPr="00F44326">
        <w:rPr>
          <w:rFonts w:ascii="Times New Roman" w:eastAsiaTheme="minorEastAsia" w:hAnsi="Times New Roman" w:cs="Times New Roman"/>
          <w:sz w:val="24"/>
          <w:szCs w:val="24"/>
        </w:rPr>
        <w:t xml:space="preserve">: 175–192 </w:t>
      </w:r>
    </w:p>
    <w:p w14:paraId="590C43FB" w14:textId="7112F79B" w:rsidR="00821F09" w:rsidRDefault="00821F09" w:rsidP="000821AA">
      <w:pPr>
        <w:rPr>
          <w:rFonts w:ascii="Times New Roman" w:hAnsi="Times New Roman" w:cs="Times New Roman"/>
          <w:i/>
          <w:sz w:val="24"/>
          <w:szCs w:val="24"/>
        </w:rPr>
      </w:pPr>
      <w:r w:rsidRPr="00F44326">
        <w:rPr>
          <w:rFonts w:ascii="Times New Roman" w:hAnsi="Times New Roman" w:cs="Times New Roman"/>
          <w:sz w:val="24"/>
          <w:szCs w:val="24"/>
        </w:rPr>
        <w:t>USDHHS Public Health Service, Toxicology.  “Toxicological Profile for Selenium.”</w:t>
      </w:r>
      <w:r w:rsidRPr="00F44326">
        <w:rPr>
          <w:rFonts w:ascii="Times New Roman" w:hAnsi="Times New Roman" w:cs="Times New Roman"/>
          <w:i/>
          <w:sz w:val="24"/>
          <w:szCs w:val="24"/>
        </w:rPr>
        <w:t xml:space="preserve"> Agency for Toxic Substances and Disease Registry (ATSDR)</w:t>
      </w:r>
    </w:p>
    <w:p w14:paraId="56C88B97" w14:textId="6A64C7C2" w:rsidR="00D33B20" w:rsidRPr="00F44326" w:rsidRDefault="00D33B20" w:rsidP="000821AA">
      <w:pPr>
        <w:rPr>
          <w:rFonts w:ascii="Times New Roman" w:hAnsi="Times New Roman" w:cs="Times New Roman"/>
          <w:i/>
          <w:sz w:val="24"/>
          <w:szCs w:val="24"/>
        </w:rPr>
      </w:pPr>
      <w:r w:rsidRPr="00F62E47">
        <w:rPr>
          <w:rFonts w:ascii="Times New Roman" w:hAnsi="Times New Roman" w:cs="Times New Roman"/>
          <w:sz w:val="24"/>
          <w:szCs w:val="24"/>
        </w:rPr>
        <w:t>USDHHS Public Health Service, Toxicology.  “Toxicological Profile for Zinc.”</w:t>
      </w:r>
      <w:r w:rsidRPr="00F62E47">
        <w:rPr>
          <w:rFonts w:ascii="Times New Roman" w:hAnsi="Times New Roman" w:cs="Times New Roman"/>
          <w:i/>
          <w:sz w:val="24"/>
          <w:szCs w:val="24"/>
        </w:rPr>
        <w:t xml:space="preserve"> Agency for Toxic Substances and Disease Registry (ATSDR)</w:t>
      </w:r>
    </w:p>
    <w:p w14:paraId="00B726EE" w14:textId="77777777" w:rsidR="000821AA" w:rsidRPr="00F44326" w:rsidRDefault="000821AA" w:rsidP="000821AA">
      <w:pPr>
        <w:rPr>
          <w:rFonts w:ascii="Times New Roman" w:hAnsi="Times New Roman" w:cs="Times New Roman"/>
          <w:sz w:val="24"/>
          <w:szCs w:val="24"/>
        </w:rPr>
      </w:pPr>
      <w:r w:rsidRPr="00F44326">
        <w:rPr>
          <w:rFonts w:ascii="Times New Roman" w:hAnsi="Times New Roman" w:cs="Times New Roman"/>
          <w:sz w:val="24"/>
          <w:szCs w:val="24"/>
        </w:rPr>
        <w:t xml:space="preserve">Wang W., 2002. “Interactions of trace metals and different marine food chains.” </w:t>
      </w:r>
      <w:r w:rsidRPr="00F44326">
        <w:rPr>
          <w:rFonts w:ascii="Times New Roman" w:hAnsi="Times New Roman" w:cs="Times New Roman"/>
          <w:i/>
          <w:sz w:val="24"/>
          <w:szCs w:val="24"/>
        </w:rPr>
        <w:t>Mar. Ecol. Prog. Ser.</w:t>
      </w:r>
      <w:r w:rsidRPr="00F44326">
        <w:rPr>
          <w:rFonts w:ascii="Times New Roman" w:hAnsi="Times New Roman" w:cs="Times New Roman"/>
          <w:sz w:val="24"/>
          <w:szCs w:val="24"/>
        </w:rPr>
        <w:t xml:space="preserve"> 243:295-309</w:t>
      </w:r>
    </w:p>
    <w:p w14:paraId="061C7D65" w14:textId="23685322" w:rsidR="00B76A61" w:rsidRDefault="000821AA">
      <w:pPr>
        <w:rPr>
          <w:rFonts w:ascii="Times New Roman" w:hAnsi="Times New Roman" w:cs="Times New Roman"/>
          <w:sz w:val="24"/>
          <w:szCs w:val="24"/>
        </w:rPr>
      </w:pPr>
      <w:r w:rsidRPr="00F44326">
        <w:rPr>
          <w:rFonts w:ascii="Times New Roman" w:hAnsi="Times New Roman" w:cs="Times New Roman"/>
          <w:sz w:val="24"/>
          <w:szCs w:val="24"/>
        </w:rPr>
        <w:lastRenderedPageBreak/>
        <w:t xml:space="preserve">Zauke G.P. and Schmalenbach I., 2006.  “Heavy metals in zooplankton and decapod crustaceans from the Barents Sea.” </w:t>
      </w:r>
      <w:r w:rsidRPr="00F44326">
        <w:rPr>
          <w:rFonts w:ascii="Times New Roman" w:hAnsi="Times New Roman" w:cs="Times New Roman"/>
          <w:i/>
          <w:sz w:val="24"/>
          <w:szCs w:val="24"/>
        </w:rPr>
        <w:t>Sci. Total Environ.</w:t>
      </w:r>
      <w:r w:rsidRPr="00F44326">
        <w:rPr>
          <w:rFonts w:ascii="Times New Roman" w:hAnsi="Times New Roman" w:cs="Times New Roman"/>
          <w:sz w:val="24"/>
          <w:szCs w:val="24"/>
        </w:rPr>
        <w:t xml:space="preserve"> 359: 283-294</w:t>
      </w:r>
    </w:p>
    <w:p w14:paraId="250998D9" w14:textId="77777777" w:rsidR="00C64C0F" w:rsidRDefault="00C64C0F">
      <w:pPr>
        <w:rPr>
          <w:rFonts w:ascii="Times New Roman" w:hAnsi="Times New Roman" w:cs="Times New Roman"/>
          <w:sz w:val="24"/>
          <w:szCs w:val="24"/>
        </w:rPr>
      </w:pPr>
    </w:p>
    <w:p w14:paraId="2141975F" w14:textId="77777777" w:rsidR="006A1812" w:rsidRDefault="006A1812" w:rsidP="00440E91">
      <w:pPr>
        <w:rPr>
          <w:rFonts w:ascii="Times New Roman" w:hAnsi="Times New Roman" w:cs="Times New Roman"/>
          <w:b/>
          <w:sz w:val="24"/>
          <w:szCs w:val="24"/>
        </w:rPr>
      </w:pPr>
    </w:p>
    <w:p w14:paraId="64CC6BAA" w14:textId="77777777" w:rsidR="006A1812" w:rsidRPr="003C4836" w:rsidRDefault="006A1812" w:rsidP="006A1812">
      <w:pPr>
        <w:rPr>
          <w:rFonts w:ascii="Times New Roman" w:hAnsi="Times New Roman" w:cs="Times New Roman"/>
          <w:sz w:val="24"/>
          <w:szCs w:val="24"/>
        </w:rPr>
      </w:pPr>
      <w:r>
        <w:rPr>
          <w:rFonts w:ascii="Times New Roman" w:hAnsi="Times New Roman" w:cs="Times New Roman"/>
          <w:b/>
          <w:sz w:val="24"/>
          <w:szCs w:val="24"/>
        </w:rPr>
        <w:t>Table I</w:t>
      </w:r>
      <w:r w:rsidRPr="003C4836">
        <w:rPr>
          <w:rFonts w:ascii="Times New Roman" w:hAnsi="Times New Roman" w:cs="Times New Roman"/>
          <w:b/>
          <w:sz w:val="24"/>
          <w:szCs w:val="24"/>
        </w:rPr>
        <w:t xml:space="preserve">.  </w:t>
      </w:r>
      <w:r w:rsidRPr="003C4836">
        <w:rPr>
          <w:rFonts w:ascii="Times New Roman" w:hAnsi="Times New Roman" w:cs="Times New Roman"/>
          <w:sz w:val="24"/>
          <w:szCs w:val="24"/>
        </w:rPr>
        <w:t xml:space="preserve">Detection and quantitative limits for each metal that was analyzed by the SEFS lab.  The PCA TR value represents the midpoint between the detection limit and the quantitative limit for each respective element, and was subsequently used to replace the TR values in Principal Component Analyses.  </w:t>
      </w:r>
    </w:p>
    <w:p w14:paraId="26A9FE91" w14:textId="77777777" w:rsidR="006A1812" w:rsidRDefault="006A1812" w:rsidP="00440E91">
      <w:pPr>
        <w:rPr>
          <w:rFonts w:ascii="Times New Roman" w:hAnsi="Times New Roman" w:cs="Times New Roman"/>
          <w:b/>
          <w:sz w:val="24"/>
          <w:szCs w:val="24"/>
        </w:rPr>
      </w:pPr>
    </w:p>
    <w:p w14:paraId="6C58CB36" w14:textId="77777777" w:rsidR="006A1812" w:rsidRDefault="006A1812" w:rsidP="00440E91">
      <w:pPr>
        <w:rPr>
          <w:rFonts w:ascii="Times New Roman" w:hAnsi="Times New Roman" w:cs="Times New Roman"/>
          <w:b/>
          <w:sz w:val="24"/>
          <w:szCs w:val="24"/>
        </w:rPr>
      </w:pPr>
    </w:p>
    <w:p w14:paraId="2578BD32" w14:textId="77777777" w:rsidR="006A1812" w:rsidRDefault="006A1812" w:rsidP="00440E91">
      <w:pPr>
        <w:rPr>
          <w:rFonts w:ascii="Times New Roman" w:hAnsi="Times New Roman" w:cs="Times New Roman"/>
          <w:b/>
          <w:sz w:val="24"/>
          <w:szCs w:val="24"/>
        </w:rPr>
      </w:pPr>
    </w:p>
    <w:p w14:paraId="23FEF444" w14:textId="3984077C" w:rsidR="006A1812" w:rsidRDefault="006A1812" w:rsidP="00440E91">
      <w:pPr>
        <w:rPr>
          <w:rFonts w:ascii="Times New Roman" w:hAnsi="Times New Roman" w:cs="Times New Roman"/>
          <w:b/>
          <w:sz w:val="24"/>
          <w:szCs w:val="24"/>
        </w:rPr>
      </w:pPr>
      <w:r>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191FFBE9" wp14:editId="7B0FE7A4">
                <wp:simplePos x="0" y="0"/>
                <wp:positionH relativeFrom="column">
                  <wp:posOffset>800100</wp:posOffset>
                </wp:positionH>
                <wp:positionV relativeFrom="paragraph">
                  <wp:posOffset>-601345</wp:posOffset>
                </wp:positionV>
                <wp:extent cx="4343400" cy="4914900"/>
                <wp:effectExtent l="0" t="0" r="0" b="12700"/>
                <wp:wrapSquare wrapText="bothSides"/>
                <wp:docPr id="124" name="Text Box 124"/>
                <wp:cNvGraphicFramePr/>
                <a:graphic xmlns:a="http://schemas.openxmlformats.org/drawingml/2006/main">
                  <a:graphicData uri="http://schemas.microsoft.com/office/word/2010/wordprocessingShape">
                    <wps:wsp>
                      <wps:cNvSpPr txBox="1"/>
                      <wps:spPr>
                        <a:xfrm>
                          <a:off x="0" y="0"/>
                          <a:ext cx="4343400" cy="49149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tbl>
                            <w:tblPr>
                              <w:tblW w:w="6400" w:type="dxa"/>
                              <w:tblInd w:w="93" w:type="dxa"/>
                              <w:tblLook w:val="04A0" w:firstRow="1" w:lastRow="0" w:firstColumn="1" w:lastColumn="0" w:noHBand="0" w:noVBand="1"/>
                            </w:tblPr>
                            <w:tblGrid>
                              <w:gridCol w:w="1300"/>
                              <w:gridCol w:w="1640"/>
                              <w:gridCol w:w="1860"/>
                              <w:gridCol w:w="1600"/>
                            </w:tblGrid>
                            <w:tr w:rsidR="007E349F" w:rsidRPr="00702AE0" w14:paraId="54539A46" w14:textId="77777777" w:rsidTr="00702AE0">
                              <w:trPr>
                                <w:trHeight w:val="300"/>
                              </w:trPr>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B4A6A1" w14:textId="77777777" w:rsidR="007E349F" w:rsidRPr="00702AE0" w:rsidRDefault="007E349F" w:rsidP="00702AE0">
                                  <w:pPr>
                                    <w:spacing w:after="0" w:line="240" w:lineRule="auto"/>
                                    <w:rPr>
                                      <w:rFonts w:ascii="Calibri" w:eastAsia="Times New Roman" w:hAnsi="Calibri" w:cs="Times New Roman"/>
                                      <w:color w:val="000000"/>
                                    </w:rPr>
                                  </w:pPr>
                                  <w:r w:rsidRPr="00702AE0">
                                    <w:rPr>
                                      <w:rFonts w:ascii="Calibri" w:eastAsia="Times New Roman" w:hAnsi="Calibri" w:cs="Times New Roman"/>
                                      <w:color w:val="000000"/>
                                    </w:rPr>
                                    <w:t> </w:t>
                                  </w:r>
                                </w:p>
                              </w:tc>
                              <w:tc>
                                <w:tcPr>
                                  <w:tcW w:w="1640" w:type="dxa"/>
                                  <w:tcBorders>
                                    <w:top w:val="single" w:sz="4" w:space="0" w:color="auto"/>
                                    <w:left w:val="nil"/>
                                    <w:bottom w:val="single" w:sz="4" w:space="0" w:color="auto"/>
                                    <w:right w:val="nil"/>
                                  </w:tcBorders>
                                  <w:shd w:val="clear" w:color="auto" w:fill="auto"/>
                                  <w:noWrap/>
                                  <w:vAlign w:val="bottom"/>
                                  <w:hideMark/>
                                </w:tcPr>
                                <w:p w14:paraId="61693E5C"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Detection Limit</w:t>
                                  </w:r>
                                </w:p>
                              </w:tc>
                              <w:tc>
                                <w:tcPr>
                                  <w:tcW w:w="18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8A4164"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Quantitative Limit</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5BFB575E"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 xml:space="preserve"> PCA TR value</w:t>
                                  </w:r>
                                </w:p>
                              </w:tc>
                            </w:tr>
                            <w:tr w:rsidR="007E349F" w:rsidRPr="00702AE0" w14:paraId="2F38BE24"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26524334"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Al</w:t>
                                  </w:r>
                                </w:p>
                              </w:tc>
                              <w:tc>
                                <w:tcPr>
                                  <w:tcW w:w="1640" w:type="dxa"/>
                                  <w:tcBorders>
                                    <w:top w:val="nil"/>
                                    <w:left w:val="nil"/>
                                    <w:bottom w:val="single" w:sz="4" w:space="0" w:color="auto"/>
                                    <w:right w:val="single" w:sz="4" w:space="0" w:color="auto"/>
                                  </w:tcBorders>
                                  <w:shd w:val="clear" w:color="auto" w:fill="auto"/>
                                  <w:noWrap/>
                                  <w:vAlign w:val="bottom"/>
                                  <w:hideMark/>
                                </w:tcPr>
                                <w:p w14:paraId="3CE8D837"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0.039</w:t>
                                  </w:r>
                                </w:p>
                              </w:tc>
                              <w:tc>
                                <w:tcPr>
                                  <w:tcW w:w="1860" w:type="dxa"/>
                                  <w:tcBorders>
                                    <w:top w:val="nil"/>
                                    <w:left w:val="nil"/>
                                    <w:bottom w:val="single" w:sz="4" w:space="0" w:color="auto"/>
                                    <w:right w:val="single" w:sz="4" w:space="0" w:color="auto"/>
                                  </w:tcBorders>
                                  <w:shd w:val="clear" w:color="auto" w:fill="auto"/>
                                  <w:noWrap/>
                                  <w:vAlign w:val="bottom"/>
                                  <w:hideMark/>
                                </w:tcPr>
                                <w:p w14:paraId="4BBB83E8"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0.130</w:t>
                                  </w:r>
                                </w:p>
                              </w:tc>
                              <w:tc>
                                <w:tcPr>
                                  <w:tcW w:w="1600" w:type="dxa"/>
                                  <w:tcBorders>
                                    <w:top w:val="nil"/>
                                    <w:left w:val="nil"/>
                                    <w:bottom w:val="single" w:sz="4" w:space="0" w:color="auto"/>
                                    <w:right w:val="single" w:sz="4" w:space="0" w:color="auto"/>
                                  </w:tcBorders>
                                  <w:shd w:val="clear" w:color="auto" w:fill="auto"/>
                                  <w:noWrap/>
                                  <w:vAlign w:val="bottom"/>
                                  <w:hideMark/>
                                </w:tcPr>
                                <w:p w14:paraId="73C03185"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0.084</w:t>
                                  </w:r>
                                </w:p>
                              </w:tc>
                            </w:tr>
                            <w:tr w:rsidR="007E349F" w:rsidRPr="00702AE0" w14:paraId="6B3A0F98"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2EE34A9D"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As</w:t>
                                  </w:r>
                                </w:p>
                              </w:tc>
                              <w:tc>
                                <w:tcPr>
                                  <w:tcW w:w="1640" w:type="dxa"/>
                                  <w:tcBorders>
                                    <w:top w:val="nil"/>
                                    <w:left w:val="nil"/>
                                    <w:bottom w:val="single" w:sz="4" w:space="0" w:color="auto"/>
                                    <w:right w:val="single" w:sz="4" w:space="0" w:color="auto"/>
                                  </w:tcBorders>
                                  <w:shd w:val="clear" w:color="auto" w:fill="auto"/>
                                  <w:noWrap/>
                                  <w:vAlign w:val="bottom"/>
                                  <w:hideMark/>
                                </w:tcPr>
                                <w:p w14:paraId="60B23336"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0.083</w:t>
                                  </w:r>
                                </w:p>
                              </w:tc>
                              <w:tc>
                                <w:tcPr>
                                  <w:tcW w:w="1860" w:type="dxa"/>
                                  <w:tcBorders>
                                    <w:top w:val="nil"/>
                                    <w:left w:val="nil"/>
                                    <w:bottom w:val="single" w:sz="4" w:space="0" w:color="auto"/>
                                    <w:right w:val="single" w:sz="4" w:space="0" w:color="auto"/>
                                  </w:tcBorders>
                                  <w:shd w:val="clear" w:color="auto" w:fill="auto"/>
                                  <w:noWrap/>
                                  <w:vAlign w:val="bottom"/>
                                  <w:hideMark/>
                                </w:tcPr>
                                <w:p w14:paraId="2F639814"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0.277</w:t>
                                  </w:r>
                                </w:p>
                              </w:tc>
                              <w:tc>
                                <w:tcPr>
                                  <w:tcW w:w="1600" w:type="dxa"/>
                                  <w:tcBorders>
                                    <w:top w:val="nil"/>
                                    <w:left w:val="nil"/>
                                    <w:bottom w:val="single" w:sz="4" w:space="0" w:color="auto"/>
                                    <w:right w:val="single" w:sz="4" w:space="0" w:color="auto"/>
                                  </w:tcBorders>
                                  <w:shd w:val="clear" w:color="auto" w:fill="auto"/>
                                  <w:noWrap/>
                                  <w:vAlign w:val="bottom"/>
                                  <w:hideMark/>
                                </w:tcPr>
                                <w:p w14:paraId="1ACDFB9A"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0.180</w:t>
                                  </w:r>
                                </w:p>
                              </w:tc>
                            </w:tr>
                            <w:tr w:rsidR="007E349F" w:rsidRPr="00702AE0" w14:paraId="2934D7F6"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2D753374"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B</w:t>
                                  </w:r>
                                </w:p>
                              </w:tc>
                              <w:tc>
                                <w:tcPr>
                                  <w:tcW w:w="1640" w:type="dxa"/>
                                  <w:tcBorders>
                                    <w:top w:val="nil"/>
                                    <w:left w:val="nil"/>
                                    <w:bottom w:val="single" w:sz="4" w:space="0" w:color="auto"/>
                                    <w:right w:val="single" w:sz="4" w:space="0" w:color="auto"/>
                                  </w:tcBorders>
                                  <w:shd w:val="clear" w:color="auto" w:fill="auto"/>
                                  <w:noWrap/>
                                  <w:vAlign w:val="bottom"/>
                                  <w:hideMark/>
                                </w:tcPr>
                                <w:p w14:paraId="0443BF16"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0.009</w:t>
                                  </w:r>
                                </w:p>
                              </w:tc>
                              <w:tc>
                                <w:tcPr>
                                  <w:tcW w:w="1860" w:type="dxa"/>
                                  <w:tcBorders>
                                    <w:top w:val="nil"/>
                                    <w:left w:val="nil"/>
                                    <w:bottom w:val="single" w:sz="4" w:space="0" w:color="auto"/>
                                    <w:right w:val="single" w:sz="4" w:space="0" w:color="auto"/>
                                  </w:tcBorders>
                                  <w:shd w:val="clear" w:color="auto" w:fill="auto"/>
                                  <w:noWrap/>
                                  <w:vAlign w:val="bottom"/>
                                  <w:hideMark/>
                                </w:tcPr>
                                <w:p w14:paraId="36066F95"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0.030</w:t>
                                  </w:r>
                                </w:p>
                              </w:tc>
                              <w:tc>
                                <w:tcPr>
                                  <w:tcW w:w="1600" w:type="dxa"/>
                                  <w:tcBorders>
                                    <w:top w:val="nil"/>
                                    <w:left w:val="nil"/>
                                    <w:bottom w:val="single" w:sz="4" w:space="0" w:color="auto"/>
                                    <w:right w:val="single" w:sz="4" w:space="0" w:color="auto"/>
                                  </w:tcBorders>
                                  <w:shd w:val="clear" w:color="auto" w:fill="auto"/>
                                  <w:noWrap/>
                                  <w:vAlign w:val="bottom"/>
                                  <w:hideMark/>
                                </w:tcPr>
                                <w:p w14:paraId="2FF370A3"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0.019</w:t>
                                  </w:r>
                                </w:p>
                              </w:tc>
                            </w:tr>
                            <w:tr w:rsidR="007E349F" w:rsidRPr="00702AE0" w14:paraId="611D52B9"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6B4DBB6D"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Ba</w:t>
                                  </w:r>
                                </w:p>
                              </w:tc>
                              <w:tc>
                                <w:tcPr>
                                  <w:tcW w:w="1640" w:type="dxa"/>
                                  <w:tcBorders>
                                    <w:top w:val="nil"/>
                                    <w:left w:val="nil"/>
                                    <w:bottom w:val="single" w:sz="4" w:space="0" w:color="auto"/>
                                    <w:right w:val="single" w:sz="4" w:space="0" w:color="auto"/>
                                  </w:tcBorders>
                                  <w:shd w:val="clear" w:color="auto" w:fill="auto"/>
                                  <w:noWrap/>
                                  <w:vAlign w:val="bottom"/>
                                  <w:hideMark/>
                                </w:tcPr>
                                <w:p w14:paraId="201C343E"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0.006</w:t>
                                  </w:r>
                                </w:p>
                              </w:tc>
                              <w:tc>
                                <w:tcPr>
                                  <w:tcW w:w="1860" w:type="dxa"/>
                                  <w:tcBorders>
                                    <w:top w:val="nil"/>
                                    <w:left w:val="nil"/>
                                    <w:bottom w:val="single" w:sz="4" w:space="0" w:color="auto"/>
                                    <w:right w:val="single" w:sz="4" w:space="0" w:color="auto"/>
                                  </w:tcBorders>
                                  <w:shd w:val="clear" w:color="auto" w:fill="auto"/>
                                  <w:noWrap/>
                                  <w:vAlign w:val="bottom"/>
                                  <w:hideMark/>
                                </w:tcPr>
                                <w:p w14:paraId="750CFADF"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0.020</w:t>
                                  </w:r>
                                </w:p>
                              </w:tc>
                              <w:tc>
                                <w:tcPr>
                                  <w:tcW w:w="1600" w:type="dxa"/>
                                  <w:tcBorders>
                                    <w:top w:val="nil"/>
                                    <w:left w:val="nil"/>
                                    <w:bottom w:val="single" w:sz="4" w:space="0" w:color="auto"/>
                                    <w:right w:val="single" w:sz="4" w:space="0" w:color="auto"/>
                                  </w:tcBorders>
                                  <w:shd w:val="clear" w:color="auto" w:fill="auto"/>
                                  <w:noWrap/>
                                  <w:vAlign w:val="bottom"/>
                                  <w:hideMark/>
                                </w:tcPr>
                                <w:p w14:paraId="0E0140BD"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0.013</w:t>
                                  </w:r>
                                </w:p>
                              </w:tc>
                            </w:tr>
                            <w:tr w:rsidR="007E349F" w:rsidRPr="00702AE0" w14:paraId="56DD7FB0"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CFB68A9"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Ca</w:t>
                                  </w:r>
                                </w:p>
                              </w:tc>
                              <w:tc>
                                <w:tcPr>
                                  <w:tcW w:w="1640" w:type="dxa"/>
                                  <w:tcBorders>
                                    <w:top w:val="nil"/>
                                    <w:left w:val="nil"/>
                                    <w:bottom w:val="single" w:sz="4" w:space="0" w:color="auto"/>
                                    <w:right w:val="single" w:sz="4" w:space="0" w:color="auto"/>
                                  </w:tcBorders>
                                  <w:shd w:val="clear" w:color="auto" w:fill="auto"/>
                                  <w:noWrap/>
                                  <w:vAlign w:val="bottom"/>
                                  <w:hideMark/>
                                </w:tcPr>
                                <w:p w14:paraId="13EAF2FD"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0.056</w:t>
                                  </w:r>
                                </w:p>
                              </w:tc>
                              <w:tc>
                                <w:tcPr>
                                  <w:tcW w:w="1860" w:type="dxa"/>
                                  <w:tcBorders>
                                    <w:top w:val="nil"/>
                                    <w:left w:val="nil"/>
                                    <w:bottom w:val="single" w:sz="4" w:space="0" w:color="auto"/>
                                    <w:right w:val="single" w:sz="4" w:space="0" w:color="auto"/>
                                  </w:tcBorders>
                                  <w:shd w:val="clear" w:color="auto" w:fill="auto"/>
                                  <w:noWrap/>
                                  <w:vAlign w:val="bottom"/>
                                  <w:hideMark/>
                                </w:tcPr>
                                <w:p w14:paraId="37789459"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0.187</w:t>
                                  </w:r>
                                </w:p>
                              </w:tc>
                              <w:tc>
                                <w:tcPr>
                                  <w:tcW w:w="1600" w:type="dxa"/>
                                  <w:tcBorders>
                                    <w:top w:val="nil"/>
                                    <w:left w:val="nil"/>
                                    <w:bottom w:val="single" w:sz="4" w:space="0" w:color="auto"/>
                                    <w:right w:val="single" w:sz="4" w:space="0" w:color="auto"/>
                                  </w:tcBorders>
                                  <w:shd w:val="clear" w:color="auto" w:fill="auto"/>
                                  <w:noWrap/>
                                  <w:vAlign w:val="bottom"/>
                                  <w:hideMark/>
                                </w:tcPr>
                                <w:p w14:paraId="27DFFC44"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0.121</w:t>
                                  </w:r>
                                </w:p>
                              </w:tc>
                            </w:tr>
                            <w:tr w:rsidR="007E349F" w:rsidRPr="00702AE0" w14:paraId="5EB2B139"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0A786B9E"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Cd</w:t>
                                  </w:r>
                                </w:p>
                              </w:tc>
                              <w:tc>
                                <w:tcPr>
                                  <w:tcW w:w="1640" w:type="dxa"/>
                                  <w:tcBorders>
                                    <w:top w:val="nil"/>
                                    <w:left w:val="nil"/>
                                    <w:bottom w:val="single" w:sz="4" w:space="0" w:color="auto"/>
                                    <w:right w:val="single" w:sz="4" w:space="0" w:color="auto"/>
                                  </w:tcBorders>
                                  <w:shd w:val="clear" w:color="auto" w:fill="auto"/>
                                  <w:noWrap/>
                                  <w:vAlign w:val="bottom"/>
                                  <w:hideMark/>
                                </w:tcPr>
                                <w:p w14:paraId="48C5365C"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0.046</w:t>
                                  </w:r>
                                </w:p>
                              </w:tc>
                              <w:tc>
                                <w:tcPr>
                                  <w:tcW w:w="1860" w:type="dxa"/>
                                  <w:tcBorders>
                                    <w:top w:val="nil"/>
                                    <w:left w:val="nil"/>
                                    <w:bottom w:val="single" w:sz="4" w:space="0" w:color="auto"/>
                                    <w:right w:val="single" w:sz="4" w:space="0" w:color="auto"/>
                                  </w:tcBorders>
                                  <w:shd w:val="clear" w:color="auto" w:fill="auto"/>
                                  <w:noWrap/>
                                  <w:vAlign w:val="bottom"/>
                                  <w:hideMark/>
                                </w:tcPr>
                                <w:p w14:paraId="50C33678"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0.153</w:t>
                                  </w:r>
                                </w:p>
                              </w:tc>
                              <w:tc>
                                <w:tcPr>
                                  <w:tcW w:w="1600" w:type="dxa"/>
                                  <w:tcBorders>
                                    <w:top w:val="nil"/>
                                    <w:left w:val="nil"/>
                                    <w:bottom w:val="single" w:sz="4" w:space="0" w:color="auto"/>
                                    <w:right w:val="single" w:sz="4" w:space="0" w:color="auto"/>
                                  </w:tcBorders>
                                  <w:shd w:val="clear" w:color="auto" w:fill="auto"/>
                                  <w:noWrap/>
                                  <w:vAlign w:val="bottom"/>
                                  <w:hideMark/>
                                </w:tcPr>
                                <w:p w14:paraId="6C0D8BA2"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0.100</w:t>
                                  </w:r>
                                </w:p>
                              </w:tc>
                            </w:tr>
                            <w:tr w:rsidR="007E349F" w:rsidRPr="00702AE0" w14:paraId="656AA736"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0845BCCA"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Cr</w:t>
                                  </w:r>
                                </w:p>
                              </w:tc>
                              <w:tc>
                                <w:tcPr>
                                  <w:tcW w:w="1640" w:type="dxa"/>
                                  <w:tcBorders>
                                    <w:top w:val="nil"/>
                                    <w:left w:val="nil"/>
                                    <w:bottom w:val="single" w:sz="4" w:space="0" w:color="auto"/>
                                    <w:right w:val="single" w:sz="4" w:space="0" w:color="auto"/>
                                  </w:tcBorders>
                                  <w:shd w:val="clear" w:color="auto" w:fill="auto"/>
                                  <w:noWrap/>
                                  <w:vAlign w:val="bottom"/>
                                  <w:hideMark/>
                                </w:tcPr>
                                <w:p w14:paraId="76684621"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0.042</w:t>
                                  </w:r>
                                </w:p>
                              </w:tc>
                              <w:tc>
                                <w:tcPr>
                                  <w:tcW w:w="1860" w:type="dxa"/>
                                  <w:tcBorders>
                                    <w:top w:val="nil"/>
                                    <w:left w:val="nil"/>
                                    <w:bottom w:val="single" w:sz="4" w:space="0" w:color="auto"/>
                                    <w:right w:val="single" w:sz="4" w:space="0" w:color="auto"/>
                                  </w:tcBorders>
                                  <w:shd w:val="clear" w:color="auto" w:fill="auto"/>
                                  <w:noWrap/>
                                  <w:vAlign w:val="bottom"/>
                                  <w:hideMark/>
                                </w:tcPr>
                                <w:p w14:paraId="19575B66"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0.140</w:t>
                                  </w:r>
                                </w:p>
                              </w:tc>
                              <w:tc>
                                <w:tcPr>
                                  <w:tcW w:w="1600" w:type="dxa"/>
                                  <w:tcBorders>
                                    <w:top w:val="nil"/>
                                    <w:left w:val="nil"/>
                                    <w:bottom w:val="single" w:sz="4" w:space="0" w:color="auto"/>
                                    <w:right w:val="single" w:sz="4" w:space="0" w:color="auto"/>
                                  </w:tcBorders>
                                  <w:shd w:val="clear" w:color="auto" w:fill="auto"/>
                                  <w:noWrap/>
                                  <w:vAlign w:val="bottom"/>
                                  <w:hideMark/>
                                </w:tcPr>
                                <w:p w14:paraId="475A11D3"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0.091</w:t>
                                  </w:r>
                                </w:p>
                              </w:tc>
                            </w:tr>
                            <w:tr w:rsidR="007E349F" w:rsidRPr="00702AE0" w14:paraId="0D73B581"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479DC178"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Cu</w:t>
                                  </w:r>
                                </w:p>
                              </w:tc>
                              <w:tc>
                                <w:tcPr>
                                  <w:tcW w:w="1640" w:type="dxa"/>
                                  <w:tcBorders>
                                    <w:top w:val="nil"/>
                                    <w:left w:val="nil"/>
                                    <w:bottom w:val="single" w:sz="4" w:space="0" w:color="auto"/>
                                    <w:right w:val="single" w:sz="4" w:space="0" w:color="auto"/>
                                  </w:tcBorders>
                                  <w:shd w:val="clear" w:color="auto" w:fill="auto"/>
                                  <w:noWrap/>
                                  <w:vAlign w:val="bottom"/>
                                  <w:hideMark/>
                                </w:tcPr>
                                <w:p w14:paraId="0A14064B"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0.019</w:t>
                                  </w:r>
                                </w:p>
                              </w:tc>
                              <w:tc>
                                <w:tcPr>
                                  <w:tcW w:w="1860" w:type="dxa"/>
                                  <w:tcBorders>
                                    <w:top w:val="nil"/>
                                    <w:left w:val="nil"/>
                                    <w:bottom w:val="single" w:sz="4" w:space="0" w:color="auto"/>
                                    <w:right w:val="single" w:sz="4" w:space="0" w:color="auto"/>
                                  </w:tcBorders>
                                  <w:shd w:val="clear" w:color="auto" w:fill="auto"/>
                                  <w:noWrap/>
                                  <w:vAlign w:val="bottom"/>
                                  <w:hideMark/>
                                </w:tcPr>
                                <w:p w14:paraId="3D421BBA"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0.063</w:t>
                                  </w:r>
                                </w:p>
                              </w:tc>
                              <w:tc>
                                <w:tcPr>
                                  <w:tcW w:w="1600" w:type="dxa"/>
                                  <w:tcBorders>
                                    <w:top w:val="nil"/>
                                    <w:left w:val="nil"/>
                                    <w:bottom w:val="single" w:sz="4" w:space="0" w:color="auto"/>
                                    <w:right w:val="single" w:sz="4" w:space="0" w:color="auto"/>
                                  </w:tcBorders>
                                  <w:shd w:val="clear" w:color="auto" w:fill="auto"/>
                                  <w:noWrap/>
                                  <w:vAlign w:val="bottom"/>
                                  <w:hideMark/>
                                </w:tcPr>
                                <w:p w14:paraId="2C2E760E"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0.041</w:t>
                                  </w:r>
                                </w:p>
                              </w:tc>
                            </w:tr>
                            <w:tr w:rsidR="007E349F" w:rsidRPr="00702AE0" w14:paraId="0AE4C4A9"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2B06D51B"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Fe</w:t>
                                  </w:r>
                                </w:p>
                              </w:tc>
                              <w:tc>
                                <w:tcPr>
                                  <w:tcW w:w="1640" w:type="dxa"/>
                                  <w:tcBorders>
                                    <w:top w:val="nil"/>
                                    <w:left w:val="nil"/>
                                    <w:bottom w:val="single" w:sz="4" w:space="0" w:color="auto"/>
                                    <w:right w:val="single" w:sz="4" w:space="0" w:color="auto"/>
                                  </w:tcBorders>
                                  <w:shd w:val="clear" w:color="auto" w:fill="auto"/>
                                  <w:noWrap/>
                                  <w:vAlign w:val="bottom"/>
                                  <w:hideMark/>
                                </w:tcPr>
                                <w:p w14:paraId="402A2BF9"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0.019</w:t>
                                  </w:r>
                                </w:p>
                              </w:tc>
                              <w:tc>
                                <w:tcPr>
                                  <w:tcW w:w="1860" w:type="dxa"/>
                                  <w:tcBorders>
                                    <w:top w:val="nil"/>
                                    <w:left w:val="nil"/>
                                    <w:bottom w:val="single" w:sz="4" w:space="0" w:color="auto"/>
                                    <w:right w:val="single" w:sz="4" w:space="0" w:color="auto"/>
                                  </w:tcBorders>
                                  <w:shd w:val="clear" w:color="auto" w:fill="auto"/>
                                  <w:noWrap/>
                                  <w:vAlign w:val="bottom"/>
                                  <w:hideMark/>
                                </w:tcPr>
                                <w:p w14:paraId="2CE5CE05"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0.063</w:t>
                                  </w:r>
                                </w:p>
                              </w:tc>
                              <w:tc>
                                <w:tcPr>
                                  <w:tcW w:w="1600" w:type="dxa"/>
                                  <w:tcBorders>
                                    <w:top w:val="nil"/>
                                    <w:left w:val="nil"/>
                                    <w:bottom w:val="single" w:sz="4" w:space="0" w:color="auto"/>
                                    <w:right w:val="single" w:sz="4" w:space="0" w:color="auto"/>
                                  </w:tcBorders>
                                  <w:shd w:val="clear" w:color="auto" w:fill="auto"/>
                                  <w:noWrap/>
                                  <w:vAlign w:val="bottom"/>
                                  <w:hideMark/>
                                </w:tcPr>
                                <w:p w14:paraId="071D5223"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0.041</w:t>
                                  </w:r>
                                </w:p>
                              </w:tc>
                            </w:tr>
                            <w:tr w:rsidR="007E349F" w:rsidRPr="00702AE0" w14:paraId="3CC3B2CC"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055946DD"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K</w:t>
                                  </w:r>
                                </w:p>
                              </w:tc>
                              <w:tc>
                                <w:tcPr>
                                  <w:tcW w:w="1640" w:type="dxa"/>
                                  <w:tcBorders>
                                    <w:top w:val="nil"/>
                                    <w:left w:val="nil"/>
                                    <w:bottom w:val="single" w:sz="4" w:space="0" w:color="auto"/>
                                    <w:right w:val="single" w:sz="4" w:space="0" w:color="auto"/>
                                  </w:tcBorders>
                                  <w:shd w:val="clear" w:color="auto" w:fill="auto"/>
                                  <w:noWrap/>
                                  <w:vAlign w:val="bottom"/>
                                  <w:hideMark/>
                                </w:tcPr>
                                <w:p w14:paraId="4D0039FE"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0.395</w:t>
                                  </w:r>
                                </w:p>
                              </w:tc>
                              <w:tc>
                                <w:tcPr>
                                  <w:tcW w:w="1860" w:type="dxa"/>
                                  <w:tcBorders>
                                    <w:top w:val="nil"/>
                                    <w:left w:val="nil"/>
                                    <w:bottom w:val="single" w:sz="4" w:space="0" w:color="auto"/>
                                    <w:right w:val="single" w:sz="4" w:space="0" w:color="auto"/>
                                  </w:tcBorders>
                                  <w:shd w:val="clear" w:color="auto" w:fill="auto"/>
                                  <w:noWrap/>
                                  <w:vAlign w:val="bottom"/>
                                  <w:hideMark/>
                                </w:tcPr>
                                <w:p w14:paraId="1CBD9779"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1.317</w:t>
                                  </w:r>
                                </w:p>
                              </w:tc>
                              <w:tc>
                                <w:tcPr>
                                  <w:tcW w:w="1600" w:type="dxa"/>
                                  <w:tcBorders>
                                    <w:top w:val="nil"/>
                                    <w:left w:val="nil"/>
                                    <w:bottom w:val="single" w:sz="4" w:space="0" w:color="auto"/>
                                    <w:right w:val="single" w:sz="4" w:space="0" w:color="auto"/>
                                  </w:tcBorders>
                                  <w:shd w:val="clear" w:color="auto" w:fill="auto"/>
                                  <w:noWrap/>
                                  <w:vAlign w:val="bottom"/>
                                  <w:hideMark/>
                                </w:tcPr>
                                <w:p w14:paraId="3068BA66"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0.856</w:t>
                                  </w:r>
                                </w:p>
                              </w:tc>
                            </w:tr>
                            <w:tr w:rsidR="007E349F" w:rsidRPr="00702AE0" w14:paraId="04D947A2"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AAF0A7C"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Mg</w:t>
                                  </w:r>
                                </w:p>
                              </w:tc>
                              <w:tc>
                                <w:tcPr>
                                  <w:tcW w:w="1640" w:type="dxa"/>
                                  <w:tcBorders>
                                    <w:top w:val="nil"/>
                                    <w:left w:val="nil"/>
                                    <w:bottom w:val="single" w:sz="4" w:space="0" w:color="auto"/>
                                    <w:right w:val="single" w:sz="4" w:space="0" w:color="auto"/>
                                  </w:tcBorders>
                                  <w:shd w:val="clear" w:color="auto" w:fill="auto"/>
                                  <w:noWrap/>
                                  <w:vAlign w:val="bottom"/>
                                  <w:hideMark/>
                                </w:tcPr>
                                <w:p w14:paraId="683210BC"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0.109</w:t>
                                  </w:r>
                                </w:p>
                              </w:tc>
                              <w:tc>
                                <w:tcPr>
                                  <w:tcW w:w="1860" w:type="dxa"/>
                                  <w:tcBorders>
                                    <w:top w:val="nil"/>
                                    <w:left w:val="nil"/>
                                    <w:bottom w:val="single" w:sz="4" w:space="0" w:color="auto"/>
                                    <w:right w:val="single" w:sz="4" w:space="0" w:color="auto"/>
                                  </w:tcBorders>
                                  <w:shd w:val="clear" w:color="auto" w:fill="auto"/>
                                  <w:noWrap/>
                                  <w:vAlign w:val="bottom"/>
                                  <w:hideMark/>
                                </w:tcPr>
                                <w:p w14:paraId="63B8E665"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0.363</w:t>
                                  </w:r>
                                </w:p>
                              </w:tc>
                              <w:tc>
                                <w:tcPr>
                                  <w:tcW w:w="1600" w:type="dxa"/>
                                  <w:tcBorders>
                                    <w:top w:val="nil"/>
                                    <w:left w:val="nil"/>
                                    <w:bottom w:val="single" w:sz="4" w:space="0" w:color="auto"/>
                                    <w:right w:val="single" w:sz="4" w:space="0" w:color="auto"/>
                                  </w:tcBorders>
                                  <w:shd w:val="clear" w:color="auto" w:fill="auto"/>
                                  <w:noWrap/>
                                  <w:vAlign w:val="bottom"/>
                                  <w:hideMark/>
                                </w:tcPr>
                                <w:p w14:paraId="476B9253"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0.236</w:t>
                                  </w:r>
                                </w:p>
                              </w:tc>
                            </w:tr>
                            <w:tr w:rsidR="007E349F" w:rsidRPr="00702AE0" w14:paraId="5EF81F97"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1E9DBE49"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Mn</w:t>
                                  </w:r>
                                </w:p>
                              </w:tc>
                              <w:tc>
                                <w:tcPr>
                                  <w:tcW w:w="1640" w:type="dxa"/>
                                  <w:tcBorders>
                                    <w:top w:val="nil"/>
                                    <w:left w:val="nil"/>
                                    <w:bottom w:val="single" w:sz="4" w:space="0" w:color="auto"/>
                                    <w:right w:val="single" w:sz="4" w:space="0" w:color="auto"/>
                                  </w:tcBorders>
                                  <w:shd w:val="clear" w:color="auto" w:fill="auto"/>
                                  <w:noWrap/>
                                  <w:vAlign w:val="bottom"/>
                                  <w:hideMark/>
                                </w:tcPr>
                                <w:p w14:paraId="2499C559"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0.003</w:t>
                                  </w:r>
                                </w:p>
                              </w:tc>
                              <w:tc>
                                <w:tcPr>
                                  <w:tcW w:w="1860" w:type="dxa"/>
                                  <w:tcBorders>
                                    <w:top w:val="nil"/>
                                    <w:left w:val="nil"/>
                                    <w:bottom w:val="single" w:sz="4" w:space="0" w:color="auto"/>
                                    <w:right w:val="single" w:sz="4" w:space="0" w:color="auto"/>
                                  </w:tcBorders>
                                  <w:shd w:val="clear" w:color="auto" w:fill="auto"/>
                                  <w:noWrap/>
                                  <w:vAlign w:val="bottom"/>
                                  <w:hideMark/>
                                </w:tcPr>
                                <w:p w14:paraId="3A349E1B"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0.010</w:t>
                                  </w:r>
                                </w:p>
                              </w:tc>
                              <w:tc>
                                <w:tcPr>
                                  <w:tcW w:w="1600" w:type="dxa"/>
                                  <w:tcBorders>
                                    <w:top w:val="nil"/>
                                    <w:left w:val="nil"/>
                                    <w:bottom w:val="single" w:sz="4" w:space="0" w:color="auto"/>
                                    <w:right w:val="single" w:sz="4" w:space="0" w:color="auto"/>
                                  </w:tcBorders>
                                  <w:shd w:val="clear" w:color="auto" w:fill="auto"/>
                                  <w:noWrap/>
                                  <w:vAlign w:val="bottom"/>
                                  <w:hideMark/>
                                </w:tcPr>
                                <w:p w14:paraId="0FA2432F"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0.006</w:t>
                                  </w:r>
                                </w:p>
                              </w:tc>
                            </w:tr>
                            <w:tr w:rsidR="007E349F" w:rsidRPr="00702AE0" w14:paraId="3F7EE3E5"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6FE0C290"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Mo</w:t>
                                  </w:r>
                                </w:p>
                              </w:tc>
                              <w:tc>
                                <w:tcPr>
                                  <w:tcW w:w="1640" w:type="dxa"/>
                                  <w:tcBorders>
                                    <w:top w:val="nil"/>
                                    <w:left w:val="nil"/>
                                    <w:bottom w:val="single" w:sz="4" w:space="0" w:color="auto"/>
                                    <w:right w:val="single" w:sz="4" w:space="0" w:color="auto"/>
                                  </w:tcBorders>
                                  <w:shd w:val="clear" w:color="auto" w:fill="auto"/>
                                  <w:noWrap/>
                                  <w:vAlign w:val="bottom"/>
                                  <w:hideMark/>
                                </w:tcPr>
                                <w:p w14:paraId="1C94FEEF"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0.018</w:t>
                                  </w:r>
                                </w:p>
                              </w:tc>
                              <w:tc>
                                <w:tcPr>
                                  <w:tcW w:w="1860" w:type="dxa"/>
                                  <w:tcBorders>
                                    <w:top w:val="nil"/>
                                    <w:left w:val="nil"/>
                                    <w:bottom w:val="single" w:sz="4" w:space="0" w:color="auto"/>
                                    <w:right w:val="single" w:sz="4" w:space="0" w:color="auto"/>
                                  </w:tcBorders>
                                  <w:shd w:val="clear" w:color="auto" w:fill="auto"/>
                                  <w:noWrap/>
                                  <w:vAlign w:val="bottom"/>
                                  <w:hideMark/>
                                </w:tcPr>
                                <w:p w14:paraId="1B04CA9A"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0.060</w:t>
                                  </w:r>
                                </w:p>
                              </w:tc>
                              <w:tc>
                                <w:tcPr>
                                  <w:tcW w:w="1600" w:type="dxa"/>
                                  <w:tcBorders>
                                    <w:top w:val="nil"/>
                                    <w:left w:val="nil"/>
                                    <w:bottom w:val="single" w:sz="4" w:space="0" w:color="auto"/>
                                    <w:right w:val="single" w:sz="4" w:space="0" w:color="auto"/>
                                  </w:tcBorders>
                                  <w:shd w:val="clear" w:color="auto" w:fill="auto"/>
                                  <w:noWrap/>
                                  <w:vAlign w:val="bottom"/>
                                  <w:hideMark/>
                                </w:tcPr>
                                <w:p w14:paraId="21DD3D21"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0.039</w:t>
                                  </w:r>
                                </w:p>
                              </w:tc>
                            </w:tr>
                            <w:tr w:rsidR="007E349F" w:rsidRPr="00702AE0" w14:paraId="36F3B4B6"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01F997EB"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Na</w:t>
                                  </w:r>
                                </w:p>
                              </w:tc>
                              <w:tc>
                                <w:tcPr>
                                  <w:tcW w:w="1640" w:type="dxa"/>
                                  <w:tcBorders>
                                    <w:top w:val="nil"/>
                                    <w:left w:val="nil"/>
                                    <w:bottom w:val="single" w:sz="4" w:space="0" w:color="auto"/>
                                    <w:right w:val="single" w:sz="4" w:space="0" w:color="auto"/>
                                  </w:tcBorders>
                                  <w:shd w:val="clear" w:color="auto" w:fill="auto"/>
                                  <w:noWrap/>
                                  <w:vAlign w:val="bottom"/>
                                  <w:hideMark/>
                                </w:tcPr>
                                <w:p w14:paraId="5F45D009"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0.10</w:t>
                                  </w:r>
                                </w:p>
                              </w:tc>
                              <w:tc>
                                <w:tcPr>
                                  <w:tcW w:w="1860" w:type="dxa"/>
                                  <w:tcBorders>
                                    <w:top w:val="nil"/>
                                    <w:left w:val="nil"/>
                                    <w:bottom w:val="single" w:sz="4" w:space="0" w:color="auto"/>
                                    <w:right w:val="single" w:sz="4" w:space="0" w:color="auto"/>
                                  </w:tcBorders>
                                  <w:shd w:val="clear" w:color="auto" w:fill="auto"/>
                                  <w:noWrap/>
                                  <w:vAlign w:val="bottom"/>
                                  <w:hideMark/>
                                </w:tcPr>
                                <w:p w14:paraId="144AD5EC"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0.34</w:t>
                                  </w:r>
                                </w:p>
                              </w:tc>
                              <w:tc>
                                <w:tcPr>
                                  <w:tcW w:w="1600" w:type="dxa"/>
                                  <w:tcBorders>
                                    <w:top w:val="nil"/>
                                    <w:left w:val="nil"/>
                                    <w:bottom w:val="single" w:sz="4" w:space="0" w:color="auto"/>
                                    <w:right w:val="single" w:sz="4" w:space="0" w:color="auto"/>
                                  </w:tcBorders>
                                  <w:shd w:val="clear" w:color="auto" w:fill="auto"/>
                                  <w:noWrap/>
                                  <w:vAlign w:val="bottom"/>
                                  <w:hideMark/>
                                </w:tcPr>
                                <w:p w14:paraId="15FD7164"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0.219</w:t>
                                  </w:r>
                                </w:p>
                              </w:tc>
                            </w:tr>
                            <w:tr w:rsidR="007E349F" w:rsidRPr="00702AE0" w14:paraId="5288CDD2"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E688A7A"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Ni</w:t>
                                  </w:r>
                                </w:p>
                              </w:tc>
                              <w:tc>
                                <w:tcPr>
                                  <w:tcW w:w="1640" w:type="dxa"/>
                                  <w:tcBorders>
                                    <w:top w:val="nil"/>
                                    <w:left w:val="nil"/>
                                    <w:bottom w:val="single" w:sz="4" w:space="0" w:color="auto"/>
                                    <w:right w:val="single" w:sz="4" w:space="0" w:color="auto"/>
                                  </w:tcBorders>
                                  <w:shd w:val="clear" w:color="auto" w:fill="auto"/>
                                  <w:noWrap/>
                                  <w:vAlign w:val="bottom"/>
                                  <w:hideMark/>
                                </w:tcPr>
                                <w:p w14:paraId="4B95346D"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0.008</w:t>
                                  </w:r>
                                </w:p>
                              </w:tc>
                              <w:tc>
                                <w:tcPr>
                                  <w:tcW w:w="1860" w:type="dxa"/>
                                  <w:tcBorders>
                                    <w:top w:val="nil"/>
                                    <w:left w:val="nil"/>
                                    <w:bottom w:val="single" w:sz="4" w:space="0" w:color="auto"/>
                                    <w:right w:val="single" w:sz="4" w:space="0" w:color="auto"/>
                                  </w:tcBorders>
                                  <w:shd w:val="clear" w:color="auto" w:fill="auto"/>
                                  <w:noWrap/>
                                  <w:vAlign w:val="bottom"/>
                                  <w:hideMark/>
                                </w:tcPr>
                                <w:p w14:paraId="360905BA"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0.027</w:t>
                                  </w:r>
                                </w:p>
                              </w:tc>
                              <w:tc>
                                <w:tcPr>
                                  <w:tcW w:w="1600" w:type="dxa"/>
                                  <w:tcBorders>
                                    <w:top w:val="nil"/>
                                    <w:left w:val="nil"/>
                                    <w:bottom w:val="single" w:sz="4" w:space="0" w:color="auto"/>
                                    <w:right w:val="single" w:sz="4" w:space="0" w:color="auto"/>
                                  </w:tcBorders>
                                  <w:shd w:val="clear" w:color="auto" w:fill="auto"/>
                                  <w:noWrap/>
                                  <w:vAlign w:val="bottom"/>
                                  <w:hideMark/>
                                </w:tcPr>
                                <w:p w14:paraId="132D7907"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0.017</w:t>
                                  </w:r>
                                </w:p>
                              </w:tc>
                            </w:tr>
                            <w:tr w:rsidR="007E349F" w:rsidRPr="00702AE0" w14:paraId="1579B8D1"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654CC7AE"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P</w:t>
                                  </w:r>
                                </w:p>
                              </w:tc>
                              <w:tc>
                                <w:tcPr>
                                  <w:tcW w:w="1640" w:type="dxa"/>
                                  <w:tcBorders>
                                    <w:top w:val="nil"/>
                                    <w:left w:val="nil"/>
                                    <w:bottom w:val="single" w:sz="4" w:space="0" w:color="auto"/>
                                    <w:right w:val="single" w:sz="4" w:space="0" w:color="auto"/>
                                  </w:tcBorders>
                                  <w:shd w:val="clear" w:color="auto" w:fill="auto"/>
                                  <w:noWrap/>
                                  <w:vAlign w:val="bottom"/>
                                  <w:hideMark/>
                                </w:tcPr>
                                <w:p w14:paraId="4D95489C"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0.085</w:t>
                                  </w:r>
                                </w:p>
                              </w:tc>
                              <w:tc>
                                <w:tcPr>
                                  <w:tcW w:w="1860" w:type="dxa"/>
                                  <w:tcBorders>
                                    <w:top w:val="nil"/>
                                    <w:left w:val="nil"/>
                                    <w:bottom w:val="single" w:sz="4" w:space="0" w:color="auto"/>
                                    <w:right w:val="single" w:sz="4" w:space="0" w:color="auto"/>
                                  </w:tcBorders>
                                  <w:shd w:val="clear" w:color="auto" w:fill="auto"/>
                                  <w:noWrap/>
                                  <w:vAlign w:val="bottom"/>
                                  <w:hideMark/>
                                </w:tcPr>
                                <w:p w14:paraId="730F5FD0"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0.283</w:t>
                                  </w:r>
                                </w:p>
                              </w:tc>
                              <w:tc>
                                <w:tcPr>
                                  <w:tcW w:w="1600" w:type="dxa"/>
                                  <w:tcBorders>
                                    <w:top w:val="nil"/>
                                    <w:left w:val="nil"/>
                                    <w:bottom w:val="single" w:sz="4" w:space="0" w:color="auto"/>
                                    <w:right w:val="single" w:sz="4" w:space="0" w:color="auto"/>
                                  </w:tcBorders>
                                  <w:shd w:val="clear" w:color="auto" w:fill="auto"/>
                                  <w:noWrap/>
                                  <w:vAlign w:val="bottom"/>
                                  <w:hideMark/>
                                </w:tcPr>
                                <w:p w14:paraId="2FDB91EB"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0.184</w:t>
                                  </w:r>
                                </w:p>
                              </w:tc>
                            </w:tr>
                            <w:tr w:rsidR="007E349F" w:rsidRPr="00702AE0" w14:paraId="36F84DA0"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79B3F899"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Pb</w:t>
                                  </w:r>
                                </w:p>
                              </w:tc>
                              <w:tc>
                                <w:tcPr>
                                  <w:tcW w:w="1640" w:type="dxa"/>
                                  <w:tcBorders>
                                    <w:top w:val="nil"/>
                                    <w:left w:val="nil"/>
                                    <w:bottom w:val="single" w:sz="4" w:space="0" w:color="auto"/>
                                    <w:right w:val="single" w:sz="4" w:space="0" w:color="auto"/>
                                  </w:tcBorders>
                                  <w:shd w:val="clear" w:color="auto" w:fill="auto"/>
                                  <w:noWrap/>
                                  <w:vAlign w:val="bottom"/>
                                  <w:hideMark/>
                                </w:tcPr>
                                <w:p w14:paraId="0854FB26"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0.070</w:t>
                                  </w:r>
                                </w:p>
                              </w:tc>
                              <w:tc>
                                <w:tcPr>
                                  <w:tcW w:w="1860" w:type="dxa"/>
                                  <w:tcBorders>
                                    <w:top w:val="nil"/>
                                    <w:left w:val="nil"/>
                                    <w:bottom w:val="single" w:sz="4" w:space="0" w:color="auto"/>
                                    <w:right w:val="single" w:sz="4" w:space="0" w:color="auto"/>
                                  </w:tcBorders>
                                  <w:shd w:val="clear" w:color="auto" w:fill="auto"/>
                                  <w:noWrap/>
                                  <w:vAlign w:val="bottom"/>
                                  <w:hideMark/>
                                </w:tcPr>
                                <w:p w14:paraId="3F339422"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0.233</w:t>
                                  </w:r>
                                </w:p>
                              </w:tc>
                              <w:tc>
                                <w:tcPr>
                                  <w:tcW w:w="1600" w:type="dxa"/>
                                  <w:tcBorders>
                                    <w:top w:val="nil"/>
                                    <w:left w:val="nil"/>
                                    <w:bottom w:val="single" w:sz="4" w:space="0" w:color="auto"/>
                                    <w:right w:val="single" w:sz="4" w:space="0" w:color="auto"/>
                                  </w:tcBorders>
                                  <w:shd w:val="clear" w:color="auto" w:fill="auto"/>
                                  <w:noWrap/>
                                  <w:vAlign w:val="bottom"/>
                                  <w:hideMark/>
                                </w:tcPr>
                                <w:p w14:paraId="38C6A016"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0.152</w:t>
                                  </w:r>
                                </w:p>
                              </w:tc>
                            </w:tr>
                            <w:tr w:rsidR="007E349F" w:rsidRPr="00702AE0" w14:paraId="78149F5A"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6EC6C099"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S</w:t>
                                  </w:r>
                                </w:p>
                              </w:tc>
                              <w:tc>
                                <w:tcPr>
                                  <w:tcW w:w="1640" w:type="dxa"/>
                                  <w:tcBorders>
                                    <w:top w:val="nil"/>
                                    <w:left w:val="nil"/>
                                    <w:bottom w:val="single" w:sz="4" w:space="0" w:color="auto"/>
                                    <w:right w:val="single" w:sz="4" w:space="0" w:color="auto"/>
                                  </w:tcBorders>
                                  <w:shd w:val="clear" w:color="auto" w:fill="auto"/>
                                  <w:noWrap/>
                                  <w:vAlign w:val="bottom"/>
                                  <w:hideMark/>
                                </w:tcPr>
                                <w:p w14:paraId="59D7A6BD"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0.075</w:t>
                                  </w:r>
                                </w:p>
                              </w:tc>
                              <w:tc>
                                <w:tcPr>
                                  <w:tcW w:w="1860" w:type="dxa"/>
                                  <w:tcBorders>
                                    <w:top w:val="nil"/>
                                    <w:left w:val="nil"/>
                                    <w:bottom w:val="single" w:sz="4" w:space="0" w:color="auto"/>
                                    <w:right w:val="single" w:sz="4" w:space="0" w:color="auto"/>
                                  </w:tcBorders>
                                  <w:shd w:val="clear" w:color="auto" w:fill="auto"/>
                                  <w:noWrap/>
                                  <w:vAlign w:val="bottom"/>
                                  <w:hideMark/>
                                </w:tcPr>
                                <w:p w14:paraId="412495EC"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0.250</w:t>
                                  </w:r>
                                </w:p>
                              </w:tc>
                              <w:tc>
                                <w:tcPr>
                                  <w:tcW w:w="1600" w:type="dxa"/>
                                  <w:tcBorders>
                                    <w:top w:val="nil"/>
                                    <w:left w:val="nil"/>
                                    <w:bottom w:val="single" w:sz="4" w:space="0" w:color="auto"/>
                                    <w:right w:val="single" w:sz="4" w:space="0" w:color="auto"/>
                                  </w:tcBorders>
                                  <w:shd w:val="clear" w:color="auto" w:fill="auto"/>
                                  <w:noWrap/>
                                  <w:vAlign w:val="bottom"/>
                                  <w:hideMark/>
                                </w:tcPr>
                                <w:p w14:paraId="339862D7"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0.162</w:t>
                                  </w:r>
                                </w:p>
                              </w:tc>
                            </w:tr>
                            <w:tr w:rsidR="007E349F" w:rsidRPr="00702AE0" w14:paraId="0ABD942C"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4A324A50"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Se</w:t>
                                  </w:r>
                                </w:p>
                              </w:tc>
                              <w:tc>
                                <w:tcPr>
                                  <w:tcW w:w="1640" w:type="dxa"/>
                                  <w:tcBorders>
                                    <w:top w:val="nil"/>
                                    <w:left w:val="nil"/>
                                    <w:bottom w:val="single" w:sz="4" w:space="0" w:color="auto"/>
                                    <w:right w:val="single" w:sz="4" w:space="0" w:color="auto"/>
                                  </w:tcBorders>
                                  <w:shd w:val="clear" w:color="auto" w:fill="auto"/>
                                  <w:noWrap/>
                                  <w:vAlign w:val="bottom"/>
                                  <w:hideMark/>
                                </w:tcPr>
                                <w:p w14:paraId="0659BA67"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0.147</w:t>
                                  </w:r>
                                </w:p>
                              </w:tc>
                              <w:tc>
                                <w:tcPr>
                                  <w:tcW w:w="1860" w:type="dxa"/>
                                  <w:tcBorders>
                                    <w:top w:val="nil"/>
                                    <w:left w:val="nil"/>
                                    <w:bottom w:val="single" w:sz="4" w:space="0" w:color="auto"/>
                                    <w:right w:val="single" w:sz="4" w:space="0" w:color="auto"/>
                                  </w:tcBorders>
                                  <w:shd w:val="clear" w:color="auto" w:fill="auto"/>
                                  <w:noWrap/>
                                  <w:vAlign w:val="bottom"/>
                                  <w:hideMark/>
                                </w:tcPr>
                                <w:p w14:paraId="3B50C501"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0.490</w:t>
                                  </w:r>
                                </w:p>
                              </w:tc>
                              <w:tc>
                                <w:tcPr>
                                  <w:tcW w:w="1600" w:type="dxa"/>
                                  <w:tcBorders>
                                    <w:top w:val="nil"/>
                                    <w:left w:val="nil"/>
                                    <w:bottom w:val="single" w:sz="4" w:space="0" w:color="auto"/>
                                    <w:right w:val="single" w:sz="4" w:space="0" w:color="auto"/>
                                  </w:tcBorders>
                                  <w:shd w:val="clear" w:color="auto" w:fill="auto"/>
                                  <w:noWrap/>
                                  <w:vAlign w:val="bottom"/>
                                  <w:hideMark/>
                                </w:tcPr>
                                <w:p w14:paraId="24A28B0F"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0.318</w:t>
                                  </w:r>
                                </w:p>
                              </w:tc>
                            </w:tr>
                            <w:tr w:rsidR="007E349F" w:rsidRPr="00702AE0" w14:paraId="490BE9A8"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25EA07AB"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Zn</w:t>
                                  </w:r>
                                </w:p>
                              </w:tc>
                              <w:tc>
                                <w:tcPr>
                                  <w:tcW w:w="1640" w:type="dxa"/>
                                  <w:tcBorders>
                                    <w:top w:val="nil"/>
                                    <w:left w:val="nil"/>
                                    <w:bottom w:val="single" w:sz="4" w:space="0" w:color="auto"/>
                                    <w:right w:val="single" w:sz="4" w:space="0" w:color="auto"/>
                                  </w:tcBorders>
                                  <w:shd w:val="clear" w:color="auto" w:fill="auto"/>
                                  <w:noWrap/>
                                  <w:vAlign w:val="bottom"/>
                                  <w:hideMark/>
                                </w:tcPr>
                                <w:p w14:paraId="1E3500FE"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0.029</w:t>
                                  </w:r>
                                </w:p>
                              </w:tc>
                              <w:tc>
                                <w:tcPr>
                                  <w:tcW w:w="1860" w:type="dxa"/>
                                  <w:tcBorders>
                                    <w:top w:val="nil"/>
                                    <w:left w:val="nil"/>
                                    <w:bottom w:val="single" w:sz="4" w:space="0" w:color="auto"/>
                                    <w:right w:val="single" w:sz="4" w:space="0" w:color="auto"/>
                                  </w:tcBorders>
                                  <w:shd w:val="clear" w:color="auto" w:fill="auto"/>
                                  <w:noWrap/>
                                  <w:vAlign w:val="bottom"/>
                                  <w:hideMark/>
                                </w:tcPr>
                                <w:p w14:paraId="7273C9E4"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0.097</w:t>
                                  </w:r>
                                </w:p>
                              </w:tc>
                              <w:tc>
                                <w:tcPr>
                                  <w:tcW w:w="1600" w:type="dxa"/>
                                  <w:tcBorders>
                                    <w:top w:val="nil"/>
                                    <w:left w:val="nil"/>
                                    <w:bottom w:val="single" w:sz="4" w:space="0" w:color="auto"/>
                                    <w:right w:val="single" w:sz="4" w:space="0" w:color="auto"/>
                                  </w:tcBorders>
                                  <w:shd w:val="clear" w:color="auto" w:fill="auto"/>
                                  <w:noWrap/>
                                  <w:vAlign w:val="bottom"/>
                                  <w:hideMark/>
                                </w:tcPr>
                                <w:p w14:paraId="5F1523D1"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0.063</w:t>
                                  </w:r>
                                </w:p>
                              </w:tc>
                            </w:tr>
                            <w:tr w:rsidR="007E349F" w:rsidRPr="00702AE0" w14:paraId="21DCDFDA"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690FBEFA"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Si</w:t>
                                  </w:r>
                                </w:p>
                              </w:tc>
                              <w:tc>
                                <w:tcPr>
                                  <w:tcW w:w="1640" w:type="dxa"/>
                                  <w:tcBorders>
                                    <w:top w:val="nil"/>
                                    <w:left w:val="nil"/>
                                    <w:bottom w:val="single" w:sz="4" w:space="0" w:color="auto"/>
                                    <w:right w:val="single" w:sz="4" w:space="0" w:color="auto"/>
                                  </w:tcBorders>
                                  <w:shd w:val="clear" w:color="auto" w:fill="auto"/>
                                  <w:noWrap/>
                                  <w:vAlign w:val="bottom"/>
                                  <w:hideMark/>
                                </w:tcPr>
                                <w:p w14:paraId="1C1E5AB5"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0.092</w:t>
                                  </w:r>
                                </w:p>
                              </w:tc>
                              <w:tc>
                                <w:tcPr>
                                  <w:tcW w:w="1860" w:type="dxa"/>
                                  <w:tcBorders>
                                    <w:top w:val="nil"/>
                                    <w:left w:val="nil"/>
                                    <w:bottom w:val="single" w:sz="4" w:space="0" w:color="auto"/>
                                    <w:right w:val="single" w:sz="4" w:space="0" w:color="auto"/>
                                  </w:tcBorders>
                                  <w:shd w:val="clear" w:color="auto" w:fill="auto"/>
                                  <w:noWrap/>
                                  <w:vAlign w:val="bottom"/>
                                  <w:hideMark/>
                                </w:tcPr>
                                <w:p w14:paraId="538A9C15"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0.307</w:t>
                                  </w:r>
                                </w:p>
                              </w:tc>
                              <w:tc>
                                <w:tcPr>
                                  <w:tcW w:w="1600" w:type="dxa"/>
                                  <w:tcBorders>
                                    <w:top w:val="nil"/>
                                    <w:left w:val="nil"/>
                                    <w:bottom w:val="single" w:sz="4" w:space="0" w:color="auto"/>
                                    <w:right w:val="single" w:sz="4" w:space="0" w:color="auto"/>
                                  </w:tcBorders>
                                  <w:shd w:val="clear" w:color="auto" w:fill="auto"/>
                                  <w:noWrap/>
                                  <w:vAlign w:val="bottom"/>
                                  <w:hideMark/>
                                </w:tcPr>
                                <w:p w14:paraId="0792B2AA"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0.199</w:t>
                                  </w:r>
                                </w:p>
                              </w:tc>
                            </w:tr>
                            <w:tr w:rsidR="007E349F" w:rsidRPr="00702AE0" w14:paraId="719755CA"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1847B99"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Ag</w:t>
                                  </w:r>
                                </w:p>
                              </w:tc>
                              <w:tc>
                                <w:tcPr>
                                  <w:tcW w:w="1640" w:type="dxa"/>
                                  <w:tcBorders>
                                    <w:top w:val="nil"/>
                                    <w:left w:val="nil"/>
                                    <w:bottom w:val="single" w:sz="4" w:space="0" w:color="auto"/>
                                    <w:right w:val="single" w:sz="4" w:space="0" w:color="auto"/>
                                  </w:tcBorders>
                                  <w:shd w:val="clear" w:color="auto" w:fill="auto"/>
                                  <w:noWrap/>
                                  <w:vAlign w:val="bottom"/>
                                  <w:hideMark/>
                                </w:tcPr>
                                <w:p w14:paraId="42866869"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0.005</w:t>
                                  </w:r>
                                </w:p>
                              </w:tc>
                              <w:tc>
                                <w:tcPr>
                                  <w:tcW w:w="1860" w:type="dxa"/>
                                  <w:tcBorders>
                                    <w:top w:val="nil"/>
                                    <w:left w:val="nil"/>
                                    <w:bottom w:val="single" w:sz="4" w:space="0" w:color="auto"/>
                                    <w:right w:val="single" w:sz="4" w:space="0" w:color="auto"/>
                                  </w:tcBorders>
                                  <w:shd w:val="clear" w:color="auto" w:fill="auto"/>
                                  <w:noWrap/>
                                  <w:vAlign w:val="bottom"/>
                                  <w:hideMark/>
                                </w:tcPr>
                                <w:p w14:paraId="39605717"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0.017</w:t>
                                  </w:r>
                                </w:p>
                              </w:tc>
                              <w:tc>
                                <w:tcPr>
                                  <w:tcW w:w="1600" w:type="dxa"/>
                                  <w:tcBorders>
                                    <w:top w:val="nil"/>
                                    <w:left w:val="nil"/>
                                    <w:bottom w:val="single" w:sz="4" w:space="0" w:color="auto"/>
                                    <w:right w:val="single" w:sz="4" w:space="0" w:color="auto"/>
                                  </w:tcBorders>
                                  <w:shd w:val="clear" w:color="auto" w:fill="auto"/>
                                  <w:noWrap/>
                                  <w:vAlign w:val="bottom"/>
                                  <w:hideMark/>
                                </w:tcPr>
                                <w:p w14:paraId="3FF9EA1E"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0.011</w:t>
                                  </w:r>
                                </w:p>
                              </w:tc>
                            </w:tr>
                          </w:tbl>
                          <w:p w14:paraId="55C31EDE" w14:textId="77777777" w:rsidR="007E349F" w:rsidRDefault="007E349F" w:rsidP="006A181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1FFBE9" id="_x0000_t202" coordsize="21600,21600" o:spt="202" path="m,l,21600r21600,l21600,xe">
                <v:stroke joinstyle="miter"/>
                <v:path gradientshapeok="t" o:connecttype="rect"/>
              </v:shapetype>
              <v:shape id="Text Box 124" o:spid="_x0000_s1026" type="#_x0000_t202" style="position:absolute;margin-left:63pt;margin-top:-47.35pt;width:342pt;height:387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" filled="f" stroked="f">
                <v:textbox>
                  <w:txbxContent>
                    <w:tbl>
                      <w:tblPr>
                        <w:tblW w:w="6400" w:type="dxa"/>
                        <w:tblInd w:w="93" w:type="dxa"/>
                        <w:tblLook w:val="04A0" w:firstRow="1" w:lastRow="0" w:firstColumn="1" w:lastColumn="0" w:noHBand="0" w:noVBand="1"/>
                      </w:tblPr>
                      <w:tblGrid>
                        <w:gridCol w:w="1300"/>
                        <w:gridCol w:w="1640"/>
                        <w:gridCol w:w="1860"/>
                        <w:gridCol w:w="1600"/>
                      </w:tblGrid>
                      <w:tr w:rsidR="007E349F" w:rsidRPr="00702AE0" w14:paraId="54539A46" w14:textId="77777777" w:rsidTr="00702AE0">
                        <w:trPr>
                          <w:trHeight w:val="300"/>
                        </w:trPr>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B4A6A1" w14:textId="77777777" w:rsidR="007E349F" w:rsidRPr="00702AE0" w:rsidRDefault="007E349F" w:rsidP="00702AE0">
                            <w:pPr>
                              <w:spacing w:after="0" w:line="240" w:lineRule="auto"/>
                              <w:rPr>
                                <w:rFonts w:ascii="Calibri" w:eastAsia="Times New Roman" w:hAnsi="Calibri" w:cs="Times New Roman"/>
                                <w:color w:val="000000"/>
                              </w:rPr>
                            </w:pPr>
                            <w:r w:rsidRPr="00702AE0">
                              <w:rPr>
                                <w:rFonts w:ascii="Calibri" w:eastAsia="Times New Roman" w:hAnsi="Calibri" w:cs="Times New Roman"/>
                                <w:color w:val="000000"/>
                              </w:rPr>
                              <w:t> </w:t>
                            </w:r>
                          </w:p>
                        </w:tc>
                        <w:tc>
                          <w:tcPr>
                            <w:tcW w:w="1640" w:type="dxa"/>
                            <w:tcBorders>
                              <w:top w:val="single" w:sz="4" w:space="0" w:color="auto"/>
                              <w:left w:val="nil"/>
                              <w:bottom w:val="single" w:sz="4" w:space="0" w:color="auto"/>
                              <w:right w:val="nil"/>
                            </w:tcBorders>
                            <w:shd w:val="clear" w:color="auto" w:fill="auto"/>
                            <w:noWrap/>
                            <w:vAlign w:val="bottom"/>
                            <w:hideMark/>
                          </w:tcPr>
                          <w:p w14:paraId="61693E5C"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Detection Limit</w:t>
                            </w:r>
                          </w:p>
                        </w:tc>
                        <w:tc>
                          <w:tcPr>
                            <w:tcW w:w="18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8A4164"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Quantitative Limit</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5BFB575E"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 xml:space="preserve"> PCA TR value</w:t>
                            </w:r>
                          </w:p>
                        </w:tc>
                      </w:tr>
                      <w:tr w:rsidR="007E349F" w:rsidRPr="00702AE0" w14:paraId="2F38BE24"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26524334"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Al</w:t>
                            </w:r>
                          </w:p>
                        </w:tc>
                        <w:tc>
                          <w:tcPr>
                            <w:tcW w:w="1640" w:type="dxa"/>
                            <w:tcBorders>
                              <w:top w:val="nil"/>
                              <w:left w:val="nil"/>
                              <w:bottom w:val="single" w:sz="4" w:space="0" w:color="auto"/>
                              <w:right w:val="single" w:sz="4" w:space="0" w:color="auto"/>
                            </w:tcBorders>
                            <w:shd w:val="clear" w:color="auto" w:fill="auto"/>
                            <w:noWrap/>
                            <w:vAlign w:val="bottom"/>
                            <w:hideMark/>
                          </w:tcPr>
                          <w:p w14:paraId="3CE8D837"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0.039</w:t>
                            </w:r>
                          </w:p>
                        </w:tc>
                        <w:tc>
                          <w:tcPr>
                            <w:tcW w:w="1860" w:type="dxa"/>
                            <w:tcBorders>
                              <w:top w:val="nil"/>
                              <w:left w:val="nil"/>
                              <w:bottom w:val="single" w:sz="4" w:space="0" w:color="auto"/>
                              <w:right w:val="single" w:sz="4" w:space="0" w:color="auto"/>
                            </w:tcBorders>
                            <w:shd w:val="clear" w:color="auto" w:fill="auto"/>
                            <w:noWrap/>
                            <w:vAlign w:val="bottom"/>
                            <w:hideMark/>
                          </w:tcPr>
                          <w:p w14:paraId="4BBB83E8"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0.130</w:t>
                            </w:r>
                          </w:p>
                        </w:tc>
                        <w:tc>
                          <w:tcPr>
                            <w:tcW w:w="1600" w:type="dxa"/>
                            <w:tcBorders>
                              <w:top w:val="nil"/>
                              <w:left w:val="nil"/>
                              <w:bottom w:val="single" w:sz="4" w:space="0" w:color="auto"/>
                              <w:right w:val="single" w:sz="4" w:space="0" w:color="auto"/>
                            </w:tcBorders>
                            <w:shd w:val="clear" w:color="auto" w:fill="auto"/>
                            <w:noWrap/>
                            <w:vAlign w:val="bottom"/>
                            <w:hideMark/>
                          </w:tcPr>
                          <w:p w14:paraId="73C03185"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0.084</w:t>
                            </w:r>
                          </w:p>
                        </w:tc>
                      </w:tr>
                      <w:tr w:rsidR="007E349F" w:rsidRPr="00702AE0" w14:paraId="6B3A0F98"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2EE34A9D"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As</w:t>
                            </w:r>
                          </w:p>
                        </w:tc>
                        <w:tc>
                          <w:tcPr>
                            <w:tcW w:w="1640" w:type="dxa"/>
                            <w:tcBorders>
                              <w:top w:val="nil"/>
                              <w:left w:val="nil"/>
                              <w:bottom w:val="single" w:sz="4" w:space="0" w:color="auto"/>
                              <w:right w:val="single" w:sz="4" w:space="0" w:color="auto"/>
                            </w:tcBorders>
                            <w:shd w:val="clear" w:color="auto" w:fill="auto"/>
                            <w:noWrap/>
                            <w:vAlign w:val="bottom"/>
                            <w:hideMark/>
                          </w:tcPr>
                          <w:p w14:paraId="60B23336"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0.083</w:t>
                            </w:r>
                          </w:p>
                        </w:tc>
                        <w:tc>
                          <w:tcPr>
                            <w:tcW w:w="1860" w:type="dxa"/>
                            <w:tcBorders>
                              <w:top w:val="nil"/>
                              <w:left w:val="nil"/>
                              <w:bottom w:val="single" w:sz="4" w:space="0" w:color="auto"/>
                              <w:right w:val="single" w:sz="4" w:space="0" w:color="auto"/>
                            </w:tcBorders>
                            <w:shd w:val="clear" w:color="auto" w:fill="auto"/>
                            <w:noWrap/>
                            <w:vAlign w:val="bottom"/>
                            <w:hideMark/>
                          </w:tcPr>
                          <w:p w14:paraId="2F639814"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0.277</w:t>
                            </w:r>
                          </w:p>
                        </w:tc>
                        <w:tc>
                          <w:tcPr>
                            <w:tcW w:w="1600" w:type="dxa"/>
                            <w:tcBorders>
                              <w:top w:val="nil"/>
                              <w:left w:val="nil"/>
                              <w:bottom w:val="single" w:sz="4" w:space="0" w:color="auto"/>
                              <w:right w:val="single" w:sz="4" w:space="0" w:color="auto"/>
                            </w:tcBorders>
                            <w:shd w:val="clear" w:color="auto" w:fill="auto"/>
                            <w:noWrap/>
                            <w:vAlign w:val="bottom"/>
                            <w:hideMark/>
                          </w:tcPr>
                          <w:p w14:paraId="1ACDFB9A"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0.180</w:t>
                            </w:r>
                          </w:p>
                        </w:tc>
                      </w:tr>
                      <w:tr w:rsidR="007E349F" w:rsidRPr="00702AE0" w14:paraId="2934D7F6"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2D753374"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B</w:t>
                            </w:r>
                          </w:p>
                        </w:tc>
                        <w:tc>
                          <w:tcPr>
                            <w:tcW w:w="1640" w:type="dxa"/>
                            <w:tcBorders>
                              <w:top w:val="nil"/>
                              <w:left w:val="nil"/>
                              <w:bottom w:val="single" w:sz="4" w:space="0" w:color="auto"/>
                              <w:right w:val="single" w:sz="4" w:space="0" w:color="auto"/>
                            </w:tcBorders>
                            <w:shd w:val="clear" w:color="auto" w:fill="auto"/>
                            <w:noWrap/>
                            <w:vAlign w:val="bottom"/>
                            <w:hideMark/>
                          </w:tcPr>
                          <w:p w14:paraId="0443BF16"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0.009</w:t>
                            </w:r>
                          </w:p>
                        </w:tc>
                        <w:tc>
                          <w:tcPr>
                            <w:tcW w:w="1860" w:type="dxa"/>
                            <w:tcBorders>
                              <w:top w:val="nil"/>
                              <w:left w:val="nil"/>
                              <w:bottom w:val="single" w:sz="4" w:space="0" w:color="auto"/>
                              <w:right w:val="single" w:sz="4" w:space="0" w:color="auto"/>
                            </w:tcBorders>
                            <w:shd w:val="clear" w:color="auto" w:fill="auto"/>
                            <w:noWrap/>
                            <w:vAlign w:val="bottom"/>
                            <w:hideMark/>
                          </w:tcPr>
                          <w:p w14:paraId="36066F95"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0.030</w:t>
                            </w:r>
                          </w:p>
                        </w:tc>
                        <w:tc>
                          <w:tcPr>
                            <w:tcW w:w="1600" w:type="dxa"/>
                            <w:tcBorders>
                              <w:top w:val="nil"/>
                              <w:left w:val="nil"/>
                              <w:bottom w:val="single" w:sz="4" w:space="0" w:color="auto"/>
                              <w:right w:val="single" w:sz="4" w:space="0" w:color="auto"/>
                            </w:tcBorders>
                            <w:shd w:val="clear" w:color="auto" w:fill="auto"/>
                            <w:noWrap/>
                            <w:vAlign w:val="bottom"/>
                            <w:hideMark/>
                          </w:tcPr>
                          <w:p w14:paraId="2FF370A3"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0.019</w:t>
                            </w:r>
                          </w:p>
                        </w:tc>
                      </w:tr>
                      <w:tr w:rsidR="007E349F" w:rsidRPr="00702AE0" w14:paraId="611D52B9"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6B4DBB6D"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Ba</w:t>
                            </w:r>
                          </w:p>
                        </w:tc>
                        <w:tc>
                          <w:tcPr>
                            <w:tcW w:w="1640" w:type="dxa"/>
                            <w:tcBorders>
                              <w:top w:val="nil"/>
                              <w:left w:val="nil"/>
                              <w:bottom w:val="single" w:sz="4" w:space="0" w:color="auto"/>
                              <w:right w:val="single" w:sz="4" w:space="0" w:color="auto"/>
                            </w:tcBorders>
                            <w:shd w:val="clear" w:color="auto" w:fill="auto"/>
                            <w:noWrap/>
                            <w:vAlign w:val="bottom"/>
                            <w:hideMark/>
                          </w:tcPr>
                          <w:p w14:paraId="201C343E"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0.006</w:t>
                            </w:r>
                          </w:p>
                        </w:tc>
                        <w:tc>
                          <w:tcPr>
                            <w:tcW w:w="1860" w:type="dxa"/>
                            <w:tcBorders>
                              <w:top w:val="nil"/>
                              <w:left w:val="nil"/>
                              <w:bottom w:val="single" w:sz="4" w:space="0" w:color="auto"/>
                              <w:right w:val="single" w:sz="4" w:space="0" w:color="auto"/>
                            </w:tcBorders>
                            <w:shd w:val="clear" w:color="auto" w:fill="auto"/>
                            <w:noWrap/>
                            <w:vAlign w:val="bottom"/>
                            <w:hideMark/>
                          </w:tcPr>
                          <w:p w14:paraId="750CFADF"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0.020</w:t>
                            </w:r>
                          </w:p>
                        </w:tc>
                        <w:tc>
                          <w:tcPr>
                            <w:tcW w:w="1600" w:type="dxa"/>
                            <w:tcBorders>
                              <w:top w:val="nil"/>
                              <w:left w:val="nil"/>
                              <w:bottom w:val="single" w:sz="4" w:space="0" w:color="auto"/>
                              <w:right w:val="single" w:sz="4" w:space="0" w:color="auto"/>
                            </w:tcBorders>
                            <w:shd w:val="clear" w:color="auto" w:fill="auto"/>
                            <w:noWrap/>
                            <w:vAlign w:val="bottom"/>
                            <w:hideMark/>
                          </w:tcPr>
                          <w:p w14:paraId="0E0140BD"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0.013</w:t>
                            </w:r>
                          </w:p>
                        </w:tc>
                      </w:tr>
                      <w:tr w:rsidR="007E349F" w:rsidRPr="00702AE0" w14:paraId="56DD7FB0"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CFB68A9"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Ca</w:t>
                            </w:r>
                          </w:p>
                        </w:tc>
                        <w:tc>
                          <w:tcPr>
                            <w:tcW w:w="1640" w:type="dxa"/>
                            <w:tcBorders>
                              <w:top w:val="nil"/>
                              <w:left w:val="nil"/>
                              <w:bottom w:val="single" w:sz="4" w:space="0" w:color="auto"/>
                              <w:right w:val="single" w:sz="4" w:space="0" w:color="auto"/>
                            </w:tcBorders>
                            <w:shd w:val="clear" w:color="auto" w:fill="auto"/>
                            <w:noWrap/>
                            <w:vAlign w:val="bottom"/>
                            <w:hideMark/>
                          </w:tcPr>
                          <w:p w14:paraId="13EAF2FD"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0.056</w:t>
                            </w:r>
                          </w:p>
                        </w:tc>
                        <w:tc>
                          <w:tcPr>
                            <w:tcW w:w="1860" w:type="dxa"/>
                            <w:tcBorders>
                              <w:top w:val="nil"/>
                              <w:left w:val="nil"/>
                              <w:bottom w:val="single" w:sz="4" w:space="0" w:color="auto"/>
                              <w:right w:val="single" w:sz="4" w:space="0" w:color="auto"/>
                            </w:tcBorders>
                            <w:shd w:val="clear" w:color="auto" w:fill="auto"/>
                            <w:noWrap/>
                            <w:vAlign w:val="bottom"/>
                            <w:hideMark/>
                          </w:tcPr>
                          <w:p w14:paraId="37789459"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0.187</w:t>
                            </w:r>
                          </w:p>
                        </w:tc>
                        <w:tc>
                          <w:tcPr>
                            <w:tcW w:w="1600" w:type="dxa"/>
                            <w:tcBorders>
                              <w:top w:val="nil"/>
                              <w:left w:val="nil"/>
                              <w:bottom w:val="single" w:sz="4" w:space="0" w:color="auto"/>
                              <w:right w:val="single" w:sz="4" w:space="0" w:color="auto"/>
                            </w:tcBorders>
                            <w:shd w:val="clear" w:color="auto" w:fill="auto"/>
                            <w:noWrap/>
                            <w:vAlign w:val="bottom"/>
                            <w:hideMark/>
                          </w:tcPr>
                          <w:p w14:paraId="27DFFC44"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0.121</w:t>
                            </w:r>
                          </w:p>
                        </w:tc>
                      </w:tr>
                      <w:tr w:rsidR="007E349F" w:rsidRPr="00702AE0" w14:paraId="5EB2B139"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0A786B9E"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Cd</w:t>
                            </w:r>
                          </w:p>
                        </w:tc>
                        <w:tc>
                          <w:tcPr>
                            <w:tcW w:w="1640" w:type="dxa"/>
                            <w:tcBorders>
                              <w:top w:val="nil"/>
                              <w:left w:val="nil"/>
                              <w:bottom w:val="single" w:sz="4" w:space="0" w:color="auto"/>
                              <w:right w:val="single" w:sz="4" w:space="0" w:color="auto"/>
                            </w:tcBorders>
                            <w:shd w:val="clear" w:color="auto" w:fill="auto"/>
                            <w:noWrap/>
                            <w:vAlign w:val="bottom"/>
                            <w:hideMark/>
                          </w:tcPr>
                          <w:p w14:paraId="48C5365C"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0.046</w:t>
                            </w:r>
                          </w:p>
                        </w:tc>
                        <w:tc>
                          <w:tcPr>
                            <w:tcW w:w="1860" w:type="dxa"/>
                            <w:tcBorders>
                              <w:top w:val="nil"/>
                              <w:left w:val="nil"/>
                              <w:bottom w:val="single" w:sz="4" w:space="0" w:color="auto"/>
                              <w:right w:val="single" w:sz="4" w:space="0" w:color="auto"/>
                            </w:tcBorders>
                            <w:shd w:val="clear" w:color="auto" w:fill="auto"/>
                            <w:noWrap/>
                            <w:vAlign w:val="bottom"/>
                            <w:hideMark/>
                          </w:tcPr>
                          <w:p w14:paraId="50C33678"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0.153</w:t>
                            </w:r>
                          </w:p>
                        </w:tc>
                        <w:tc>
                          <w:tcPr>
                            <w:tcW w:w="1600" w:type="dxa"/>
                            <w:tcBorders>
                              <w:top w:val="nil"/>
                              <w:left w:val="nil"/>
                              <w:bottom w:val="single" w:sz="4" w:space="0" w:color="auto"/>
                              <w:right w:val="single" w:sz="4" w:space="0" w:color="auto"/>
                            </w:tcBorders>
                            <w:shd w:val="clear" w:color="auto" w:fill="auto"/>
                            <w:noWrap/>
                            <w:vAlign w:val="bottom"/>
                            <w:hideMark/>
                          </w:tcPr>
                          <w:p w14:paraId="6C0D8BA2"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0.100</w:t>
                            </w:r>
                          </w:p>
                        </w:tc>
                      </w:tr>
                      <w:tr w:rsidR="007E349F" w:rsidRPr="00702AE0" w14:paraId="656AA736"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0845BCCA"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Cr</w:t>
                            </w:r>
                          </w:p>
                        </w:tc>
                        <w:tc>
                          <w:tcPr>
                            <w:tcW w:w="1640" w:type="dxa"/>
                            <w:tcBorders>
                              <w:top w:val="nil"/>
                              <w:left w:val="nil"/>
                              <w:bottom w:val="single" w:sz="4" w:space="0" w:color="auto"/>
                              <w:right w:val="single" w:sz="4" w:space="0" w:color="auto"/>
                            </w:tcBorders>
                            <w:shd w:val="clear" w:color="auto" w:fill="auto"/>
                            <w:noWrap/>
                            <w:vAlign w:val="bottom"/>
                            <w:hideMark/>
                          </w:tcPr>
                          <w:p w14:paraId="76684621"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0.042</w:t>
                            </w:r>
                          </w:p>
                        </w:tc>
                        <w:tc>
                          <w:tcPr>
                            <w:tcW w:w="1860" w:type="dxa"/>
                            <w:tcBorders>
                              <w:top w:val="nil"/>
                              <w:left w:val="nil"/>
                              <w:bottom w:val="single" w:sz="4" w:space="0" w:color="auto"/>
                              <w:right w:val="single" w:sz="4" w:space="0" w:color="auto"/>
                            </w:tcBorders>
                            <w:shd w:val="clear" w:color="auto" w:fill="auto"/>
                            <w:noWrap/>
                            <w:vAlign w:val="bottom"/>
                            <w:hideMark/>
                          </w:tcPr>
                          <w:p w14:paraId="19575B66"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0.140</w:t>
                            </w:r>
                          </w:p>
                        </w:tc>
                        <w:tc>
                          <w:tcPr>
                            <w:tcW w:w="1600" w:type="dxa"/>
                            <w:tcBorders>
                              <w:top w:val="nil"/>
                              <w:left w:val="nil"/>
                              <w:bottom w:val="single" w:sz="4" w:space="0" w:color="auto"/>
                              <w:right w:val="single" w:sz="4" w:space="0" w:color="auto"/>
                            </w:tcBorders>
                            <w:shd w:val="clear" w:color="auto" w:fill="auto"/>
                            <w:noWrap/>
                            <w:vAlign w:val="bottom"/>
                            <w:hideMark/>
                          </w:tcPr>
                          <w:p w14:paraId="475A11D3"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0.091</w:t>
                            </w:r>
                          </w:p>
                        </w:tc>
                      </w:tr>
                      <w:tr w:rsidR="007E349F" w:rsidRPr="00702AE0" w14:paraId="0D73B581"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479DC178"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Cu</w:t>
                            </w:r>
                          </w:p>
                        </w:tc>
                        <w:tc>
                          <w:tcPr>
                            <w:tcW w:w="1640" w:type="dxa"/>
                            <w:tcBorders>
                              <w:top w:val="nil"/>
                              <w:left w:val="nil"/>
                              <w:bottom w:val="single" w:sz="4" w:space="0" w:color="auto"/>
                              <w:right w:val="single" w:sz="4" w:space="0" w:color="auto"/>
                            </w:tcBorders>
                            <w:shd w:val="clear" w:color="auto" w:fill="auto"/>
                            <w:noWrap/>
                            <w:vAlign w:val="bottom"/>
                            <w:hideMark/>
                          </w:tcPr>
                          <w:p w14:paraId="0A14064B"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0.019</w:t>
                            </w:r>
                          </w:p>
                        </w:tc>
                        <w:tc>
                          <w:tcPr>
                            <w:tcW w:w="1860" w:type="dxa"/>
                            <w:tcBorders>
                              <w:top w:val="nil"/>
                              <w:left w:val="nil"/>
                              <w:bottom w:val="single" w:sz="4" w:space="0" w:color="auto"/>
                              <w:right w:val="single" w:sz="4" w:space="0" w:color="auto"/>
                            </w:tcBorders>
                            <w:shd w:val="clear" w:color="auto" w:fill="auto"/>
                            <w:noWrap/>
                            <w:vAlign w:val="bottom"/>
                            <w:hideMark/>
                          </w:tcPr>
                          <w:p w14:paraId="3D421BBA"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0.063</w:t>
                            </w:r>
                          </w:p>
                        </w:tc>
                        <w:tc>
                          <w:tcPr>
                            <w:tcW w:w="1600" w:type="dxa"/>
                            <w:tcBorders>
                              <w:top w:val="nil"/>
                              <w:left w:val="nil"/>
                              <w:bottom w:val="single" w:sz="4" w:space="0" w:color="auto"/>
                              <w:right w:val="single" w:sz="4" w:space="0" w:color="auto"/>
                            </w:tcBorders>
                            <w:shd w:val="clear" w:color="auto" w:fill="auto"/>
                            <w:noWrap/>
                            <w:vAlign w:val="bottom"/>
                            <w:hideMark/>
                          </w:tcPr>
                          <w:p w14:paraId="2C2E760E"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0.041</w:t>
                            </w:r>
                          </w:p>
                        </w:tc>
                      </w:tr>
                      <w:tr w:rsidR="007E349F" w:rsidRPr="00702AE0" w14:paraId="0AE4C4A9"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2B06D51B"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Fe</w:t>
                            </w:r>
                          </w:p>
                        </w:tc>
                        <w:tc>
                          <w:tcPr>
                            <w:tcW w:w="1640" w:type="dxa"/>
                            <w:tcBorders>
                              <w:top w:val="nil"/>
                              <w:left w:val="nil"/>
                              <w:bottom w:val="single" w:sz="4" w:space="0" w:color="auto"/>
                              <w:right w:val="single" w:sz="4" w:space="0" w:color="auto"/>
                            </w:tcBorders>
                            <w:shd w:val="clear" w:color="auto" w:fill="auto"/>
                            <w:noWrap/>
                            <w:vAlign w:val="bottom"/>
                            <w:hideMark/>
                          </w:tcPr>
                          <w:p w14:paraId="402A2BF9"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0.019</w:t>
                            </w:r>
                          </w:p>
                        </w:tc>
                        <w:tc>
                          <w:tcPr>
                            <w:tcW w:w="1860" w:type="dxa"/>
                            <w:tcBorders>
                              <w:top w:val="nil"/>
                              <w:left w:val="nil"/>
                              <w:bottom w:val="single" w:sz="4" w:space="0" w:color="auto"/>
                              <w:right w:val="single" w:sz="4" w:space="0" w:color="auto"/>
                            </w:tcBorders>
                            <w:shd w:val="clear" w:color="auto" w:fill="auto"/>
                            <w:noWrap/>
                            <w:vAlign w:val="bottom"/>
                            <w:hideMark/>
                          </w:tcPr>
                          <w:p w14:paraId="2CE5CE05"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0.063</w:t>
                            </w:r>
                          </w:p>
                        </w:tc>
                        <w:tc>
                          <w:tcPr>
                            <w:tcW w:w="1600" w:type="dxa"/>
                            <w:tcBorders>
                              <w:top w:val="nil"/>
                              <w:left w:val="nil"/>
                              <w:bottom w:val="single" w:sz="4" w:space="0" w:color="auto"/>
                              <w:right w:val="single" w:sz="4" w:space="0" w:color="auto"/>
                            </w:tcBorders>
                            <w:shd w:val="clear" w:color="auto" w:fill="auto"/>
                            <w:noWrap/>
                            <w:vAlign w:val="bottom"/>
                            <w:hideMark/>
                          </w:tcPr>
                          <w:p w14:paraId="071D5223"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0.041</w:t>
                            </w:r>
                          </w:p>
                        </w:tc>
                      </w:tr>
                      <w:tr w:rsidR="007E349F" w:rsidRPr="00702AE0" w14:paraId="3CC3B2CC"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055946DD"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K</w:t>
                            </w:r>
                          </w:p>
                        </w:tc>
                        <w:tc>
                          <w:tcPr>
                            <w:tcW w:w="1640" w:type="dxa"/>
                            <w:tcBorders>
                              <w:top w:val="nil"/>
                              <w:left w:val="nil"/>
                              <w:bottom w:val="single" w:sz="4" w:space="0" w:color="auto"/>
                              <w:right w:val="single" w:sz="4" w:space="0" w:color="auto"/>
                            </w:tcBorders>
                            <w:shd w:val="clear" w:color="auto" w:fill="auto"/>
                            <w:noWrap/>
                            <w:vAlign w:val="bottom"/>
                            <w:hideMark/>
                          </w:tcPr>
                          <w:p w14:paraId="4D0039FE"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0.395</w:t>
                            </w:r>
                          </w:p>
                        </w:tc>
                        <w:tc>
                          <w:tcPr>
                            <w:tcW w:w="1860" w:type="dxa"/>
                            <w:tcBorders>
                              <w:top w:val="nil"/>
                              <w:left w:val="nil"/>
                              <w:bottom w:val="single" w:sz="4" w:space="0" w:color="auto"/>
                              <w:right w:val="single" w:sz="4" w:space="0" w:color="auto"/>
                            </w:tcBorders>
                            <w:shd w:val="clear" w:color="auto" w:fill="auto"/>
                            <w:noWrap/>
                            <w:vAlign w:val="bottom"/>
                            <w:hideMark/>
                          </w:tcPr>
                          <w:p w14:paraId="1CBD9779"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1.317</w:t>
                            </w:r>
                          </w:p>
                        </w:tc>
                        <w:tc>
                          <w:tcPr>
                            <w:tcW w:w="1600" w:type="dxa"/>
                            <w:tcBorders>
                              <w:top w:val="nil"/>
                              <w:left w:val="nil"/>
                              <w:bottom w:val="single" w:sz="4" w:space="0" w:color="auto"/>
                              <w:right w:val="single" w:sz="4" w:space="0" w:color="auto"/>
                            </w:tcBorders>
                            <w:shd w:val="clear" w:color="auto" w:fill="auto"/>
                            <w:noWrap/>
                            <w:vAlign w:val="bottom"/>
                            <w:hideMark/>
                          </w:tcPr>
                          <w:p w14:paraId="3068BA66"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0.856</w:t>
                            </w:r>
                          </w:p>
                        </w:tc>
                      </w:tr>
                      <w:tr w:rsidR="007E349F" w:rsidRPr="00702AE0" w14:paraId="04D947A2"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AAF0A7C"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Mg</w:t>
                            </w:r>
                          </w:p>
                        </w:tc>
                        <w:tc>
                          <w:tcPr>
                            <w:tcW w:w="1640" w:type="dxa"/>
                            <w:tcBorders>
                              <w:top w:val="nil"/>
                              <w:left w:val="nil"/>
                              <w:bottom w:val="single" w:sz="4" w:space="0" w:color="auto"/>
                              <w:right w:val="single" w:sz="4" w:space="0" w:color="auto"/>
                            </w:tcBorders>
                            <w:shd w:val="clear" w:color="auto" w:fill="auto"/>
                            <w:noWrap/>
                            <w:vAlign w:val="bottom"/>
                            <w:hideMark/>
                          </w:tcPr>
                          <w:p w14:paraId="683210BC"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0.109</w:t>
                            </w:r>
                          </w:p>
                        </w:tc>
                        <w:tc>
                          <w:tcPr>
                            <w:tcW w:w="1860" w:type="dxa"/>
                            <w:tcBorders>
                              <w:top w:val="nil"/>
                              <w:left w:val="nil"/>
                              <w:bottom w:val="single" w:sz="4" w:space="0" w:color="auto"/>
                              <w:right w:val="single" w:sz="4" w:space="0" w:color="auto"/>
                            </w:tcBorders>
                            <w:shd w:val="clear" w:color="auto" w:fill="auto"/>
                            <w:noWrap/>
                            <w:vAlign w:val="bottom"/>
                            <w:hideMark/>
                          </w:tcPr>
                          <w:p w14:paraId="63B8E665"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0.363</w:t>
                            </w:r>
                          </w:p>
                        </w:tc>
                        <w:tc>
                          <w:tcPr>
                            <w:tcW w:w="1600" w:type="dxa"/>
                            <w:tcBorders>
                              <w:top w:val="nil"/>
                              <w:left w:val="nil"/>
                              <w:bottom w:val="single" w:sz="4" w:space="0" w:color="auto"/>
                              <w:right w:val="single" w:sz="4" w:space="0" w:color="auto"/>
                            </w:tcBorders>
                            <w:shd w:val="clear" w:color="auto" w:fill="auto"/>
                            <w:noWrap/>
                            <w:vAlign w:val="bottom"/>
                            <w:hideMark/>
                          </w:tcPr>
                          <w:p w14:paraId="476B9253"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0.236</w:t>
                            </w:r>
                          </w:p>
                        </w:tc>
                      </w:tr>
                      <w:tr w:rsidR="007E349F" w:rsidRPr="00702AE0" w14:paraId="5EF81F97"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1E9DBE49"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Mn</w:t>
                            </w:r>
                          </w:p>
                        </w:tc>
                        <w:tc>
                          <w:tcPr>
                            <w:tcW w:w="1640" w:type="dxa"/>
                            <w:tcBorders>
                              <w:top w:val="nil"/>
                              <w:left w:val="nil"/>
                              <w:bottom w:val="single" w:sz="4" w:space="0" w:color="auto"/>
                              <w:right w:val="single" w:sz="4" w:space="0" w:color="auto"/>
                            </w:tcBorders>
                            <w:shd w:val="clear" w:color="auto" w:fill="auto"/>
                            <w:noWrap/>
                            <w:vAlign w:val="bottom"/>
                            <w:hideMark/>
                          </w:tcPr>
                          <w:p w14:paraId="2499C559"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0.003</w:t>
                            </w:r>
                          </w:p>
                        </w:tc>
                        <w:tc>
                          <w:tcPr>
                            <w:tcW w:w="1860" w:type="dxa"/>
                            <w:tcBorders>
                              <w:top w:val="nil"/>
                              <w:left w:val="nil"/>
                              <w:bottom w:val="single" w:sz="4" w:space="0" w:color="auto"/>
                              <w:right w:val="single" w:sz="4" w:space="0" w:color="auto"/>
                            </w:tcBorders>
                            <w:shd w:val="clear" w:color="auto" w:fill="auto"/>
                            <w:noWrap/>
                            <w:vAlign w:val="bottom"/>
                            <w:hideMark/>
                          </w:tcPr>
                          <w:p w14:paraId="3A349E1B"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0.010</w:t>
                            </w:r>
                          </w:p>
                        </w:tc>
                        <w:tc>
                          <w:tcPr>
                            <w:tcW w:w="1600" w:type="dxa"/>
                            <w:tcBorders>
                              <w:top w:val="nil"/>
                              <w:left w:val="nil"/>
                              <w:bottom w:val="single" w:sz="4" w:space="0" w:color="auto"/>
                              <w:right w:val="single" w:sz="4" w:space="0" w:color="auto"/>
                            </w:tcBorders>
                            <w:shd w:val="clear" w:color="auto" w:fill="auto"/>
                            <w:noWrap/>
                            <w:vAlign w:val="bottom"/>
                            <w:hideMark/>
                          </w:tcPr>
                          <w:p w14:paraId="0FA2432F"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0.006</w:t>
                            </w:r>
                          </w:p>
                        </w:tc>
                      </w:tr>
                      <w:tr w:rsidR="007E349F" w:rsidRPr="00702AE0" w14:paraId="3F7EE3E5"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6FE0C290"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Mo</w:t>
                            </w:r>
                          </w:p>
                        </w:tc>
                        <w:tc>
                          <w:tcPr>
                            <w:tcW w:w="1640" w:type="dxa"/>
                            <w:tcBorders>
                              <w:top w:val="nil"/>
                              <w:left w:val="nil"/>
                              <w:bottom w:val="single" w:sz="4" w:space="0" w:color="auto"/>
                              <w:right w:val="single" w:sz="4" w:space="0" w:color="auto"/>
                            </w:tcBorders>
                            <w:shd w:val="clear" w:color="auto" w:fill="auto"/>
                            <w:noWrap/>
                            <w:vAlign w:val="bottom"/>
                            <w:hideMark/>
                          </w:tcPr>
                          <w:p w14:paraId="1C94FEEF"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0.018</w:t>
                            </w:r>
                          </w:p>
                        </w:tc>
                        <w:tc>
                          <w:tcPr>
                            <w:tcW w:w="1860" w:type="dxa"/>
                            <w:tcBorders>
                              <w:top w:val="nil"/>
                              <w:left w:val="nil"/>
                              <w:bottom w:val="single" w:sz="4" w:space="0" w:color="auto"/>
                              <w:right w:val="single" w:sz="4" w:space="0" w:color="auto"/>
                            </w:tcBorders>
                            <w:shd w:val="clear" w:color="auto" w:fill="auto"/>
                            <w:noWrap/>
                            <w:vAlign w:val="bottom"/>
                            <w:hideMark/>
                          </w:tcPr>
                          <w:p w14:paraId="1B04CA9A"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0.060</w:t>
                            </w:r>
                          </w:p>
                        </w:tc>
                        <w:tc>
                          <w:tcPr>
                            <w:tcW w:w="1600" w:type="dxa"/>
                            <w:tcBorders>
                              <w:top w:val="nil"/>
                              <w:left w:val="nil"/>
                              <w:bottom w:val="single" w:sz="4" w:space="0" w:color="auto"/>
                              <w:right w:val="single" w:sz="4" w:space="0" w:color="auto"/>
                            </w:tcBorders>
                            <w:shd w:val="clear" w:color="auto" w:fill="auto"/>
                            <w:noWrap/>
                            <w:vAlign w:val="bottom"/>
                            <w:hideMark/>
                          </w:tcPr>
                          <w:p w14:paraId="21DD3D21"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0.039</w:t>
                            </w:r>
                          </w:p>
                        </w:tc>
                      </w:tr>
                      <w:tr w:rsidR="007E349F" w:rsidRPr="00702AE0" w14:paraId="36F3B4B6"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01F997EB"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Na</w:t>
                            </w:r>
                          </w:p>
                        </w:tc>
                        <w:tc>
                          <w:tcPr>
                            <w:tcW w:w="1640" w:type="dxa"/>
                            <w:tcBorders>
                              <w:top w:val="nil"/>
                              <w:left w:val="nil"/>
                              <w:bottom w:val="single" w:sz="4" w:space="0" w:color="auto"/>
                              <w:right w:val="single" w:sz="4" w:space="0" w:color="auto"/>
                            </w:tcBorders>
                            <w:shd w:val="clear" w:color="auto" w:fill="auto"/>
                            <w:noWrap/>
                            <w:vAlign w:val="bottom"/>
                            <w:hideMark/>
                          </w:tcPr>
                          <w:p w14:paraId="5F45D009"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0.10</w:t>
                            </w:r>
                          </w:p>
                        </w:tc>
                        <w:tc>
                          <w:tcPr>
                            <w:tcW w:w="1860" w:type="dxa"/>
                            <w:tcBorders>
                              <w:top w:val="nil"/>
                              <w:left w:val="nil"/>
                              <w:bottom w:val="single" w:sz="4" w:space="0" w:color="auto"/>
                              <w:right w:val="single" w:sz="4" w:space="0" w:color="auto"/>
                            </w:tcBorders>
                            <w:shd w:val="clear" w:color="auto" w:fill="auto"/>
                            <w:noWrap/>
                            <w:vAlign w:val="bottom"/>
                            <w:hideMark/>
                          </w:tcPr>
                          <w:p w14:paraId="144AD5EC"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0.34</w:t>
                            </w:r>
                          </w:p>
                        </w:tc>
                        <w:tc>
                          <w:tcPr>
                            <w:tcW w:w="1600" w:type="dxa"/>
                            <w:tcBorders>
                              <w:top w:val="nil"/>
                              <w:left w:val="nil"/>
                              <w:bottom w:val="single" w:sz="4" w:space="0" w:color="auto"/>
                              <w:right w:val="single" w:sz="4" w:space="0" w:color="auto"/>
                            </w:tcBorders>
                            <w:shd w:val="clear" w:color="auto" w:fill="auto"/>
                            <w:noWrap/>
                            <w:vAlign w:val="bottom"/>
                            <w:hideMark/>
                          </w:tcPr>
                          <w:p w14:paraId="15FD7164"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0.219</w:t>
                            </w:r>
                          </w:p>
                        </w:tc>
                      </w:tr>
                      <w:tr w:rsidR="007E349F" w:rsidRPr="00702AE0" w14:paraId="5288CDD2"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E688A7A"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Ni</w:t>
                            </w:r>
                          </w:p>
                        </w:tc>
                        <w:tc>
                          <w:tcPr>
                            <w:tcW w:w="1640" w:type="dxa"/>
                            <w:tcBorders>
                              <w:top w:val="nil"/>
                              <w:left w:val="nil"/>
                              <w:bottom w:val="single" w:sz="4" w:space="0" w:color="auto"/>
                              <w:right w:val="single" w:sz="4" w:space="0" w:color="auto"/>
                            </w:tcBorders>
                            <w:shd w:val="clear" w:color="auto" w:fill="auto"/>
                            <w:noWrap/>
                            <w:vAlign w:val="bottom"/>
                            <w:hideMark/>
                          </w:tcPr>
                          <w:p w14:paraId="4B95346D"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0.008</w:t>
                            </w:r>
                          </w:p>
                        </w:tc>
                        <w:tc>
                          <w:tcPr>
                            <w:tcW w:w="1860" w:type="dxa"/>
                            <w:tcBorders>
                              <w:top w:val="nil"/>
                              <w:left w:val="nil"/>
                              <w:bottom w:val="single" w:sz="4" w:space="0" w:color="auto"/>
                              <w:right w:val="single" w:sz="4" w:space="0" w:color="auto"/>
                            </w:tcBorders>
                            <w:shd w:val="clear" w:color="auto" w:fill="auto"/>
                            <w:noWrap/>
                            <w:vAlign w:val="bottom"/>
                            <w:hideMark/>
                          </w:tcPr>
                          <w:p w14:paraId="360905BA"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0.027</w:t>
                            </w:r>
                          </w:p>
                        </w:tc>
                        <w:tc>
                          <w:tcPr>
                            <w:tcW w:w="1600" w:type="dxa"/>
                            <w:tcBorders>
                              <w:top w:val="nil"/>
                              <w:left w:val="nil"/>
                              <w:bottom w:val="single" w:sz="4" w:space="0" w:color="auto"/>
                              <w:right w:val="single" w:sz="4" w:space="0" w:color="auto"/>
                            </w:tcBorders>
                            <w:shd w:val="clear" w:color="auto" w:fill="auto"/>
                            <w:noWrap/>
                            <w:vAlign w:val="bottom"/>
                            <w:hideMark/>
                          </w:tcPr>
                          <w:p w14:paraId="132D7907"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0.017</w:t>
                            </w:r>
                          </w:p>
                        </w:tc>
                      </w:tr>
                      <w:tr w:rsidR="007E349F" w:rsidRPr="00702AE0" w14:paraId="1579B8D1"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654CC7AE"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P</w:t>
                            </w:r>
                          </w:p>
                        </w:tc>
                        <w:tc>
                          <w:tcPr>
                            <w:tcW w:w="1640" w:type="dxa"/>
                            <w:tcBorders>
                              <w:top w:val="nil"/>
                              <w:left w:val="nil"/>
                              <w:bottom w:val="single" w:sz="4" w:space="0" w:color="auto"/>
                              <w:right w:val="single" w:sz="4" w:space="0" w:color="auto"/>
                            </w:tcBorders>
                            <w:shd w:val="clear" w:color="auto" w:fill="auto"/>
                            <w:noWrap/>
                            <w:vAlign w:val="bottom"/>
                            <w:hideMark/>
                          </w:tcPr>
                          <w:p w14:paraId="4D95489C"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0.085</w:t>
                            </w:r>
                          </w:p>
                        </w:tc>
                        <w:tc>
                          <w:tcPr>
                            <w:tcW w:w="1860" w:type="dxa"/>
                            <w:tcBorders>
                              <w:top w:val="nil"/>
                              <w:left w:val="nil"/>
                              <w:bottom w:val="single" w:sz="4" w:space="0" w:color="auto"/>
                              <w:right w:val="single" w:sz="4" w:space="0" w:color="auto"/>
                            </w:tcBorders>
                            <w:shd w:val="clear" w:color="auto" w:fill="auto"/>
                            <w:noWrap/>
                            <w:vAlign w:val="bottom"/>
                            <w:hideMark/>
                          </w:tcPr>
                          <w:p w14:paraId="730F5FD0"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0.283</w:t>
                            </w:r>
                          </w:p>
                        </w:tc>
                        <w:tc>
                          <w:tcPr>
                            <w:tcW w:w="1600" w:type="dxa"/>
                            <w:tcBorders>
                              <w:top w:val="nil"/>
                              <w:left w:val="nil"/>
                              <w:bottom w:val="single" w:sz="4" w:space="0" w:color="auto"/>
                              <w:right w:val="single" w:sz="4" w:space="0" w:color="auto"/>
                            </w:tcBorders>
                            <w:shd w:val="clear" w:color="auto" w:fill="auto"/>
                            <w:noWrap/>
                            <w:vAlign w:val="bottom"/>
                            <w:hideMark/>
                          </w:tcPr>
                          <w:p w14:paraId="2FDB91EB"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0.184</w:t>
                            </w:r>
                          </w:p>
                        </w:tc>
                      </w:tr>
                      <w:tr w:rsidR="007E349F" w:rsidRPr="00702AE0" w14:paraId="36F84DA0"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79B3F899"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Pb</w:t>
                            </w:r>
                          </w:p>
                        </w:tc>
                        <w:tc>
                          <w:tcPr>
                            <w:tcW w:w="1640" w:type="dxa"/>
                            <w:tcBorders>
                              <w:top w:val="nil"/>
                              <w:left w:val="nil"/>
                              <w:bottom w:val="single" w:sz="4" w:space="0" w:color="auto"/>
                              <w:right w:val="single" w:sz="4" w:space="0" w:color="auto"/>
                            </w:tcBorders>
                            <w:shd w:val="clear" w:color="auto" w:fill="auto"/>
                            <w:noWrap/>
                            <w:vAlign w:val="bottom"/>
                            <w:hideMark/>
                          </w:tcPr>
                          <w:p w14:paraId="0854FB26"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0.070</w:t>
                            </w:r>
                          </w:p>
                        </w:tc>
                        <w:tc>
                          <w:tcPr>
                            <w:tcW w:w="1860" w:type="dxa"/>
                            <w:tcBorders>
                              <w:top w:val="nil"/>
                              <w:left w:val="nil"/>
                              <w:bottom w:val="single" w:sz="4" w:space="0" w:color="auto"/>
                              <w:right w:val="single" w:sz="4" w:space="0" w:color="auto"/>
                            </w:tcBorders>
                            <w:shd w:val="clear" w:color="auto" w:fill="auto"/>
                            <w:noWrap/>
                            <w:vAlign w:val="bottom"/>
                            <w:hideMark/>
                          </w:tcPr>
                          <w:p w14:paraId="3F339422"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0.233</w:t>
                            </w:r>
                          </w:p>
                        </w:tc>
                        <w:tc>
                          <w:tcPr>
                            <w:tcW w:w="1600" w:type="dxa"/>
                            <w:tcBorders>
                              <w:top w:val="nil"/>
                              <w:left w:val="nil"/>
                              <w:bottom w:val="single" w:sz="4" w:space="0" w:color="auto"/>
                              <w:right w:val="single" w:sz="4" w:space="0" w:color="auto"/>
                            </w:tcBorders>
                            <w:shd w:val="clear" w:color="auto" w:fill="auto"/>
                            <w:noWrap/>
                            <w:vAlign w:val="bottom"/>
                            <w:hideMark/>
                          </w:tcPr>
                          <w:p w14:paraId="38C6A016"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0.152</w:t>
                            </w:r>
                          </w:p>
                        </w:tc>
                      </w:tr>
                      <w:tr w:rsidR="007E349F" w:rsidRPr="00702AE0" w14:paraId="78149F5A"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6EC6C099"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S</w:t>
                            </w:r>
                          </w:p>
                        </w:tc>
                        <w:tc>
                          <w:tcPr>
                            <w:tcW w:w="1640" w:type="dxa"/>
                            <w:tcBorders>
                              <w:top w:val="nil"/>
                              <w:left w:val="nil"/>
                              <w:bottom w:val="single" w:sz="4" w:space="0" w:color="auto"/>
                              <w:right w:val="single" w:sz="4" w:space="0" w:color="auto"/>
                            </w:tcBorders>
                            <w:shd w:val="clear" w:color="auto" w:fill="auto"/>
                            <w:noWrap/>
                            <w:vAlign w:val="bottom"/>
                            <w:hideMark/>
                          </w:tcPr>
                          <w:p w14:paraId="59D7A6BD"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0.075</w:t>
                            </w:r>
                          </w:p>
                        </w:tc>
                        <w:tc>
                          <w:tcPr>
                            <w:tcW w:w="1860" w:type="dxa"/>
                            <w:tcBorders>
                              <w:top w:val="nil"/>
                              <w:left w:val="nil"/>
                              <w:bottom w:val="single" w:sz="4" w:space="0" w:color="auto"/>
                              <w:right w:val="single" w:sz="4" w:space="0" w:color="auto"/>
                            </w:tcBorders>
                            <w:shd w:val="clear" w:color="auto" w:fill="auto"/>
                            <w:noWrap/>
                            <w:vAlign w:val="bottom"/>
                            <w:hideMark/>
                          </w:tcPr>
                          <w:p w14:paraId="412495EC"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0.250</w:t>
                            </w:r>
                          </w:p>
                        </w:tc>
                        <w:tc>
                          <w:tcPr>
                            <w:tcW w:w="1600" w:type="dxa"/>
                            <w:tcBorders>
                              <w:top w:val="nil"/>
                              <w:left w:val="nil"/>
                              <w:bottom w:val="single" w:sz="4" w:space="0" w:color="auto"/>
                              <w:right w:val="single" w:sz="4" w:space="0" w:color="auto"/>
                            </w:tcBorders>
                            <w:shd w:val="clear" w:color="auto" w:fill="auto"/>
                            <w:noWrap/>
                            <w:vAlign w:val="bottom"/>
                            <w:hideMark/>
                          </w:tcPr>
                          <w:p w14:paraId="339862D7"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0.162</w:t>
                            </w:r>
                          </w:p>
                        </w:tc>
                      </w:tr>
                      <w:tr w:rsidR="007E349F" w:rsidRPr="00702AE0" w14:paraId="0ABD942C"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4A324A50"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Se</w:t>
                            </w:r>
                          </w:p>
                        </w:tc>
                        <w:tc>
                          <w:tcPr>
                            <w:tcW w:w="1640" w:type="dxa"/>
                            <w:tcBorders>
                              <w:top w:val="nil"/>
                              <w:left w:val="nil"/>
                              <w:bottom w:val="single" w:sz="4" w:space="0" w:color="auto"/>
                              <w:right w:val="single" w:sz="4" w:space="0" w:color="auto"/>
                            </w:tcBorders>
                            <w:shd w:val="clear" w:color="auto" w:fill="auto"/>
                            <w:noWrap/>
                            <w:vAlign w:val="bottom"/>
                            <w:hideMark/>
                          </w:tcPr>
                          <w:p w14:paraId="0659BA67"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0.147</w:t>
                            </w:r>
                          </w:p>
                        </w:tc>
                        <w:tc>
                          <w:tcPr>
                            <w:tcW w:w="1860" w:type="dxa"/>
                            <w:tcBorders>
                              <w:top w:val="nil"/>
                              <w:left w:val="nil"/>
                              <w:bottom w:val="single" w:sz="4" w:space="0" w:color="auto"/>
                              <w:right w:val="single" w:sz="4" w:space="0" w:color="auto"/>
                            </w:tcBorders>
                            <w:shd w:val="clear" w:color="auto" w:fill="auto"/>
                            <w:noWrap/>
                            <w:vAlign w:val="bottom"/>
                            <w:hideMark/>
                          </w:tcPr>
                          <w:p w14:paraId="3B50C501"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0.490</w:t>
                            </w:r>
                          </w:p>
                        </w:tc>
                        <w:tc>
                          <w:tcPr>
                            <w:tcW w:w="1600" w:type="dxa"/>
                            <w:tcBorders>
                              <w:top w:val="nil"/>
                              <w:left w:val="nil"/>
                              <w:bottom w:val="single" w:sz="4" w:space="0" w:color="auto"/>
                              <w:right w:val="single" w:sz="4" w:space="0" w:color="auto"/>
                            </w:tcBorders>
                            <w:shd w:val="clear" w:color="auto" w:fill="auto"/>
                            <w:noWrap/>
                            <w:vAlign w:val="bottom"/>
                            <w:hideMark/>
                          </w:tcPr>
                          <w:p w14:paraId="24A28B0F"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0.318</w:t>
                            </w:r>
                          </w:p>
                        </w:tc>
                      </w:tr>
                      <w:tr w:rsidR="007E349F" w:rsidRPr="00702AE0" w14:paraId="490BE9A8"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25EA07AB"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Zn</w:t>
                            </w:r>
                          </w:p>
                        </w:tc>
                        <w:tc>
                          <w:tcPr>
                            <w:tcW w:w="1640" w:type="dxa"/>
                            <w:tcBorders>
                              <w:top w:val="nil"/>
                              <w:left w:val="nil"/>
                              <w:bottom w:val="single" w:sz="4" w:space="0" w:color="auto"/>
                              <w:right w:val="single" w:sz="4" w:space="0" w:color="auto"/>
                            </w:tcBorders>
                            <w:shd w:val="clear" w:color="auto" w:fill="auto"/>
                            <w:noWrap/>
                            <w:vAlign w:val="bottom"/>
                            <w:hideMark/>
                          </w:tcPr>
                          <w:p w14:paraId="1E3500FE"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0.029</w:t>
                            </w:r>
                          </w:p>
                        </w:tc>
                        <w:tc>
                          <w:tcPr>
                            <w:tcW w:w="1860" w:type="dxa"/>
                            <w:tcBorders>
                              <w:top w:val="nil"/>
                              <w:left w:val="nil"/>
                              <w:bottom w:val="single" w:sz="4" w:space="0" w:color="auto"/>
                              <w:right w:val="single" w:sz="4" w:space="0" w:color="auto"/>
                            </w:tcBorders>
                            <w:shd w:val="clear" w:color="auto" w:fill="auto"/>
                            <w:noWrap/>
                            <w:vAlign w:val="bottom"/>
                            <w:hideMark/>
                          </w:tcPr>
                          <w:p w14:paraId="7273C9E4"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0.097</w:t>
                            </w:r>
                          </w:p>
                        </w:tc>
                        <w:tc>
                          <w:tcPr>
                            <w:tcW w:w="1600" w:type="dxa"/>
                            <w:tcBorders>
                              <w:top w:val="nil"/>
                              <w:left w:val="nil"/>
                              <w:bottom w:val="single" w:sz="4" w:space="0" w:color="auto"/>
                              <w:right w:val="single" w:sz="4" w:space="0" w:color="auto"/>
                            </w:tcBorders>
                            <w:shd w:val="clear" w:color="auto" w:fill="auto"/>
                            <w:noWrap/>
                            <w:vAlign w:val="bottom"/>
                            <w:hideMark/>
                          </w:tcPr>
                          <w:p w14:paraId="5F1523D1"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0.063</w:t>
                            </w:r>
                          </w:p>
                        </w:tc>
                      </w:tr>
                      <w:tr w:rsidR="007E349F" w:rsidRPr="00702AE0" w14:paraId="21DCDFDA"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690FBEFA"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Si</w:t>
                            </w:r>
                          </w:p>
                        </w:tc>
                        <w:tc>
                          <w:tcPr>
                            <w:tcW w:w="1640" w:type="dxa"/>
                            <w:tcBorders>
                              <w:top w:val="nil"/>
                              <w:left w:val="nil"/>
                              <w:bottom w:val="single" w:sz="4" w:space="0" w:color="auto"/>
                              <w:right w:val="single" w:sz="4" w:space="0" w:color="auto"/>
                            </w:tcBorders>
                            <w:shd w:val="clear" w:color="auto" w:fill="auto"/>
                            <w:noWrap/>
                            <w:vAlign w:val="bottom"/>
                            <w:hideMark/>
                          </w:tcPr>
                          <w:p w14:paraId="1C1E5AB5"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0.092</w:t>
                            </w:r>
                          </w:p>
                        </w:tc>
                        <w:tc>
                          <w:tcPr>
                            <w:tcW w:w="1860" w:type="dxa"/>
                            <w:tcBorders>
                              <w:top w:val="nil"/>
                              <w:left w:val="nil"/>
                              <w:bottom w:val="single" w:sz="4" w:space="0" w:color="auto"/>
                              <w:right w:val="single" w:sz="4" w:space="0" w:color="auto"/>
                            </w:tcBorders>
                            <w:shd w:val="clear" w:color="auto" w:fill="auto"/>
                            <w:noWrap/>
                            <w:vAlign w:val="bottom"/>
                            <w:hideMark/>
                          </w:tcPr>
                          <w:p w14:paraId="538A9C15"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0.307</w:t>
                            </w:r>
                          </w:p>
                        </w:tc>
                        <w:tc>
                          <w:tcPr>
                            <w:tcW w:w="1600" w:type="dxa"/>
                            <w:tcBorders>
                              <w:top w:val="nil"/>
                              <w:left w:val="nil"/>
                              <w:bottom w:val="single" w:sz="4" w:space="0" w:color="auto"/>
                              <w:right w:val="single" w:sz="4" w:space="0" w:color="auto"/>
                            </w:tcBorders>
                            <w:shd w:val="clear" w:color="auto" w:fill="auto"/>
                            <w:noWrap/>
                            <w:vAlign w:val="bottom"/>
                            <w:hideMark/>
                          </w:tcPr>
                          <w:p w14:paraId="0792B2AA"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0.199</w:t>
                            </w:r>
                          </w:p>
                        </w:tc>
                      </w:tr>
                      <w:tr w:rsidR="007E349F" w:rsidRPr="00702AE0" w14:paraId="719755CA" w14:textId="77777777" w:rsidTr="00702AE0">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1847B99" w14:textId="77777777" w:rsidR="007E349F" w:rsidRPr="00702AE0" w:rsidRDefault="007E349F" w:rsidP="00702AE0">
                            <w:pPr>
                              <w:spacing w:after="0" w:line="240" w:lineRule="auto"/>
                              <w:jc w:val="center"/>
                              <w:rPr>
                                <w:rFonts w:ascii="Calibri" w:eastAsia="Times New Roman" w:hAnsi="Calibri" w:cs="Times New Roman"/>
                                <w:b/>
                                <w:bCs/>
                              </w:rPr>
                            </w:pPr>
                            <w:r w:rsidRPr="00702AE0">
                              <w:rPr>
                                <w:rFonts w:ascii="Calibri" w:eastAsia="Times New Roman" w:hAnsi="Calibri" w:cs="Times New Roman"/>
                                <w:b/>
                                <w:bCs/>
                              </w:rPr>
                              <w:t>Ag</w:t>
                            </w:r>
                          </w:p>
                        </w:tc>
                        <w:tc>
                          <w:tcPr>
                            <w:tcW w:w="1640" w:type="dxa"/>
                            <w:tcBorders>
                              <w:top w:val="nil"/>
                              <w:left w:val="nil"/>
                              <w:bottom w:val="single" w:sz="4" w:space="0" w:color="auto"/>
                              <w:right w:val="single" w:sz="4" w:space="0" w:color="auto"/>
                            </w:tcBorders>
                            <w:shd w:val="clear" w:color="auto" w:fill="auto"/>
                            <w:noWrap/>
                            <w:vAlign w:val="bottom"/>
                            <w:hideMark/>
                          </w:tcPr>
                          <w:p w14:paraId="42866869"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0.005</w:t>
                            </w:r>
                          </w:p>
                        </w:tc>
                        <w:tc>
                          <w:tcPr>
                            <w:tcW w:w="1860" w:type="dxa"/>
                            <w:tcBorders>
                              <w:top w:val="nil"/>
                              <w:left w:val="nil"/>
                              <w:bottom w:val="single" w:sz="4" w:space="0" w:color="auto"/>
                              <w:right w:val="single" w:sz="4" w:space="0" w:color="auto"/>
                            </w:tcBorders>
                            <w:shd w:val="clear" w:color="auto" w:fill="auto"/>
                            <w:noWrap/>
                            <w:vAlign w:val="bottom"/>
                            <w:hideMark/>
                          </w:tcPr>
                          <w:p w14:paraId="39605717" w14:textId="77777777" w:rsidR="007E349F" w:rsidRPr="00702AE0" w:rsidRDefault="007E349F" w:rsidP="00702AE0">
                            <w:pPr>
                              <w:spacing w:after="0" w:line="240" w:lineRule="auto"/>
                              <w:jc w:val="center"/>
                              <w:rPr>
                                <w:rFonts w:ascii="Calibri" w:eastAsia="Times New Roman" w:hAnsi="Calibri" w:cs="Times New Roman"/>
                              </w:rPr>
                            </w:pPr>
                            <w:r w:rsidRPr="00702AE0">
                              <w:rPr>
                                <w:rFonts w:ascii="Calibri" w:eastAsia="Times New Roman" w:hAnsi="Calibri" w:cs="Times New Roman"/>
                              </w:rPr>
                              <w:t>0.017</w:t>
                            </w:r>
                          </w:p>
                        </w:tc>
                        <w:tc>
                          <w:tcPr>
                            <w:tcW w:w="1600" w:type="dxa"/>
                            <w:tcBorders>
                              <w:top w:val="nil"/>
                              <w:left w:val="nil"/>
                              <w:bottom w:val="single" w:sz="4" w:space="0" w:color="auto"/>
                              <w:right w:val="single" w:sz="4" w:space="0" w:color="auto"/>
                            </w:tcBorders>
                            <w:shd w:val="clear" w:color="auto" w:fill="auto"/>
                            <w:noWrap/>
                            <w:vAlign w:val="bottom"/>
                            <w:hideMark/>
                          </w:tcPr>
                          <w:p w14:paraId="3FF9EA1E" w14:textId="77777777" w:rsidR="007E349F" w:rsidRPr="00702AE0" w:rsidRDefault="007E349F" w:rsidP="00702AE0">
                            <w:pPr>
                              <w:spacing w:after="0" w:line="240" w:lineRule="auto"/>
                              <w:jc w:val="center"/>
                              <w:rPr>
                                <w:rFonts w:ascii="Calibri" w:eastAsia="Times New Roman" w:hAnsi="Calibri" w:cs="Times New Roman"/>
                                <w:color w:val="000000"/>
                              </w:rPr>
                            </w:pPr>
                            <w:r w:rsidRPr="00702AE0">
                              <w:rPr>
                                <w:rFonts w:ascii="Calibri" w:eastAsia="Times New Roman" w:hAnsi="Calibri" w:cs="Times New Roman"/>
                                <w:color w:val="000000"/>
                              </w:rPr>
                              <w:t>0.011</w:t>
                            </w:r>
                          </w:p>
                        </w:tc>
                      </w:tr>
                    </w:tbl>
                    <w:p w14:paraId="55C31EDE" w14:textId="77777777" w:rsidR="007E349F" w:rsidRDefault="007E349F" w:rsidP="006A1812"/>
                  </w:txbxContent>
                </v:textbox>
                <w10:wrap type="square"/>
              </v:shape>
            </w:pict>
          </mc:Fallback>
        </mc:AlternateContent>
      </w:r>
    </w:p>
    <w:p w14:paraId="06EDAB06" w14:textId="77777777" w:rsidR="006A1812" w:rsidRDefault="006A1812" w:rsidP="00440E91">
      <w:pPr>
        <w:rPr>
          <w:rFonts w:ascii="Times New Roman" w:hAnsi="Times New Roman" w:cs="Times New Roman"/>
          <w:b/>
          <w:sz w:val="24"/>
          <w:szCs w:val="24"/>
        </w:rPr>
      </w:pPr>
    </w:p>
    <w:p w14:paraId="66C6C23F" w14:textId="77777777" w:rsidR="006A1812" w:rsidRDefault="006A1812" w:rsidP="00440E91">
      <w:pPr>
        <w:rPr>
          <w:rFonts w:ascii="Times New Roman" w:hAnsi="Times New Roman" w:cs="Times New Roman"/>
          <w:b/>
          <w:sz w:val="24"/>
          <w:szCs w:val="24"/>
        </w:rPr>
      </w:pPr>
    </w:p>
    <w:p w14:paraId="7216C626" w14:textId="77777777" w:rsidR="006A1812" w:rsidRDefault="006A1812" w:rsidP="00440E91">
      <w:pPr>
        <w:rPr>
          <w:rFonts w:ascii="Times New Roman" w:hAnsi="Times New Roman" w:cs="Times New Roman"/>
          <w:b/>
          <w:sz w:val="24"/>
          <w:szCs w:val="24"/>
        </w:rPr>
      </w:pPr>
    </w:p>
    <w:p w14:paraId="6EBC82C8" w14:textId="77777777" w:rsidR="006A1812" w:rsidRDefault="006A1812" w:rsidP="00440E91">
      <w:pPr>
        <w:rPr>
          <w:rFonts w:ascii="Times New Roman" w:hAnsi="Times New Roman" w:cs="Times New Roman"/>
          <w:b/>
          <w:sz w:val="24"/>
          <w:szCs w:val="24"/>
        </w:rPr>
      </w:pPr>
    </w:p>
    <w:p w14:paraId="50F230E9" w14:textId="77777777" w:rsidR="006A1812" w:rsidRDefault="006A1812" w:rsidP="00440E91">
      <w:pPr>
        <w:rPr>
          <w:rFonts w:ascii="Times New Roman" w:hAnsi="Times New Roman" w:cs="Times New Roman"/>
          <w:b/>
          <w:sz w:val="24"/>
          <w:szCs w:val="24"/>
        </w:rPr>
      </w:pPr>
    </w:p>
    <w:p w14:paraId="764B3707" w14:textId="77777777" w:rsidR="006A1812" w:rsidRDefault="006A1812" w:rsidP="00440E91">
      <w:pPr>
        <w:rPr>
          <w:rFonts w:ascii="Times New Roman" w:hAnsi="Times New Roman" w:cs="Times New Roman"/>
          <w:b/>
          <w:sz w:val="24"/>
          <w:szCs w:val="24"/>
        </w:rPr>
      </w:pPr>
    </w:p>
    <w:p w14:paraId="3E8B0652" w14:textId="77777777" w:rsidR="006A1812" w:rsidRDefault="006A1812" w:rsidP="00440E91">
      <w:pPr>
        <w:rPr>
          <w:rFonts w:ascii="Times New Roman" w:hAnsi="Times New Roman" w:cs="Times New Roman"/>
          <w:b/>
          <w:sz w:val="24"/>
          <w:szCs w:val="24"/>
        </w:rPr>
      </w:pPr>
    </w:p>
    <w:p w14:paraId="767E5E83" w14:textId="77777777" w:rsidR="006A1812" w:rsidRDefault="006A1812" w:rsidP="00440E91">
      <w:pPr>
        <w:rPr>
          <w:rFonts w:ascii="Times New Roman" w:hAnsi="Times New Roman" w:cs="Times New Roman"/>
          <w:b/>
          <w:sz w:val="24"/>
          <w:szCs w:val="24"/>
        </w:rPr>
      </w:pPr>
    </w:p>
    <w:p w14:paraId="68FCC8EA" w14:textId="77777777" w:rsidR="006A1812" w:rsidRDefault="006A1812" w:rsidP="00440E91">
      <w:pPr>
        <w:rPr>
          <w:rFonts w:ascii="Times New Roman" w:hAnsi="Times New Roman" w:cs="Times New Roman"/>
          <w:b/>
          <w:sz w:val="24"/>
          <w:szCs w:val="24"/>
        </w:rPr>
      </w:pPr>
    </w:p>
    <w:p w14:paraId="2C368227" w14:textId="77777777" w:rsidR="006A1812" w:rsidRDefault="006A1812" w:rsidP="00440E91">
      <w:pPr>
        <w:rPr>
          <w:rFonts w:ascii="Times New Roman" w:hAnsi="Times New Roman" w:cs="Times New Roman"/>
          <w:b/>
          <w:sz w:val="24"/>
          <w:szCs w:val="24"/>
        </w:rPr>
      </w:pPr>
    </w:p>
    <w:p w14:paraId="422BEA82" w14:textId="77777777" w:rsidR="006A1812" w:rsidRDefault="006A1812" w:rsidP="00440E91">
      <w:pPr>
        <w:rPr>
          <w:rFonts w:ascii="Times New Roman" w:hAnsi="Times New Roman" w:cs="Times New Roman"/>
          <w:b/>
          <w:sz w:val="24"/>
          <w:szCs w:val="24"/>
        </w:rPr>
      </w:pPr>
    </w:p>
    <w:p w14:paraId="29D05CFD" w14:textId="77777777" w:rsidR="006A1812" w:rsidRDefault="006A1812" w:rsidP="00440E91">
      <w:pPr>
        <w:rPr>
          <w:rFonts w:ascii="Times New Roman" w:hAnsi="Times New Roman" w:cs="Times New Roman"/>
          <w:b/>
          <w:sz w:val="24"/>
          <w:szCs w:val="24"/>
        </w:rPr>
      </w:pPr>
    </w:p>
    <w:p w14:paraId="398C0EA2" w14:textId="77777777" w:rsidR="006A1812" w:rsidRDefault="006A1812" w:rsidP="00440E91">
      <w:pPr>
        <w:rPr>
          <w:rFonts w:ascii="Times New Roman" w:hAnsi="Times New Roman" w:cs="Times New Roman"/>
          <w:b/>
          <w:sz w:val="24"/>
          <w:szCs w:val="24"/>
        </w:rPr>
      </w:pPr>
    </w:p>
    <w:p w14:paraId="4D1A2395" w14:textId="77777777" w:rsidR="006A1812" w:rsidRDefault="006A1812" w:rsidP="00440E91">
      <w:pPr>
        <w:rPr>
          <w:rFonts w:ascii="Times New Roman" w:hAnsi="Times New Roman" w:cs="Times New Roman"/>
          <w:b/>
          <w:sz w:val="24"/>
          <w:szCs w:val="24"/>
        </w:rPr>
      </w:pPr>
    </w:p>
    <w:p w14:paraId="685F6DB6" w14:textId="77777777" w:rsidR="006A1812" w:rsidRDefault="006A1812" w:rsidP="00440E91">
      <w:pPr>
        <w:rPr>
          <w:rFonts w:ascii="Times New Roman" w:hAnsi="Times New Roman" w:cs="Times New Roman"/>
          <w:b/>
          <w:sz w:val="24"/>
          <w:szCs w:val="24"/>
        </w:rPr>
      </w:pPr>
    </w:p>
    <w:p w14:paraId="2A60012F" w14:textId="09D1E456" w:rsidR="00440E91" w:rsidRPr="003C4836" w:rsidRDefault="008C7F8F" w:rsidP="00440E91">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3272880E" wp14:editId="76A2E16F">
                <wp:simplePos x="0" y="0"/>
                <wp:positionH relativeFrom="column">
                  <wp:posOffset>-342900</wp:posOffset>
                </wp:positionH>
                <wp:positionV relativeFrom="paragraph">
                  <wp:posOffset>1828800</wp:posOffset>
                </wp:positionV>
                <wp:extent cx="6515100" cy="1143000"/>
                <wp:effectExtent l="0" t="0" r="0" b="0"/>
                <wp:wrapSquare wrapText="bothSides"/>
                <wp:docPr id="150" name="Text Box 150"/>
                <wp:cNvGraphicFramePr/>
                <a:graphic xmlns:a="http://schemas.openxmlformats.org/drawingml/2006/main">
                  <a:graphicData uri="http://schemas.microsoft.com/office/word/2010/wordprocessingShape">
                    <wps:wsp>
                      <wps:cNvSpPr txBox="1"/>
                      <wps:spPr>
                        <a:xfrm>
                          <a:off x="0" y="0"/>
                          <a:ext cx="6515100" cy="11430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465E301E" w14:textId="796BA427" w:rsidR="007E349F" w:rsidRDefault="007E349F">
                            <w:r>
                              <w:rPr>
                                <w:noProof/>
                              </w:rPr>
                              <w:drawing>
                                <wp:inline distT="0" distB="0" distL="0" distR="0" wp14:anchorId="551A8BA7" wp14:editId="647DBD96">
                                  <wp:extent cx="6332220" cy="997613"/>
                                  <wp:effectExtent l="0" t="0" r="0" b="0"/>
                                  <wp:docPr id="15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332220" cy="997613"/>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72880E" id="Text Box 150" o:spid="_x0000_s1027" type="#_x0000_t202" style="position:absolute;margin-left:-27pt;margin-top:2in;width:513pt;height:90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" filled="f" stroked="f">
                <v:textbox>
                  <w:txbxContent>
                    <w:p w14:paraId="465E301E" w14:textId="796BA427" w:rsidR="007E349F" w:rsidRDefault="007E349F">
                      <w:r>
                        <w:rPr>
                          <w:noProof/>
                        </w:rPr>
                        <w:drawing>
                          <wp:inline distT="0" distB="0" distL="0" distR="0" wp14:anchorId="551A8BA7" wp14:editId="647DBD96">
                            <wp:extent cx="6332220" cy="997613"/>
                            <wp:effectExtent l="0" t="0" r="0" b="0"/>
                            <wp:docPr id="15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332220" cy="997613"/>
                                    </a:xfrm>
                                    <a:prstGeom prst="rect">
                                      <a:avLst/>
                                    </a:prstGeom>
                                    <a:noFill/>
                                    <a:ln>
                                      <a:noFill/>
                                    </a:ln>
                                  </pic:spPr>
                                </pic:pic>
                              </a:graphicData>
                            </a:graphic>
                          </wp:inline>
                        </w:drawing>
                      </w:r>
                    </w:p>
                  </w:txbxContent>
                </v:textbox>
                <w10:wrap type="square"/>
              </v:shape>
            </w:pict>
          </mc:Fallback>
        </mc:AlternateContent>
      </w:r>
      <w:r w:rsidR="009207EF" w:rsidRPr="003C4836">
        <w:rPr>
          <w:rFonts w:ascii="Times New Roman" w:hAnsi="Times New Roman" w:cs="Times New Roman"/>
          <w:b/>
          <w:sz w:val="24"/>
          <w:szCs w:val="24"/>
        </w:rPr>
        <w:t>Table I</w:t>
      </w:r>
      <w:r w:rsidR="00653B3F">
        <w:rPr>
          <w:rFonts w:ascii="Times New Roman" w:hAnsi="Times New Roman" w:cs="Times New Roman"/>
          <w:b/>
          <w:sz w:val="24"/>
          <w:szCs w:val="24"/>
        </w:rPr>
        <w:t>I</w:t>
      </w:r>
      <w:r w:rsidR="009207EF" w:rsidRPr="003C4836">
        <w:rPr>
          <w:rFonts w:ascii="Times New Roman" w:hAnsi="Times New Roman" w:cs="Times New Roman"/>
          <w:b/>
          <w:sz w:val="24"/>
          <w:szCs w:val="24"/>
        </w:rPr>
        <w:t>.</w:t>
      </w:r>
      <w:r w:rsidR="009207EF" w:rsidRPr="003C4836">
        <w:rPr>
          <w:rFonts w:ascii="Times New Roman" w:hAnsi="Times New Roman" w:cs="Times New Roman"/>
          <w:sz w:val="24"/>
          <w:szCs w:val="24"/>
        </w:rPr>
        <w:t xml:space="preserve"> Concentrations (in </w:t>
      </w:r>
      <w:r w:rsidR="009207EF" w:rsidRPr="003C4836">
        <w:rPr>
          <w:rFonts w:ascii="Times New Roman" w:hAnsi="Times New Roman" w:cs="Times New Roman"/>
          <w:color w:val="000000"/>
          <w:sz w:val="24"/>
          <w:szCs w:val="24"/>
        </w:rPr>
        <w:t>μg/g)</w:t>
      </w:r>
      <w:r w:rsidR="009207EF" w:rsidRPr="003C4836">
        <w:rPr>
          <w:rFonts w:ascii="Times New Roman" w:hAnsi="Times New Roman" w:cs="Times New Roman"/>
          <w:sz w:val="24"/>
          <w:szCs w:val="24"/>
        </w:rPr>
        <w:t xml:space="preserve"> of metals found in the surface sediments (S) as well as in the biota (Z-zooplankton, I- invertebrate) at each station.  The concentrations for invertebrate </w:t>
      </w:r>
      <w:r w:rsidR="009207EF" w:rsidRPr="003C4836">
        <w:rPr>
          <w:rFonts w:ascii="Times New Roman" w:hAnsi="Times New Roman" w:cs="Times New Roman"/>
          <w:sz w:val="24"/>
          <w:szCs w:val="24"/>
        </w:rPr>
        <w:lastRenderedPageBreak/>
        <w:t xml:space="preserve">samples are reported as </w:t>
      </w:r>
      <w:r w:rsidR="009207EF" w:rsidRPr="003C4836">
        <w:rPr>
          <w:rFonts w:ascii="Times New Roman" w:hAnsi="Times New Roman" w:cs="Times New Roman"/>
          <w:color w:val="000000"/>
          <w:sz w:val="24"/>
          <w:szCs w:val="24"/>
        </w:rPr>
        <w:t xml:space="preserve">μg of metal per g of soft body, as the weight of the invertebrate shells were accounted for and removed.  Note that Ca values are still quite high for the invertebrate samples, given that these Ca concentrations were used to normalize the values for shell weight.  </w:t>
      </w:r>
      <w:r w:rsidR="009207EF" w:rsidRPr="003C4836">
        <w:rPr>
          <w:rFonts w:ascii="Times New Roman" w:hAnsi="Times New Roman" w:cs="Times New Roman"/>
          <w:sz w:val="24"/>
          <w:szCs w:val="24"/>
        </w:rPr>
        <w:t>ND stands for “none detected,”</w:t>
      </w:r>
      <w:r w:rsidR="00440E91" w:rsidRPr="003C4836">
        <w:rPr>
          <w:rFonts w:ascii="Times New Roman" w:hAnsi="Times New Roman" w:cs="Times New Roman"/>
          <w:noProof/>
          <w:sz w:val="24"/>
          <w:szCs w:val="24"/>
        </w:rPr>
        <w:t xml:space="preserve"> </w:t>
      </w:r>
      <w:r w:rsidR="00440E91" w:rsidRPr="003C4836">
        <w:rPr>
          <w:rFonts w:ascii="Times New Roman" w:hAnsi="Times New Roman" w:cs="Times New Roman"/>
          <w:sz w:val="24"/>
          <w:szCs w:val="24"/>
        </w:rPr>
        <w:t>which means the measured value fell below the dete</w:t>
      </w:r>
      <w:r w:rsidR="00653B3F">
        <w:rPr>
          <w:rFonts w:ascii="Times New Roman" w:hAnsi="Times New Roman" w:cs="Times New Roman"/>
          <w:sz w:val="24"/>
          <w:szCs w:val="24"/>
        </w:rPr>
        <w:t>ction limit reported in Table I</w:t>
      </w:r>
      <w:r w:rsidR="00440E91" w:rsidRPr="003C4836">
        <w:rPr>
          <w:rFonts w:ascii="Times New Roman" w:hAnsi="Times New Roman" w:cs="Times New Roman"/>
          <w:sz w:val="24"/>
          <w:szCs w:val="24"/>
        </w:rPr>
        <w:t>.  TR stands for “trace,” which means that the measured value fell between the detection limit and the quantita</w:t>
      </w:r>
      <w:r w:rsidR="00653B3F">
        <w:rPr>
          <w:rFonts w:ascii="Times New Roman" w:hAnsi="Times New Roman" w:cs="Times New Roman"/>
          <w:sz w:val="24"/>
          <w:szCs w:val="24"/>
        </w:rPr>
        <w:t>tive limit reported in Table I</w:t>
      </w:r>
      <w:r w:rsidR="00440E91" w:rsidRPr="003C4836">
        <w:rPr>
          <w:rFonts w:ascii="Times New Roman" w:hAnsi="Times New Roman" w:cs="Times New Roman"/>
          <w:sz w:val="24"/>
          <w:szCs w:val="24"/>
        </w:rPr>
        <w:t xml:space="preserve">. </w:t>
      </w:r>
    </w:p>
    <w:p w14:paraId="01CC6BC7" w14:textId="4C610C88" w:rsidR="009207EF" w:rsidRDefault="009207EF" w:rsidP="009207EF">
      <w:r>
        <w:t xml:space="preserve"> </w:t>
      </w:r>
    </w:p>
    <w:p w14:paraId="4AA2952B" w14:textId="0341F904" w:rsidR="00702AE0" w:rsidRDefault="00702AE0">
      <w:pPr>
        <w:rPr>
          <w:rFonts w:ascii="Times New Roman" w:hAnsi="Times New Roman" w:cs="Times New Roman"/>
          <w:sz w:val="24"/>
          <w:szCs w:val="24"/>
        </w:rPr>
      </w:pPr>
    </w:p>
    <w:p w14:paraId="1EF976A5" w14:textId="6443F75F" w:rsidR="0077006E" w:rsidRDefault="00A11BAE">
      <w:pPr>
        <w:rPr>
          <w:rFonts w:ascii="Times New Roman" w:hAnsi="Times New Roman" w:cs="Times New Roman"/>
          <w:sz w:val="24"/>
          <w:szCs w:val="24"/>
        </w:rPr>
      </w:pPr>
      <w:r w:rsidRPr="003C4836">
        <w:rPr>
          <w:rFonts w:ascii="Times New Roman" w:hAnsi="Times New Roman" w:cs="Times New Roman"/>
          <w:noProof/>
          <w:sz w:val="24"/>
          <w:szCs w:val="24"/>
        </w:rPr>
        <mc:AlternateContent>
          <mc:Choice Requires="wps">
            <w:drawing>
              <wp:anchor distT="0" distB="0" distL="114300" distR="114300" simplePos="0" relativeHeight="251678720" behindDoc="0" locked="0" layoutInCell="1" allowOverlap="1" wp14:anchorId="4DA41941" wp14:editId="79D0F29D">
                <wp:simplePos x="0" y="0"/>
                <wp:positionH relativeFrom="column">
                  <wp:posOffset>-114300</wp:posOffset>
                </wp:positionH>
                <wp:positionV relativeFrom="paragraph">
                  <wp:posOffset>1426210</wp:posOffset>
                </wp:positionV>
                <wp:extent cx="6172200" cy="2286000"/>
                <wp:effectExtent l="0" t="0" r="0" b="0"/>
                <wp:wrapSquare wrapText="bothSides"/>
                <wp:docPr id="126" name="Text Box 126"/>
                <wp:cNvGraphicFramePr/>
                <a:graphic xmlns:a="http://schemas.openxmlformats.org/drawingml/2006/main">
                  <a:graphicData uri="http://schemas.microsoft.com/office/word/2010/wordprocessingShape">
                    <wps:wsp>
                      <wps:cNvSpPr txBox="1"/>
                      <wps:spPr>
                        <a:xfrm>
                          <a:off x="0" y="0"/>
                          <a:ext cx="6172200" cy="22860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tbl>
                            <w:tblPr>
                              <w:tblW w:w="9300" w:type="dxa"/>
                              <w:tblInd w:w="93" w:type="dxa"/>
                              <w:tblLook w:val="04A0" w:firstRow="1" w:lastRow="0" w:firstColumn="1" w:lastColumn="0" w:noHBand="0" w:noVBand="1"/>
                            </w:tblPr>
                            <w:tblGrid>
                              <w:gridCol w:w="960"/>
                              <w:gridCol w:w="920"/>
                              <w:gridCol w:w="860"/>
                              <w:gridCol w:w="941"/>
                              <w:gridCol w:w="960"/>
                              <w:gridCol w:w="880"/>
                              <w:gridCol w:w="840"/>
                              <w:gridCol w:w="1080"/>
                              <w:gridCol w:w="980"/>
                              <w:gridCol w:w="941"/>
                            </w:tblGrid>
                            <w:tr w:rsidR="007E349F" w:rsidRPr="00734A48" w14:paraId="679C5A18" w14:textId="77777777" w:rsidTr="00FC3546">
                              <w:trPr>
                                <w:trHeight w:val="300"/>
                              </w:trPr>
                              <w:tc>
                                <w:tcPr>
                                  <w:tcW w:w="960" w:type="dxa"/>
                                  <w:tcBorders>
                                    <w:top w:val="single" w:sz="4" w:space="0" w:color="auto"/>
                                    <w:left w:val="single" w:sz="4" w:space="0" w:color="auto"/>
                                    <w:bottom w:val="nil"/>
                                    <w:right w:val="single" w:sz="4" w:space="0" w:color="auto"/>
                                  </w:tcBorders>
                                  <w:shd w:val="clear" w:color="auto" w:fill="auto"/>
                                  <w:noWrap/>
                                  <w:vAlign w:val="bottom"/>
                                  <w:hideMark/>
                                </w:tcPr>
                                <w:p w14:paraId="1A8D95AE" w14:textId="77777777" w:rsidR="007E349F" w:rsidRPr="00734A48" w:rsidRDefault="007E349F" w:rsidP="00FC3546">
                                  <w:pPr>
                                    <w:spacing w:after="0" w:line="240" w:lineRule="auto"/>
                                    <w:jc w:val="center"/>
                                    <w:rPr>
                                      <w:rFonts w:asciiTheme="majorHAnsi" w:eastAsia="Times New Roman" w:hAnsiTheme="majorHAnsi" w:cs="Times New Roman"/>
                                      <w:b/>
                                      <w:bCs/>
                                      <w:color w:val="000000"/>
                                    </w:rPr>
                                  </w:pPr>
                                  <w:r w:rsidRPr="00734A48">
                                    <w:rPr>
                                      <w:rFonts w:asciiTheme="majorHAnsi" w:eastAsia="Times New Roman" w:hAnsiTheme="majorHAnsi" w:cs="Times New Roman"/>
                                      <w:b/>
                                      <w:bCs/>
                                      <w:color w:val="000000"/>
                                    </w:rPr>
                                    <w:t>sample ID</w:t>
                                  </w:r>
                                </w:p>
                              </w:tc>
                              <w:tc>
                                <w:tcPr>
                                  <w:tcW w:w="920" w:type="dxa"/>
                                  <w:tcBorders>
                                    <w:top w:val="single" w:sz="4" w:space="0" w:color="auto"/>
                                    <w:left w:val="nil"/>
                                    <w:bottom w:val="single" w:sz="4" w:space="0" w:color="auto"/>
                                    <w:right w:val="single" w:sz="4" w:space="0" w:color="auto"/>
                                  </w:tcBorders>
                                  <w:shd w:val="clear" w:color="auto" w:fill="auto"/>
                                  <w:noWrap/>
                                  <w:vAlign w:val="bottom"/>
                                  <w:hideMark/>
                                </w:tcPr>
                                <w:p w14:paraId="44B3FAA5" w14:textId="77777777" w:rsidR="007E349F" w:rsidRPr="00734A48" w:rsidRDefault="007E349F" w:rsidP="00FC3546">
                                  <w:pPr>
                                    <w:spacing w:after="0" w:line="240" w:lineRule="auto"/>
                                    <w:jc w:val="center"/>
                                    <w:rPr>
                                      <w:rFonts w:asciiTheme="majorHAnsi" w:eastAsia="Times New Roman" w:hAnsiTheme="majorHAnsi" w:cs="Arial"/>
                                      <w:b/>
                                      <w:bCs/>
                                    </w:rPr>
                                  </w:pPr>
                                  <w:r w:rsidRPr="00734A48">
                                    <w:rPr>
                                      <w:rFonts w:asciiTheme="majorHAnsi" w:eastAsia="Times New Roman" w:hAnsiTheme="majorHAnsi" w:cs="Arial"/>
                                      <w:b/>
                                      <w:bCs/>
                                    </w:rPr>
                                    <w:t>As</w:t>
                                  </w:r>
                                </w:p>
                              </w:tc>
                              <w:tc>
                                <w:tcPr>
                                  <w:tcW w:w="860" w:type="dxa"/>
                                  <w:tcBorders>
                                    <w:top w:val="single" w:sz="4" w:space="0" w:color="auto"/>
                                    <w:left w:val="nil"/>
                                    <w:bottom w:val="single" w:sz="4" w:space="0" w:color="auto"/>
                                    <w:right w:val="single" w:sz="4" w:space="0" w:color="auto"/>
                                  </w:tcBorders>
                                  <w:shd w:val="clear" w:color="auto" w:fill="auto"/>
                                  <w:noWrap/>
                                  <w:vAlign w:val="bottom"/>
                                  <w:hideMark/>
                                </w:tcPr>
                                <w:p w14:paraId="47A35BE4" w14:textId="77777777" w:rsidR="007E349F" w:rsidRPr="00734A48" w:rsidRDefault="007E349F" w:rsidP="00FC3546">
                                  <w:pPr>
                                    <w:spacing w:after="0" w:line="240" w:lineRule="auto"/>
                                    <w:jc w:val="center"/>
                                    <w:rPr>
                                      <w:rFonts w:asciiTheme="majorHAnsi" w:eastAsia="Times New Roman" w:hAnsiTheme="majorHAnsi" w:cs="Arial"/>
                                      <w:b/>
                                      <w:bCs/>
                                    </w:rPr>
                                  </w:pPr>
                                  <w:r w:rsidRPr="00734A48">
                                    <w:rPr>
                                      <w:rFonts w:asciiTheme="majorHAnsi" w:eastAsia="Times New Roman" w:hAnsiTheme="majorHAnsi" w:cs="Arial"/>
                                      <w:b/>
                                      <w:bCs/>
                                    </w:rPr>
                                    <w:t>Cr</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61090C66" w14:textId="77777777" w:rsidR="007E349F" w:rsidRPr="00734A48" w:rsidRDefault="007E349F" w:rsidP="00FC3546">
                                  <w:pPr>
                                    <w:spacing w:after="0" w:line="240" w:lineRule="auto"/>
                                    <w:jc w:val="center"/>
                                    <w:rPr>
                                      <w:rFonts w:asciiTheme="majorHAnsi" w:eastAsia="Times New Roman" w:hAnsiTheme="majorHAnsi" w:cs="Arial"/>
                                      <w:b/>
                                      <w:bCs/>
                                    </w:rPr>
                                  </w:pPr>
                                  <w:r w:rsidRPr="00734A48">
                                    <w:rPr>
                                      <w:rFonts w:asciiTheme="majorHAnsi" w:eastAsia="Times New Roman" w:hAnsiTheme="majorHAnsi" w:cs="Arial"/>
                                      <w:b/>
                                      <w:bCs/>
                                    </w:rPr>
                                    <w:t>Cu</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332D8557" w14:textId="77777777" w:rsidR="007E349F" w:rsidRPr="00734A48" w:rsidRDefault="007E349F" w:rsidP="00FC3546">
                                  <w:pPr>
                                    <w:spacing w:after="0" w:line="240" w:lineRule="auto"/>
                                    <w:jc w:val="center"/>
                                    <w:rPr>
                                      <w:rFonts w:asciiTheme="majorHAnsi" w:eastAsia="Times New Roman" w:hAnsiTheme="majorHAnsi" w:cs="Arial"/>
                                      <w:b/>
                                      <w:bCs/>
                                    </w:rPr>
                                  </w:pPr>
                                  <w:r w:rsidRPr="00734A48">
                                    <w:rPr>
                                      <w:rFonts w:asciiTheme="majorHAnsi" w:eastAsia="Times New Roman" w:hAnsiTheme="majorHAnsi" w:cs="Arial"/>
                                      <w:b/>
                                      <w:bCs/>
                                    </w:rPr>
                                    <w:t>Mo</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14:paraId="74611DBD" w14:textId="77777777" w:rsidR="007E349F" w:rsidRPr="00734A48" w:rsidRDefault="007E349F" w:rsidP="00FC3546">
                                  <w:pPr>
                                    <w:spacing w:after="0" w:line="240" w:lineRule="auto"/>
                                    <w:jc w:val="center"/>
                                    <w:rPr>
                                      <w:rFonts w:asciiTheme="majorHAnsi" w:eastAsia="Times New Roman" w:hAnsiTheme="majorHAnsi" w:cs="Arial"/>
                                      <w:b/>
                                      <w:bCs/>
                                    </w:rPr>
                                  </w:pPr>
                                  <w:r w:rsidRPr="00734A48">
                                    <w:rPr>
                                      <w:rFonts w:asciiTheme="majorHAnsi" w:eastAsia="Times New Roman" w:hAnsiTheme="majorHAnsi" w:cs="Arial"/>
                                      <w:b/>
                                      <w:bCs/>
                                    </w:rPr>
                                    <w:t>Ni</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14:paraId="4CBED245" w14:textId="77777777" w:rsidR="007E349F" w:rsidRPr="00734A48" w:rsidRDefault="007E349F" w:rsidP="00FC3546">
                                  <w:pPr>
                                    <w:spacing w:after="0" w:line="240" w:lineRule="auto"/>
                                    <w:jc w:val="center"/>
                                    <w:rPr>
                                      <w:rFonts w:asciiTheme="majorHAnsi" w:eastAsia="Times New Roman" w:hAnsiTheme="majorHAnsi" w:cs="Arial"/>
                                      <w:b/>
                                      <w:bCs/>
                                    </w:rPr>
                                  </w:pPr>
                                  <w:r w:rsidRPr="00734A48">
                                    <w:rPr>
                                      <w:rFonts w:asciiTheme="majorHAnsi" w:eastAsia="Times New Roman" w:hAnsiTheme="majorHAnsi" w:cs="Arial"/>
                                      <w:b/>
                                      <w:bCs/>
                                    </w:rPr>
                                    <w:t>Pb</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14:paraId="4F958F96" w14:textId="77777777" w:rsidR="007E349F" w:rsidRPr="00734A48" w:rsidRDefault="007E349F" w:rsidP="00FC3546">
                                  <w:pPr>
                                    <w:spacing w:after="0" w:line="240" w:lineRule="auto"/>
                                    <w:jc w:val="center"/>
                                    <w:rPr>
                                      <w:rFonts w:asciiTheme="majorHAnsi" w:eastAsia="Times New Roman" w:hAnsiTheme="majorHAnsi" w:cs="Arial"/>
                                      <w:b/>
                                      <w:bCs/>
                                    </w:rPr>
                                  </w:pPr>
                                  <w:r w:rsidRPr="00734A48">
                                    <w:rPr>
                                      <w:rFonts w:asciiTheme="majorHAnsi" w:eastAsia="Times New Roman" w:hAnsiTheme="majorHAnsi" w:cs="Arial"/>
                                      <w:b/>
                                      <w:bCs/>
                                    </w:rPr>
                                    <w:t>Se</w:t>
                                  </w:r>
                                </w:p>
                              </w:tc>
                              <w:tc>
                                <w:tcPr>
                                  <w:tcW w:w="980" w:type="dxa"/>
                                  <w:tcBorders>
                                    <w:top w:val="single" w:sz="4" w:space="0" w:color="auto"/>
                                    <w:left w:val="nil"/>
                                    <w:bottom w:val="single" w:sz="4" w:space="0" w:color="auto"/>
                                    <w:right w:val="single" w:sz="4" w:space="0" w:color="auto"/>
                                  </w:tcBorders>
                                  <w:shd w:val="clear" w:color="auto" w:fill="auto"/>
                                  <w:noWrap/>
                                  <w:vAlign w:val="center"/>
                                  <w:hideMark/>
                                </w:tcPr>
                                <w:p w14:paraId="37B24443" w14:textId="77777777" w:rsidR="007E349F" w:rsidRPr="00734A48" w:rsidRDefault="007E349F" w:rsidP="00FC3546">
                                  <w:pPr>
                                    <w:spacing w:after="0" w:line="240" w:lineRule="auto"/>
                                    <w:jc w:val="center"/>
                                    <w:rPr>
                                      <w:rFonts w:asciiTheme="majorHAnsi" w:eastAsia="Times New Roman" w:hAnsiTheme="majorHAnsi" w:cs="Arial"/>
                                      <w:b/>
                                      <w:bCs/>
                                    </w:rPr>
                                  </w:pPr>
                                  <w:r w:rsidRPr="00734A48">
                                    <w:rPr>
                                      <w:rFonts w:asciiTheme="majorHAnsi" w:eastAsia="Times New Roman" w:hAnsiTheme="majorHAnsi" w:cs="Arial"/>
                                      <w:b/>
                                      <w:bCs/>
                                    </w:rPr>
                                    <w:t>Zn</w:t>
                                  </w:r>
                                </w:p>
                              </w:tc>
                              <w:tc>
                                <w:tcPr>
                                  <w:tcW w:w="920" w:type="dxa"/>
                                  <w:tcBorders>
                                    <w:top w:val="single" w:sz="4" w:space="0" w:color="auto"/>
                                    <w:left w:val="nil"/>
                                    <w:bottom w:val="single" w:sz="4" w:space="0" w:color="auto"/>
                                    <w:right w:val="single" w:sz="4" w:space="0" w:color="auto"/>
                                  </w:tcBorders>
                                  <w:shd w:val="clear" w:color="auto" w:fill="auto"/>
                                  <w:noWrap/>
                                  <w:vAlign w:val="bottom"/>
                                  <w:hideMark/>
                                </w:tcPr>
                                <w:p w14:paraId="4CF17EDA" w14:textId="77777777" w:rsidR="007E349F" w:rsidRPr="00734A48" w:rsidRDefault="007E349F" w:rsidP="00FC3546">
                                  <w:pPr>
                                    <w:spacing w:after="0" w:line="240" w:lineRule="auto"/>
                                    <w:jc w:val="center"/>
                                    <w:rPr>
                                      <w:rFonts w:asciiTheme="majorHAnsi" w:eastAsia="Times New Roman" w:hAnsiTheme="majorHAnsi" w:cs="Arial"/>
                                      <w:b/>
                                      <w:bCs/>
                                    </w:rPr>
                                  </w:pPr>
                                  <w:r w:rsidRPr="00734A48">
                                    <w:rPr>
                                      <w:rFonts w:asciiTheme="majorHAnsi" w:eastAsia="Times New Roman" w:hAnsiTheme="majorHAnsi" w:cs="Arial"/>
                                      <w:b/>
                                      <w:bCs/>
                                    </w:rPr>
                                    <w:t>Ag</w:t>
                                  </w:r>
                                </w:p>
                              </w:tc>
                            </w:tr>
                            <w:tr w:rsidR="007E349F" w:rsidRPr="00734A48" w14:paraId="2AE5AB05" w14:textId="77777777" w:rsidTr="00FC3546">
                              <w:trPr>
                                <w:trHeight w:val="300"/>
                              </w:trPr>
                              <w:tc>
                                <w:tcPr>
                                  <w:tcW w:w="960" w:type="dxa"/>
                                  <w:tcBorders>
                                    <w:top w:val="single" w:sz="4" w:space="0" w:color="auto"/>
                                    <w:left w:val="single" w:sz="4" w:space="0" w:color="auto"/>
                                    <w:bottom w:val="nil"/>
                                    <w:right w:val="single" w:sz="4" w:space="0" w:color="auto"/>
                                  </w:tcBorders>
                                  <w:shd w:val="clear" w:color="auto" w:fill="auto"/>
                                  <w:noWrap/>
                                  <w:vAlign w:val="bottom"/>
                                  <w:hideMark/>
                                </w:tcPr>
                                <w:p w14:paraId="74392FF2" w14:textId="77777777" w:rsidR="007E349F" w:rsidRPr="00734A48" w:rsidRDefault="007E349F" w:rsidP="00FC3546">
                                  <w:pPr>
                                    <w:spacing w:after="0" w:line="240" w:lineRule="auto"/>
                                    <w:jc w:val="center"/>
                                    <w:rPr>
                                      <w:rFonts w:asciiTheme="majorHAnsi" w:eastAsia="Times New Roman" w:hAnsiTheme="majorHAnsi" w:cs="Times New Roman"/>
                                      <w:b/>
                                      <w:bCs/>
                                      <w:color w:val="000000"/>
                                    </w:rPr>
                                  </w:pPr>
                                  <w:r w:rsidRPr="00734A48">
                                    <w:rPr>
                                      <w:rFonts w:asciiTheme="majorHAnsi" w:eastAsia="Times New Roman" w:hAnsiTheme="majorHAnsi" w:cs="Times New Roman"/>
                                      <w:b/>
                                      <w:bCs/>
                                      <w:color w:val="000000"/>
                                    </w:rPr>
                                    <w:t>CB01-S</w:t>
                                  </w:r>
                                </w:p>
                              </w:tc>
                              <w:tc>
                                <w:tcPr>
                                  <w:tcW w:w="920" w:type="dxa"/>
                                  <w:tcBorders>
                                    <w:top w:val="nil"/>
                                    <w:left w:val="nil"/>
                                    <w:bottom w:val="nil"/>
                                    <w:right w:val="single" w:sz="4" w:space="0" w:color="auto"/>
                                  </w:tcBorders>
                                  <w:shd w:val="clear" w:color="auto" w:fill="auto"/>
                                  <w:noWrap/>
                                  <w:vAlign w:val="center"/>
                                  <w:hideMark/>
                                </w:tcPr>
                                <w:p w14:paraId="50F13FF6"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76.80</w:t>
                                  </w:r>
                                </w:p>
                              </w:tc>
                              <w:tc>
                                <w:tcPr>
                                  <w:tcW w:w="860" w:type="dxa"/>
                                  <w:tcBorders>
                                    <w:top w:val="nil"/>
                                    <w:left w:val="nil"/>
                                    <w:bottom w:val="nil"/>
                                    <w:right w:val="single" w:sz="4" w:space="0" w:color="auto"/>
                                  </w:tcBorders>
                                  <w:shd w:val="clear" w:color="auto" w:fill="auto"/>
                                  <w:noWrap/>
                                  <w:vAlign w:val="center"/>
                                  <w:hideMark/>
                                </w:tcPr>
                                <w:p w14:paraId="522FB3AE"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3.04</w:t>
                                  </w:r>
                                </w:p>
                              </w:tc>
                              <w:tc>
                                <w:tcPr>
                                  <w:tcW w:w="900" w:type="dxa"/>
                                  <w:tcBorders>
                                    <w:top w:val="nil"/>
                                    <w:left w:val="nil"/>
                                    <w:bottom w:val="nil"/>
                                    <w:right w:val="single" w:sz="4" w:space="0" w:color="auto"/>
                                  </w:tcBorders>
                                  <w:shd w:val="clear" w:color="auto" w:fill="auto"/>
                                  <w:noWrap/>
                                  <w:vAlign w:val="center"/>
                                  <w:hideMark/>
                                </w:tcPr>
                                <w:p w14:paraId="0B0D08F5"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5.66</w:t>
                                  </w:r>
                                </w:p>
                              </w:tc>
                              <w:tc>
                                <w:tcPr>
                                  <w:tcW w:w="960" w:type="dxa"/>
                                  <w:tcBorders>
                                    <w:top w:val="nil"/>
                                    <w:left w:val="nil"/>
                                    <w:bottom w:val="nil"/>
                                    <w:right w:val="single" w:sz="4" w:space="0" w:color="auto"/>
                                  </w:tcBorders>
                                  <w:shd w:val="clear" w:color="auto" w:fill="auto"/>
                                  <w:noWrap/>
                                  <w:vAlign w:val="center"/>
                                  <w:hideMark/>
                                </w:tcPr>
                                <w:p w14:paraId="0E1D6451"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165.99</w:t>
                                  </w:r>
                                </w:p>
                              </w:tc>
                              <w:tc>
                                <w:tcPr>
                                  <w:tcW w:w="880" w:type="dxa"/>
                                  <w:tcBorders>
                                    <w:top w:val="nil"/>
                                    <w:left w:val="nil"/>
                                    <w:bottom w:val="nil"/>
                                    <w:right w:val="single" w:sz="4" w:space="0" w:color="auto"/>
                                  </w:tcBorders>
                                  <w:shd w:val="clear" w:color="auto" w:fill="auto"/>
                                  <w:noWrap/>
                                  <w:vAlign w:val="center"/>
                                  <w:hideMark/>
                                </w:tcPr>
                                <w:p w14:paraId="189E2B94"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4.32</w:t>
                                  </w:r>
                                </w:p>
                              </w:tc>
                              <w:tc>
                                <w:tcPr>
                                  <w:tcW w:w="840" w:type="dxa"/>
                                  <w:tcBorders>
                                    <w:top w:val="nil"/>
                                    <w:left w:val="nil"/>
                                    <w:bottom w:val="nil"/>
                                    <w:right w:val="single" w:sz="4" w:space="0" w:color="auto"/>
                                  </w:tcBorders>
                                  <w:shd w:val="clear" w:color="auto" w:fill="auto"/>
                                  <w:noWrap/>
                                  <w:vAlign w:val="center"/>
                                  <w:hideMark/>
                                </w:tcPr>
                                <w:p w14:paraId="06FA906E"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1080" w:type="dxa"/>
                                  <w:tcBorders>
                                    <w:top w:val="nil"/>
                                    <w:left w:val="nil"/>
                                    <w:bottom w:val="nil"/>
                                    <w:right w:val="single" w:sz="4" w:space="0" w:color="auto"/>
                                  </w:tcBorders>
                                  <w:shd w:val="clear" w:color="auto" w:fill="auto"/>
                                  <w:noWrap/>
                                  <w:vAlign w:val="center"/>
                                  <w:hideMark/>
                                </w:tcPr>
                                <w:p w14:paraId="55838043"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6337.07</w:t>
                                  </w:r>
                                </w:p>
                              </w:tc>
                              <w:tc>
                                <w:tcPr>
                                  <w:tcW w:w="980" w:type="dxa"/>
                                  <w:tcBorders>
                                    <w:top w:val="nil"/>
                                    <w:left w:val="nil"/>
                                    <w:bottom w:val="nil"/>
                                    <w:right w:val="single" w:sz="4" w:space="0" w:color="auto"/>
                                  </w:tcBorders>
                                  <w:shd w:val="clear" w:color="auto" w:fill="auto"/>
                                  <w:noWrap/>
                                  <w:vAlign w:val="center"/>
                                  <w:hideMark/>
                                </w:tcPr>
                                <w:p w14:paraId="30DC5BF0"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5.28</w:t>
                                  </w:r>
                                </w:p>
                              </w:tc>
                              <w:tc>
                                <w:tcPr>
                                  <w:tcW w:w="920" w:type="dxa"/>
                                  <w:tcBorders>
                                    <w:top w:val="nil"/>
                                    <w:left w:val="nil"/>
                                    <w:bottom w:val="nil"/>
                                    <w:right w:val="single" w:sz="4" w:space="0" w:color="auto"/>
                                  </w:tcBorders>
                                  <w:shd w:val="clear" w:color="auto" w:fill="auto"/>
                                  <w:noWrap/>
                                  <w:vAlign w:val="center"/>
                                  <w:hideMark/>
                                </w:tcPr>
                                <w:p w14:paraId="10BFD89D"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r>
                            <w:tr w:rsidR="007E349F" w:rsidRPr="00734A48" w14:paraId="6E4E658E" w14:textId="77777777" w:rsidTr="00FC3546">
                              <w:trPr>
                                <w:trHeight w:val="300"/>
                              </w:trPr>
                              <w:tc>
                                <w:tcPr>
                                  <w:tcW w:w="960" w:type="dxa"/>
                                  <w:tcBorders>
                                    <w:top w:val="nil"/>
                                    <w:left w:val="single" w:sz="4" w:space="0" w:color="auto"/>
                                    <w:bottom w:val="nil"/>
                                    <w:right w:val="single" w:sz="4" w:space="0" w:color="auto"/>
                                  </w:tcBorders>
                                  <w:shd w:val="clear" w:color="auto" w:fill="auto"/>
                                  <w:noWrap/>
                                  <w:vAlign w:val="bottom"/>
                                  <w:hideMark/>
                                </w:tcPr>
                                <w:p w14:paraId="47DEAA32" w14:textId="77777777" w:rsidR="007E349F" w:rsidRPr="00734A48" w:rsidRDefault="007E349F" w:rsidP="00FC3546">
                                  <w:pPr>
                                    <w:spacing w:after="0" w:line="240" w:lineRule="auto"/>
                                    <w:jc w:val="center"/>
                                    <w:rPr>
                                      <w:rFonts w:asciiTheme="majorHAnsi" w:eastAsia="Times New Roman" w:hAnsiTheme="majorHAnsi" w:cs="Times New Roman"/>
                                      <w:b/>
                                      <w:bCs/>
                                      <w:color w:val="000000"/>
                                    </w:rPr>
                                  </w:pPr>
                                  <w:r w:rsidRPr="00734A48">
                                    <w:rPr>
                                      <w:rFonts w:asciiTheme="majorHAnsi" w:eastAsia="Times New Roman" w:hAnsiTheme="majorHAnsi" w:cs="Times New Roman"/>
                                      <w:b/>
                                      <w:bCs/>
                                      <w:color w:val="000000"/>
                                    </w:rPr>
                                    <w:t>SC01-S</w:t>
                                  </w:r>
                                </w:p>
                              </w:tc>
                              <w:tc>
                                <w:tcPr>
                                  <w:tcW w:w="920" w:type="dxa"/>
                                  <w:tcBorders>
                                    <w:top w:val="nil"/>
                                    <w:left w:val="nil"/>
                                    <w:bottom w:val="nil"/>
                                    <w:right w:val="single" w:sz="4" w:space="0" w:color="auto"/>
                                  </w:tcBorders>
                                  <w:shd w:val="clear" w:color="auto" w:fill="auto"/>
                                  <w:noWrap/>
                                  <w:vAlign w:val="center"/>
                                  <w:hideMark/>
                                </w:tcPr>
                                <w:p w14:paraId="44340FAA"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81.14</w:t>
                                  </w:r>
                                </w:p>
                              </w:tc>
                              <w:tc>
                                <w:tcPr>
                                  <w:tcW w:w="860" w:type="dxa"/>
                                  <w:tcBorders>
                                    <w:top w:val="nil"/>
                                    <w:left w:val="nil"/>
                                    <w:bottom w:val="nil"/>
                                    <w:right w:val="single" w:sz="4" w:space="0" w:color="auto"/>
                                  </w:tcBorders>
                                  <w:shd w:val="clear" w:color="auto" w:fill="auto"/>
                                  <w:noWrap/>
                                  <w:vAlign w:val="center"/>
                                  <w:hideMark/>
                                </w:tcPr>
                                <w:p w14:paraId="1C49BBE2"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3.07</w:t>
                                  </w:r>
                                </w:p>
                              </w:tc>
                              <w:tc>
                                <w:tcPr>
                                  <w:tcW w:w="900" w:type="dxa"/>
                                  <w:tcBorders>
                                    <w:top w:val="nil"/>
                                    <w:left w:val="nil"/>
                                    <w:bottom w:val="nil"/>
                                    <w:right w:val="single" w:sz="4" w:space="0" w:color="auto"/>
                                  </w:tcBorders>
                                  <w:shd w:val="clear" w:color="auto" w:fill="auto"/>
                                  <w:noWrap/>
                                  <w:vAlign w:val="center"/>
                                  <w:hideMark/>
                                </w:tcPr>
                                <w:p w14:paraId="53B99FBF"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4.18</w:t>
                                  </w:r>
                                </w:p>
                              </w:tc>
                              <w:tc>
                                <w:tcPr>
                                  <w:tcW w:w="960" w:type="dxa"/>
                                  <w:tcBorders>
                                    <w:top w:val="nil"/>
                                    <w:left w:val="nil"/>
                                    <w:bottom w:val="nil"/>
                                    <w:right w:val="single" w:sz="4" w:space="0" w:color="auto"/>
                                  </w:tcBorders>
                                  <w:shd w:val="clear" w:color="auto" w:fill="auto"/>
                                  <w:noWrap/>
                                  <w:vAlign w:val="center"/>
                                  <w:hideMark/>
                                </w:tcPr>
                                <w:p w14:paraId="133249A4"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164.71</w:t>
                                  </w:r>
                                </w:p>
                              </w:tc>
                              <w:tc>
                                <w:tcPr>
                                  <w:tcW w:w="880" w:type="dxa"/>
                                  <w:tcBorders>
                                    <w:top w:val="nil"/>
                                    <w:left w:val="nil"/>
                                    <w:bottom w:val="nil"/>
                                    <w:right w:val="single" w:sz="4" w:space="0" w:color="auto"/>
                                  </w:tcBorders>
                                  <w:shd w:val="clear" w:color="auto" w:fill="auto"/>
                                  <w:noWrap/>
                                  <w:vAlign w:val="center"/>
                                  <w:hideMark/>
                                </w:tcPr>
                                <w:p w14:paraId="0B3FD799"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4.13</w:t>
                                  </w:r>
                                </w:p>
                              </w:tc>
                              <w:tc>
                                <w:tcPr>
                                  <w:tcW w:w="840" w:type="dxa"/>
                                  <w:tcBorders>
                                    <w:top w:val="nil"/>
                                    <w:left w:val="nil"/>
                                    <w:bottom w:val="nil"/>
                                    <w:right w:val="single" w:sz="4" w:space="0" w:color="auto"/>
                                  </w:tcBorders>
                                  <w:shd w:val="clear" w:color="auto" w:fill="auto"/>
                                  <w:noWrap/>
                                  <w:vAlign w:val="center"/>
                                  <w:hideMark/>
                                </w:tcPr>
                                <w:p w14:paraId="2B3EB2D8"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1080" w:type="dxa"/>
                                  <w:tcBorders>
                                    <w:top w:val="nil"/>
                                    <w:left w:val="nil"/>
                                    <w:bottom w:val="nil"/>
                                    <w:right w:val="single" w:sz="4" w:space="0" w:color="auto"/>
                                  </w:tcBorders>
                                  <w:shd w:val="clear" w:color="auto" w:fill="auto"/>
                                  <w:noWrap/>
                                  <w:vAlign w:val="center"/>
                                  <w:hideMark/>
                                </w:tcPr>
                                <w:p w14:paraId="1F5FCD08"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5002.87</w:t>
                                  </w:r>
                                </w:p>
                              </w:tc>
                              <w:tc>
                                <w:tcPr>
                                  <w:tcW w:w="980" w:type="dxa"/>
                                  <w:tcBorders>
                                    <w:top w:val="nil"/>
                                    <w:left w:val="nil"/>
                                    <w:bottom w:val="nil"/>
                                    <w:right w:val="single" w:sz="4" w:space="0" w:color="auto"/>
                                  </w:tcBorders>
                                  <w:shd w:val="clear" w:color="auto" w:fill="auto"/>
                                  <w:noWrap/>
                                  <w:vAlign w:val="center"/>
                                  <w:hideMark/>
                                </w:tcPr>
                                <w:p w14:paraId="3949671A"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4.30</w:t>
                                  </w:r>
                                </w:p>
                              </w:tc>
                              <w:tc>
                                <w:tcPr>
                                  <w:tcW w:w="920" w:type="dxa"/>
                                  <w:tcBorders>
                                    <w:top w:val="nil"/>
                                    <w:left w:val="nil"/>
                                    <w:bottom w:val="nil"/>
                                    <w:right w:val="single" w:sz="4" w:space="0" w:color="auto"/>
                                  </w:tcBorders>
                                  <w:shd w:val="clear" w:color="auto" w:fill="auto"/>
                                  <w:noWrap/>
                                  <w:vAlign w:val="center"/>
                                  <w:hideMark/>
                                </w:tcPr>
                                <w:p w14:paraId="500516F4"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r>
                            <w:tr w:rsidR="007E349F" w:rsidRPr="00734A48" w14:paraId="01AA073C" w14:textId="77777777" w:rsidTr="00FC3546">
                              <w:trPr>
                                <w:trHeight w:val="300"/>
                              </w:trPr>
                              <w:tc>
                                <w:tcPr>
                                  <w:tcW w:w="960" w:type="dxa"/>
                                  <w:tcBorders>
                                    <w:top w:val="nil"/>
                                    <w:left w:val="single" w:sz="4" w:space="0" w:color="auto"/>
                                    <w:bottom w:val="nil"/>
                                    <w:right w:val="single" w:sz="4" w:space="0" w:color="auto"/>
                                  </w:tcBorders>
                                  <w:shd w:val="clear" w:color="auto" w:fill="auto"/>
                                  <w:noWrap/>
                                  <w:vAlign w:val="center"/>
                                  <w:hideMark/>
                                </w:tcPr>
                                <w:p w14:paraId="509AED66" w14:textId="77777777" w:rsidR="007E349F" w:rsidRPr="00734A48" w:rsidRDefault="007E349F" w:rsidP="00FC3546">
                                  <w:pPr>
                                    <w:spacing w:after="0" w:line="240" w:lineRule="auto"/>
                                    <w:jc w:val="center"/>
                                    <w:rPr>
                                      <w:rFonts w:asciiTheme="majorHAnsi" w:eastAsia="Times New Roman" w:hAnsiTheme="majorHAnsi" w:cs="Times New Roman"/>
                                      <w:b/>
                                      <w:bCs/>
                                      <w:color w:val="000000"/>
                                    </w:rPr>
                                  </w:pPr>
                                  <w:r w:rsidRPr="00734A48">
                                    <w:rPr>
                                      <w:rFonts w:asciiTheme="majorHAnsi" w:eastAsia="Times New Roman" w:hAnsiTheme="majorHAnsi" w:cs="Times New Roman"/>
                                      <w:b/>
                                      <w:bCs/>
                                      <w:color w:val="000000"/>
                                    </w:rPr>
                                    <w:t>PS01-S</w:t>
                                  </w:r>
                                </w:p>
                              </w:tc>
                              <w:tc>
                                <w:tcPr>
                                  <w:tcW w:w="920" w:type="dxa"/>
                                  <w:tcBorders>
                                    <w:top w:val="nil"/>
                                    <w:left w:val="nil"/>
                                    <w:bottom w:val="nil"/>
                                    <w:right w:val="single" w:sz="4" w:space="0" w:color="auto"/>
                                  </w:tcBorders>
                                  <w:shd w:val="clear" w:color="auto" w:fill="auto"/>
                                  <w:noWrap/>
                                  <w:vAlign w:val="center"/>
                                  <w:hideMark/>
                                </w:tcPr>
                                <w:p w14:paraId="629242C9"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860" w:type="dxa"/>
                                  <w:tcBorders>
                                    <w:top w:val="nil"/>
                                    <w:left w:val="nil"/>
                                    <w:bottom w:val="nil"/>
                                    <w:right w:val="single" w:sz="4" w:space="0" w:color="auto"/>
                                  </w:tcBorders>
                                  <w:shd w:val="clear" w:color="auto" w:fill="auto"/>
                                  <w:noWrap/>
                                  <w:vAlign w:val="center"/>
                                  <w:hideMark/>
                                </w:tcPr>
                                <w:p w14:paraId="201905F8"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900" w:type="dxa"/>
                                  <w:tcBorders>
                                    <w:top w:val="nil"/>
                                    <w:left w:val="nil"/>
                                    <w:bottom w:val="nil"/>
                                    <w:right w:val="single" w:sz="4" w:space="0" w:color="auto"/>
                                  </w:tcBorders>
                                  <w:shd w:val="clear" w:color="auto" w:fill="auto"/>
                                  <w:noWrap/>
                                  <w:vAlign w:val="center"/>
                                  <w:hideMark/>
                                </w:tcPr>
                                <w:p w14:paraId="7B06B29D"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960" w:type="dxa"/>
                                  <w:tcBorders>
                                    <w:top w:val="nil"/>
                                    <w:left w:val="nil"/>
                                    <w:bottom w:val="nil"/>
                                    <w:right w:val="single" w:sz="4" w:space="0" w:color="auto"/>
                                  </w:tcBorders>
                                  <w:shd w:val="clear" w:color="auto" w:fill="auto"/>
                                  <w:noWrap/>
                                  <w:vAlign w:val="center"/>
                                  <w:hideMark/>
                                </w:tcPr>
                                <w:p w14:paraId="4AFF21BA"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880" w:type="dxa"/>
                                  <w:tcBorders>
                                    <w:top w:val="nil"/>
                                    <w:left w:val="nil"/>
                                    <w:bottom w:val="nil"/>
                                    <w:right w:val="single" w:sz="4" w:space="0" w:color="auto"/>
                                  </w:tcBorders>
                                  <w:shd w:val="clear" w:color="auto" w:fill="auto"/>
                                  <w:noWrap/>
                                  <w:vAlign w:val="center"/>
                                  <w:hideMark/>
                                </w:tcPr>
                                <w:p w14:paraId="38BDBD9A"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6.25</w:t>
                                  </w:r>
                                </w:p>
                              </w:tc>
                              <w:tc>
                                <w:tcPr>
                                  <w:tcW w:w="840" w:type="dxa"/>
                                  <w:tcBorders>
                                    <w:top w:val="nil"/>
                                    <w:left w:val="nil"/>
                                    <w:bottom w:val="nil"/>
                                    <w:right w:val="single" w:sz="4" w:space="0" w:color="auto"/>
                                  </w:tcBorders>
                                  <w:shd w:val="clear" w:color="auto" w:fill="auto"/>
                                  <w:noWrap/>
                                  <w:vAlign w:val="center"/>
                                  <w:hideMark/>
                                </w:tcPr>
                                <w:p w14:paraId="621F9F66"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1080" w:type="dxa"/>
                                  <w:tcBorders>
                                    <w:top w:val="nil"/>
                                    <w:left w:val="nil"/>
                                    <w:bottom w:val="nil"/>
                                    <w:right w:val="single" w:sz="4" w:space="0" w:color="auto"/>
                                  </w:tcBorders>
                                  <w:shd w:val="clear" w:color="auto" w:fill="auto"/>
                                  <w:noWrap/>
                                  <w:vAlign w:val="center"/>
                                  <w:hideMark/>
                                </w:tcPr>
                                <w:p w14:paraId="7232FFD1"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23377.12</w:t>
                                  </w:r>
                                </w:p>
                              </w:tc>
                              <w:tc>
                                <w:tcPr>
                                  <w:tcW w:w="980" w:type="dxa"/>
                                  <w:tcBorders>
                                    <w:top w:val="nil"/>
                                    <w:left w:val="nil"/>
                                    <w:bottom w:val="nil"/>
                                    <w:right w:val="single" w:sz="4" w:space="0" w:color="auto"/>
                                  </w:tcBorders>
                                  <w:shd w:val="clear" w:color="auto" w:fill="auto"/>
                                  <w:noWrap/>
                                  <w:vAlign w:val="center"/>
                                  <w:hideMark/>
                                </w:tcPr>
                                <w:p w14:paraId="298CE71E"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TR</w:t>
                                  </w:r>
                                </w:p>
                              </w:tc>
                              <w:tc>
                                <w:tcPr>
                                  <w:tcW w:w="920" w:type="dxa"/>
                                  <w:tcBorders>
                                    <w:top w:val="nil"/>
                                    <w:left w:val="nil"/>
                                    <w:bottom w:val="nil"/>
                                    <w:right w:val="single" w:sz="4" w:space="0" w:color="auto"/>
                                  </w:tcBorders>
                                  <w:shd w:val="clear" w:color="auto" w:fill="auto"/>
                                  <w:noWrap/>
                                  <w:vAlign w:val="center"/>
                                  <w:hideMark/>
                                </w:tcPr>
                                <w:p w14:paraId="1D8B3CD9"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r>
                            <w:tr w:rsidR="007E349F" w:rsidRPr="00734A48" w14:paraId="3CC30B40" w14:textId="77777777" w:rsidTr="00FC3546">
                              <w:trPr>
                                <w:trHeight w:val="300"/>
                              </w:trPr>
                              <w:tc>
                                <w:tcPr>
                                  <w:tcW w:w="960" w:type="dxa"/>
                                  <w:tcBorders>
                                    <w:top w:val="nil"/>
                                    <w:left w:val="single" w:sz="4" w:space="0" w:color="auto"/>
                                    <w:bottom w:val="nil"/>
                                    <w:right w:val="single" w:sz="4" w:space="0" w:color="auto"/>
                                  </w:tcBorders>
                                  <w:shd w:val="clear" w:color="auto" w:fill="auto"/>
                                  <w:noWrap/>
                                  <w:vAlign w:val="center"/>
                                  <w:hideMark/>
                                </w:tcPr>
                                <w:p w14:paraId="72E43753" w14:textId="77777777" w:rsidR="007E349F" w:rsidRPr="00734A48" w:rsidRDefault="007E349F" w:rsidP="00FC3546">
                                  <w:pPr>
                                    <w:spacing w:after="0" w:line="240" w:lineRule="auto"/>
                                    <w:jc w:val="center"/>
                                    <w:rPr>
                                      <w:rFonts w:asciiTheme="majorHAnsi" w:eastAsia="Times New Roman" w:hAnsiTheme="majorHAnsi" w:cs="Times New Roman"/>
                                      <w:b/>
                                      <w:bCs/>
                                      <w:color w:val="000000"/>
                                    </w:rPr>
                                  </w:pPr>
                                  <w:r w:rsidRPr="00734A48">
                                    <w:rPr>
                                      <w:rFonts w:asciiTheme="majorHAnsi" w:eastAsia="Times New Roman" w:hAnsiTheme="majorHAnsi" w:cs="Times New Roman"/>
                                      <w:b/>
                                      <w:bCs/>
                                      <w:color w:val="000000"/>
                                    </w:rPr>
                                    <w:t>RP01-S</w:t>
                                  </w:r>
                                </w:p>
                              </w:tc>
                              <w:tc>
                                <w:tcPr>
                                  <w:tcW w:w="920" w:type="dxa"/>
                                  <w:tcBorders>
                                    <w:top w:val="nil"/>
                                    <w:left w:val="nil"/>
                                    <w:bottom w:val="nil"/>
                                    <w:right w:val="single" w:sz="4" w:space="0" w:color="auto"/>
                                  </w:tcBorders>
                                  <w:shd w:val="clear" w:color="auto" w:fill="auto"/>
                                  <w:noWrap/>
                                  <w:vAlign w:val="center"/>
                                  <w:hideMark/>
                                </w:tcPr>
                                <w:p w14:paraId="382B63A4"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860" w:type="dxa"/>
                                  <w:tcBorders>
                                    <w:top w:val="nil"/>
                                    <w:left w:val="nil"/>
                                    <w:bottom w:val="nil"/>
                                    <w:right w:val="single" w:sz="4" w:space="0" w:color="auto"/>
                                  </w:tcBorders>
                                  <w:shd w:val="clear" w:color="auto" w:fill="auto"/>
                                  <w:noWrap/>
                                  <w:vAlign w:val="center"/>
                                  <w:hideMark/>
                                </w:tcPr>
                                <w:p w14:paraId="739A4C96"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900" w:type="dxa"/>
                                  <w:tcBorders>
                                    <w:top w:val="nil"/>
                                    <w:left w:val="nil"/>
                                    <w:bottom w:val="nil"/>
                                    <w:right w:val="single" w:sz="4" w:space="0" w:color="auto"/>
                                  </w:tcBorders>
                                  <w:shd w:val="clear" w:color="auto" w:fill="auto"/>
                                  <w:noWrap/>
                                  <w:vAlign w:val="center"/>
                                  <w:hideMark/>
                                </w:tcPr>
                                <w:p w14:paraId="017917AC"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960" w:type="dxa"/>
                                  <w:tcBorders>
                                    <w:top w:val="nil"/>
                                    <w:left w:val="nil"/>
                                    <w:bottom w:val="nil"/>
                                    <w:right w:val="single" w:sz="4" w:space="0" w:color="auto"/>
                                  </w:tcBorders>
                                  <w:shd w:val="clear" w:color="auto" w:fill="auto"/>
                                  <w:noWrap/>
                                  <w:vAlign w:val="center"/>
                                  <w:hideMark/>
                                </w:tcPr>
                                <w:p w14:paraId="1D8DDAA8"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880" w:type="dxa"/>
                                  <w:tcBorders>
                                    <w:top w:val="nil"/>
                                    <w:left w:val="nil"/>
                                    <w:bottom w:val="nil"/>
                                    <w:right w:val="single" w:sz="4" w:space="0" w:color="auto"/>
                                  </w:tcBorders>
                                  <w:shd w:val="clear" w:color="auto" w:fill="auto"/>
                                  <w:noWrap/>
                                  <w:vAlign w:val="center"/>
                                  <w:hideMark/>
                                </w:tcPr>
                                <w:p w14:paraId="660A2936"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TR</w:t>
                                  </w:r>
                                </w:p>
                              </w:tc>
                              <w:tc>
                                <w:tcPr>
                                  <w:tcW w:w="840" w:type="dxa"/>
                                  <w:tcBorders>
                                    <w:top w:val="nil"/>
                                    <w:left w:val="nil"/>
                                    <w:bottom w:val="nil"/>
                                    <w:right w:val="single" w:sz="4" w:space="0" w:color="auto"/>
                                  </w:tcBorders>
                                  <w:shd w:val="clear" w:color="auto" w:fill="auto"/>
                                  <w:noWrap/>
                                  <w:vAlign w:val="center"/>
                                  <w:hideMark/>
                                </w:tcPr>
                                <w:p w14:paraId="2EDBDB37"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1080" w:type="dxa"/>
                                  <w:tcBorders>
                                    <w:top w:val="nil"/>
                                    <w:left w:val="nil"/>
                                    <w:bottom w:val="nil"/>
                                    <w:right w:val="single" w:sz="4" w:space="0" w:color="auto"/>
                                  </w:tcBorders>
                                  <w:shd w:val="clear" w:color="auto" w:fill="auto"/>
                                  <w:noWrap/>
                                  <w:vAlign w:val="center"/>
                                  <w:hideMark/>
                                </w:tcPr>
                                <w:p w14:paraId="4375A000"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17244.02</w:t>
                                  </w:r>
                                </w:p>
                              </w:tc>
                              <w:tc>
                                <w:tcPr>
                                  <w:tcW w:w="980" w:type="dxa"/>
                                  <w:tcBorders>
                                    <w:top w:val="nil"/>
                                    <w:left w:val="nil"/>
                                    <w:bottom w:val="nil"/>
                                    <w:right w:val="single" w:sz="4" w:space="0" w:color="auto"/>
                                  </w:tcBorders>
                                  <w:shd w:val="clear" w:color="auto" w:fill="auto"/>
                                  <w:noWrap/>
                                  <w:vAlign w:val="center"/>
                                  <w:hideMark/>
                                </w:tcPr>
                                <w:p w14:paraId="128803BC"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920" w:type="dxa"/>
                                  <w:tcBorders>
                                    <w:top w:val="nil"/>
                                    <w:left w:val="nil"/>
                                    <w:bottom w:val="nil"/>
                                    <w:right w:val="single" w:sz="4" w:space="0" w:color="auto"/>
                                  </w:tcBorders>
                                  <w:shd w:val="clear" w:color="auto" w:fill="auto"/>
                                  <w:noWrap/>
                                  <w:vAlign w:val="center"/>
                                  <w:hideMark/>
                                </w:tcPr>
                                <w:p w14:paraId="0703EDB6"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r>
                            <w:tr w:rsidR="007E349F" w:rsidRPr="00734A48" w14:paraId="7009141D" w14:textId="77777777" w:rsidTr="00FC3546">
                              <w:trPr>
                                <w:trHeight w:val="300"/>
                              </w:trPr>
                              <w:tc>
                                <w:tcPr>
                                  <w:tcW w:w="960" w:type="dxa"/>
                                  <w:tcBorders>
                                    <w:top w:val="single" w:sz="4" w:space="0" w:color="auto"/>
                                    <w:left w:val="single" w:sz="4" w:space="0" w:color="auto"/>
                                    <w:bottom w:val="nil"/>
                                    <w:right w:val="single" w:sz="4" w:space="0" w:color="auto"/>
                                  </w:tcBorders>
                                  <w:shd w:val="clear" w:color="auto" w:fill="auto"/>
                                  <w:noWrap/>
                                  <w:vAlign w:val="center"/>
                                  <w:hideMark/>
                                </w:tcPr>
                                <w:p w14:paraId="21936F91" w14:textId="77777777" w:rsidR="007E349F" w:rsidRPr="00734A48" w:rsidRDefault="007E349F" w:rsidP="00FC3546">
                                  <w:pPr>
                                    <w:spacing w:after="0" w:line="240" w:lineRule="auto"/>
                                    <w:jc w:val="center"/>
                                    <w:rPr>
                                      <w:rFonts w:asciiTheme="majorHAnsi" w:eastAsia="Times New Roman" w:hAnsiTheme="majorHAnsi" w:cs="Times New Roman"/>
                                      <w:b/>
                                      <w:bCs/>
                                      <w:color w:val="000000"/>
                                    </w:rPr>
                                  </w:pPr>
                                  <w:r w:rsidRPr="00734A48">
                                    <w:rPr>
                                      <w:rFonts w:asciiTheme="majorHAnsi" w:eastAsia="Times New Roman" w:hAnsiTheme="majorHAnsi" w:cs="Times New Roman"/>
                                      <w:b/>
                                      <w:bCs/>
                                      <w:color w:val="000000"/>
                                    </w:rPr>
                                    <w:t>CB01-Z</w:t>
                                  </w:r>
                                </w:p>
                              </w:tc>
                              <w:tc>
                                <w:tcPr>
                                  <w:tcW w:w="920" w:type="dxa"/>
                                  <w:tcBorders>
                                    <w:top w:val="single" w:sz="4" w:space="0" w:color="auto"/>
                                    <w:left w:val="nil"/>
                                    <w:bottom w:val="nil"/>
                                    <w:right w:val="single" w:sz="4" w:space="0" w:color="auto"/>
                                  </w:tcBorders>
                                  <w:shd w:val="clear" w:color="auto" w:fill="auto"/>
                                  <w:noWrap/>
                                  <w:vAlign w:val="center"/>
                                  <w:hideMark/>
                                </w:tcPr>
                                <w:p w14:paraId="302BD4EF"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749.82</w:t>
                                  </w:r>
                                </w:p>
                              </w:tc>
                              <w:tc>
                                <w:tcPr>
                                  <w:tcW w:w="860" w:type="dxa"/>
                                  <w:tcBorders>
                                    <w:top w:val="single" w:sz="4" w:space="0" w:color="auto"/>
                                    <w:left w:val="nil"/>
                                    <w:bottom w:val="nil"/>
                                    <w:right w:val="single" w:sz="4" w:space="0" w:color="auto"/>
                                  </w:tcBorders>
                                  <w:shd w:val="clear" w:color="auto" w:fill="auto"/>
                                  <w:noWrap/>
                                  <w:vAlign w:val="center"/>
                                  <w:hideMark/>
                                </w:tcPr>
                                <w:p w14:paraId="1C94A4B3"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121.13</w:t>
                                  </w:r>
                                </w:p>
                              </w:tc>
                              <w:tc>
                                <w:tcPr>
                                  <w:tcW w:w="900" w:type="dxa"/>
                                  <w:tcBorders>
                                    <w:top w:val="single" w:sz="4" w:space="0" w:color="auto"/>
                                    <w:left w:val="nil"/>
                                    <w:bottom w:val="nil"/>
                                    <w:right w:val="single" w:sz="4" w:space="0" w:color="auto"/>
                                  </w:tcBorders>
                                  <w:shd w:val="clear" w:color="auto" w:fill="auto"/>
                                  <w:noWrap/>
                                  <w:vAlign w:val="center"/>
                                  <w:hideMark/>
                                </w:tcPr>
                                <w:p w14:paraId="0D7F32A2"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5948.59</w:t>
                                  </w:r>
                                </w:p>
                              </w:tc>
                              <w:tc>
                                <w:tcPr>
                                  <w:tcW w:w="960" w:type="dxa"/>
                                  <w:tcBorders>
                                    <w:top w:val="single" w:sz="4" w:space="0" w:color="auto"/>
                                    <w:left w:val="nil"/>
                                    <w:bottom w:val="nil"/>
                                    <w:right w:val="single" w:sz="4" w:space="0" w:color="auto"/>
                                  </w:tcBorders>
                                  <w:shd w:val="clear" w:color="auto" w:fill="auto"/>
                                  <w:noWrap/>
                                  <w:vAlign w:val="center"/>
                                  <w:hideMark/>
                                </w:tcPr>
                                <w:p w14:paraId="63C62EE4"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1623.54</w:t>
                                  </w:r>
                                </w:p>
                              </w:tc>
                              <w:tc>
                                <w:tcPr>
                                  <w:tcW w:w="880" w:type="dxa"/>
                                  <w:tcBorders>
                                    <w:top w:val="single" w:sz="4" w:space="0" w:color="auto"/>
                                    <w:left w:val="nil"/>
                                    <w:bottom w:val="nil"/>
                                    <w:right w:val="single" w:sz="4" w:space="0" w:color="auto"/>
                                  </w:tcBorders>
                                  <w:shd w:val="clear" w:color="auto" w:fill="auto"/>
                                  <w:noWrap/>
                                  <w:vAlign w:val="center"/>
                                  <w:hideMark/>
                                </w:tcPr>
                                <w:p w14:paraId="4501C9F4"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338.18</w:t>
                                  </w:r>
                                </w:p>
                              </w:tc>
                              <w:tc>
                                <w:tcPr>
                                  <w:tcW w:w="840" w:type="dxa"/>
                                  <w:tcBorders>
                                    <w:top w:val="single" w:sz="4" w:space="0" w:color="auto"/>
                                    <w:left w:val="nil"/>
                                    <w:bottom w:val="nil"/>
                                    <w:right w:val="single" w:sz="4" w:space="0" w:color="auto"/>
                                  </w:tcBorders>
                                  <w:shd w:val="clear" w:color="auto" w:fill="auto"/>
                                  <w:noWrap/>
                                  <w:vAlign w:val="center"/>
                                  <w:hideMark/>
                                </w:tcPr>
                                <w:p w14:paraId="70AD6968"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835.74</w:t>
                                  </w:r>
                                </w:p>
                              </w:tc>
                              <w:tc>
                                <w:tcPr>
                                  <w:tcW w:w="1080" w:type="dxa"/>
                                  <w:tcBorders>
                                    <w:top w:val="single" w:sz="4" w:space="0" w:color="auto"/>
                                    <w:left w:val="nil"/>
                                    <w:bottom w:val="nil"/>
                                    <w:right w:val="single" w:sz="4" w:space="0" w:color="auto"/>
                                  </w:tcBorders>
                                  <w:shd w:val="clear" w:color="auto" w:fill="auto"/>
                                  <w:noWrap/>
                                  <w:vAlign w:val="center"/>
                                  <w:hideMark/>
                                </w:tcPr>
                                <w:p w14:paraId="47B1BDD5"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19893.76</w:t>
                                  </w:r>
                                </w:p>
                              </w:tc>
                              <w:tc>
                                <w:tcPr>
                                  <w:tcW w:w="980" w:type="dxa"/>
                                  <w:tcBorders>
                                    <w:top w:val="single" w:sz="4" w:space="0" w:color="auto"/>
                                    <w:left w:val="nil"/>
                                    <w:bottom w:val="nil"/>
                                    <w:right w:val="single" w:sz="4" w:space="0" w:color="auto"/>
                                  </w:tcBorders>
                                  <w:shd w:val="clear" w:color="auto" w:fill="auto"/>
                                  <w:noWrap/>
                                  <w:vAlign w:val="center"/>
                                  <w:hideMark/>
                                </w:tcPr>
                                <w:p w14:paraId="08CC6262"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4751.32</w:t>
                                  </w:r>
                                </w:p>
                              </w:tc>
                              <w:tc>
                                <w:tcPr>
                                  <w:tcW w:w="920" w:type="dxa"/>
                                  <w:tcBorders>
                                    <w:top w:val="single" w:sz="4" w:space="0" w:color="auto"/>
                                    <w:left w:val="nil"/>
                                    <w:bottom w:val="nil"/>
                                    <w:right w:val="single" w:sz="4" w:space="0" w:color="auto"/>
                                  </w:tcBorders>
                                  <w:shd w:val="clear" w:color="auto" w:fill="auto"/>
                                  <w:noWrap/>
                                  <w:vAlign w:val="center"/>
                                  <w:hideMark/>
                                </w:tcPr>
                                <w:p w14:paraId="23E70073"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r>
                            <w:tr w:rsidR="007E349F" w:rsidRPr="00734A48" w14:paraId="54F0E329" w14:textId="77777777" w:rsidTr="00FC3546">
                              <w:trPr>
                                <w:trHeight w:val="300"/>
                              </w:trPr>
                              <w:tc>
                                <w:tcPr>
                                  <w:tcW w:w="960" w:type="dxa"/>
                                  <w:tcBorders>
                                    <w:top w:val="nil"/>
                                    <w:left w:val="single" w:sz="4" w:space="0" w:color="auto"/>
                                    <w:bottom w:val="nil"/>
                                    <w:right w:val="single" w:sz="4" w:space="0" w:color="auto"/>
                                  </w:tcBorders>
                                  <w:shd w:val="clear" w:color="auto" w:fill="auto"/>
                                  <w:noWrap/>
                                  <w:vAlign w:val="center"/>
                                  <w:hideMark/>
                                </w:tcPr>
                                <w:p w14:paraId="2755A2A9" w14:textId="77777777" w:rsidR="007E349F" w:rsidRPr="00734A48" w:rsidRDefault="007E349F" w:rsidP="00FC3546">
                                  <w:pPr>
                                    <w:spacing w:after="0" w:line="240" w:lineRule="auto"/>
                                    <w:jc w:val="center"/>
                                    <w:rPr>
                                      <w:rFonts w:asciiTheme="majorHAnsi" w:eastAsia="Times New Roman" w:hAnsiTheme="majorHAnsi" w:cs="Times New Roman"/>
                                      <w:b/>
                                      <w:bCs/>
                                      <w:color w:val="000000"/>
                                    </w:rPr>
                                  </w:pPr>
                                  <w:r w:rsidRPr="00734A48">
                                    <w:rPr>
                                      <w:rFonts w:asciiTheme="majorHAnsi" w:eastAsia="Times New Roman" w:hAnsiTheme="majorHAnsi" w:cs="Times New Roman"/>
                                      <w:b/>
                                      <w:bCs/>
                                      <w:color w:val="000000"/>
                                    </w:rPr>
                                    <w:t>CB01-I</w:t>
                                  </w:r>
                                </w:p>
                              </w:tc>
                              <w:tc>
                                <w:tcPr>
                                  <w:tcW w:w="920" w:type="dxa"/>
                                  <w:tcBorders>
                                    <w:top w:val="nil"/>
                                    <w:left w:val="nil"/>
                                    <w:bottom w:val="nil"/>
                                    <w:right w:val="single" w:sz="4" w:space="0" w:color="auto"/>
                                  </w:tcBorders>
                                  <w:shd w:val="clear" w:color="auto" w:fill="auto"/>
                                  <w:noWrap/>
                                  <w:vAlign w:val="center"/>
                                  <w:hideMark/>
                                </w:tcPr>
                                <w:p w14:paraId="1B4DE645"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276.63</w:t>
                                  </w:r>
                                </w:p>
                              </w:tc>
                              <w:tc>
                                <w:tcPr>
                                  <w:tcW w:w="860" w:type="dxa"/>
                                  <w:tcBorders>
                                    <w:top w:val="nil"/>
                                    <w:left w:val="nil"/>
                                    <w:bottom w:val="nil"/>
                                    <w:right w:val="single" w:sz="4" w:space="0" w:color="auto"/>
                                  </w:tcBorders>
                                  <w:shd w:val="clear" w:color="auto" w:fill="auto"/>
                                  <w:noWrap/>
                                  <w:vAlign w:val="center"/>
                                  <w:hideMark/>
                                </w:tcPr>
                                <w:p w14:paraId="16879360"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10.01</w:t>
                                  </w:r>
                                </w:p>
                              </w:tc>
                              <w:tc>
                                <w:tcPr>
                                  <w:tcW w:w="900" w:type="dxa"/>
                                  <w:tcBorders>
                                    <w:top w:val="nil"/>
                                    <w:left w:val="nil"/>
                                    <w:bottom w:val="nil"/>
                                    <w:right w:val="single" w:sz="4" w:space="0" w:color="auto"/>
                                  </w:tcBorders>
                                  <w:shd w:val="clear" w:color="auto" w:fill="auto"/>
                                  <w:noWrap/>
                                  <w:vAlign w:val="center"/>
                                  <w:hideMark/>
                                </w:tcPr>
                                <w:p w14:paraId="6A2D8717"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14.59</w:t>
                                  </w:r>
                                </w:p>
                              </w:tc>
                              <w:tc>
                                <w:tcPr>
                                  <w:tcW w:w="960" w:type="dxa"/>
                                  <w:tcBorders>
                                    <w:top w:val="nil"/>
                                    <w:left w:val="nil"/>
                                    <w:bottom w:val="nil"/>
                                    <w:right w:val="single" w:sz="4" w:space="0" w:color="auto"/>
                                  </w:tcBorders>
                                  <w:shd w:val="clear" w:color="auto" w:fill="auto"/>
                                  <w:noWrap/>
                                  <w:vAlign w:val="center"/>
                                  <w:hideMark/>
                                </w:tcPr>
                                <w:p w14:paraId="6FA4668D"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237.03</w:t>
                                  </w:r>
                                </w:p>
                              </w:tc>
                              <w:tc>
                                <w:tcPr>
                                  <w:tcW w:w="880" w:type="dxa"/>
                                  <w:tcBorders>
                                    <w:top w:val="nil"/>
                                    <w:left w:val="nil"/>
                                    <w:bottom w:val="nil"/>
                                    <w:right w:val="single" w:sz="4" w:space="0" w:color="auto"/>
                                  </w:tcBorders>
                                  <w:shd w:val="clear" w:color="auto" w:fill="auto"/>
                                  <w:noWrap/>
                                  <w:vAlign w:val="center"/>
                                  <w:hideMark/>
                                </w:tcPr>
                                <w:p w14:paraId="10FF3054"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6.53</w:t>
                                  </w:r>
                                </w:p>
                              </w:tc>
                              <w:tc>
                                <w:tcPr>
                                  <w:tcW w:w="840" w:type="dxa"/>
                                  <w:tcBorders>
                                    <w:top w:val="nil"/>
                                    <w:left w:val="nil"/>
                                    <w:bottom w:val="nil"/>
                                    <w:right w:val="single" w:sz="4" w:space="0" w:color="auto"/>
                                  </w:tcBorders>
                                  <w:shd w:val="clear" w:color="auto" w:fill="auto"/>
                                  <w:noWrap/>
                                  <w:vAlign w:val="center"/>
                                  <w:hideMark/>
                                </w:tcPr>
                                <w:p w14:paraId="28EDB8CB"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1080" w:type="dxa"/>
                                  <w:tcBorders>
                                    <w:top w:val="nil"/>
                                    <w:left w:val="nil"/>
                                    <w:bottom w:val="nil"/>
                                    <w:right w:val="single" w:sz="4" w:space="0" w:color="auto"/>
                                  </w:tcBorders>
                                  <w:shd w:val="clear" w:color="auto" w:fill="auto"/>
                                  <w:noWrap/>
                                  <w:vAlign w:val="center"/>
                                  <w:hideMark/>
                                </w:tcPr>
                                <w:p w14:paraId="42D71904"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8796.63</w:t>
                                  </w:r>
                                </w:p>
                              </w:tc>
                              <w:tc>
                                <w:tcPr>
                                  <w:tcW w:w="980" w:type="dxa"/>
                                  <w:tcBorders>
                                    <w:top w:val="nil"/>
                                    <w:left w:val="nil"/>
                                    <w:bottom w:val="nil"/>
                                    <w:right w:val="single" w:sz="4" w:space="0" w:color="auto"/>
                                  </w:tcBorders>
                                  <w:shd w:val="clear" w:color="auto" w:fill="auto"/>
                                  <w:noWrap/>
                                  <w:vAlign w:val="center"/>
                                  <w:hideMark/>
                                </w:tcPr>
                                <w:p w14:paraId="50E77D0D"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12.25</w:t>
                                  </w:r>
                                </w:p>
                              </w:tc>
                              <w:tc>
                                <w:tcPr>
                                  <w:tcW w:w="920" w:type="dxa"/>
                                  <w:tcBorders>
                                    <w:top w:val="nil"/>
                                    <w:left w:val="nil"/>
                                    <w:bottom w:val="nil"/>
                                    <w:right w:val="single" w:sz="4" w:space="0" w:color="auto"/>
                                  </w:tcBorders>
                                  <w:shd w:val="clear" w:color="auto" w:fill="auto"/>
                                  <w:noWrap/>
                                  <w:vAlign w:val="center"/>
                                  <w:hideMark/>
                                </w:tcPr>
                                <w:p w14:paraId="5BB54A51"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2610.93</w:t>
                                  </w:r>
                                </w:p>
                              </w:tc>
                            </w:tr>
                            <w:tr w:rsidR="007E349F" w:rsidRPr="00734A48" w14:paraId="3978D291" w14:textId="77777777" w:rsidTr="00FC3546">
                              <w:trPr>
                                <w:trHeight w:val="300"/>
                              </w:trPr>
                              <w:tc>
                                <w:tcPr>
                                  <w:tcW w:w="960" w:type="dxa"/>
                                  <w:tcBorders>
                                    <w:top w:val="nil"/>
                                    <w:left w:val="single" w:sz="4" w:space="0" w:color="auto"/>
                                    <w:bottom w:val="nil"/>
                                    <w:right w:val="single" w:sz="4" w:space="0" w:color="auto"/>
                                  </w:tcBorders>
                                  <w:shd w:val="clear" w:color="auto" w:fill="auto"/>
                                  <w:noWrap/>
                                  <w:vAlign w:val="center"/>
                                  <w:hideMark/>
                                </w:tcPr>
                                <w:p w14:paraId="38477EA7" w14:textId="77777777" w:rsidR="007E349F" w:rsidRPr="00734A48" w:rsidRDefault="007E349F" w:rsidP="00FC3546">
                                  <w:pPr>
                                    <w:spacing w:after="0" w:line="240" w:lineRule="auto"/>
                                    <w:jc w:val="center"/>
                                    <w:rPr>
                                      <w:rFonts w:asciiTheme="majorHAnsi" w:eastAsia="Times New Roman" w:hAnsiTheme="majorHAnsi" w:cs="Times New Roman"/>
                                      <w:b/>
                                      <w:bCs/>
                                      <w:color w:val="000000"/>
                                    </w:rPr>
                                  </w:pPr>
                                  <w:r w:rsidRPr="00734A48">
                                    <w:rPr>
                                      <w:rFonts w:asciiTheme="majorHAnsi" w:eastAsia="Times New Roman" w:hAnsiTheme="majorHAnsi" w:cs="Times New Roman"/>
                                      <w:b/>
                                      <w:bCs/>
                                      <w:color w:val="000000"/>
                                    </w:rPr>
                                    <w:t>SC01-I</w:t>
                                  </w:r>
                                </w:p>
                              </w:tc>
                              <w:tc>
                                <w:tcPr>
                                  <w:tcW w:w="920" w:type="dxa"/>
                                  <w:tcBorders>
                                    <w:top w:val="nil"/>
                                    <w:left w:val="nil"/>
                                    <w:bottom w:val="nil"/>
                                    <w:right w:val="single" w:sz="4" w:space="0" w:color="auto"/>
                                  </w:tcBorders>
                                  <w:shd w:val="clear" w:color="auto" w:fill="auto"/>
                                  <w:noWrap/>
                                  <w:vAlign w:val="center"/>
                                  <w:hideMark/>
                                </w:tcPr>
                                <w:p w14:paraId="29D28F95"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294.99</w:t>
                                  </w:r>
                                </w:p>
                              </w:tc>
                              <w:tc>
                                <w:tcPr>
                                  <w:tcW w:w="860" w:type="dxa"/>
                                  <w:tcBorders>
                                    <w:top w:val="nil"/>
                                    <w:left w:val="nil"/>
                                    <w:bottom w:val="nil"/>
                                    <w:right w:val="single" w:sz="4" w:space="0" w:color="auto"/>
                                  </w:tcBorders>
                                  <w:shd w:val="clear" w:color="auto" w:fill="auto"/>
                                  <w:noWrap/>
                                  <w:vAlign w:val="center"/>
                                  <w:hideMark/>
                                </w:tcPr>
                                <w:p w14:paraId="0DDB027A"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10.81</w:t>
                                  </w:r>
                                </w:p>
                              </w:tc>
                              <w:tc>
                                <w:tcPr>
                                  <w:tcW w:w="900" w:type="dxa"/>
                                  <w:tcBorders>
                                    <w:top w:val="nil"/>
                                    <w:left w:val="nil"/>
                                    <w:bottom w:val="nil"/>
                                    <w:right w:val="single" w:sz="4" w:space="0" w:color="auto"/>
                                  </w:tcBorders>
                                  <w:shd w:val="clear" w:color="auto" w:fill="auto"/>
                                  <w:noWrap/>
                                  <w:vAlign w:val="center"/>
                                  <w:hideMark/>
                                </w:tcPr>
                                <w:p w14:paraId="25FAB067"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30.41</w:t>
                                  </w:r>
                                </w:p>
                              </w:tc>
                              <w:tc>
                                <w:tcPr>
                                  <w:tcW w:w="960" w:type="dxa"/>
                                  <w:tcBorders>
                                    <w:top w:val="nil"/>
                                    <w:left w:val="nil"/>
                                    <w:bottom w:val="nil"/>
                                    <w:right w:val="single" w:sz="4" w:space="0" w:color="auto"/>
                                  </w:tcBorders>
                                  <w:shd w:val="clear" w:color="auto" w:fill="auto"/>
                                  <w:noWrap/>
                                  <w:vAlign w:val="center"/>
                                  <w:hideMark/>
                                </w:tcPr>
                                <w:p w14:paraId="1D4E2E18"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TR</w:t>
                                  </w:r>
                                </w:p>
                              </w:tc>
                              <w:tc>
                                <w:tcPr>
                                  <w:tcW w:w="880" w:type="dxa"/>
                                  <w:tcBorders>
                                    <w:top w:val="nil"/>
                                    <w:left w:val="nil"/>
                                    <w:bottom w:val="nil"/>
                                    <w:right w:val="single" w:sz="4" w:space="0" w:color="auto"/>
                                  </w:tcBorders>
                                  <w:shd w:val="clear" w:color="auto" w:fill="auto"/>
                                  <w:noWrap/>
                                  <w:vAlign w:val="center"/>
                                  <w:hideMark/>
                                </w:tcPr>
                                <w:p w14:paraId="5B4B1DEB"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7.52</w:t>
                                  </w:r>
                                </w:p>
                              </w:tc>
                              <w:tc>
                                <w:tcPr>
                                  <w:tcW w:w="840" w:type="dxa"/>
                                  <w:tcBorders>
                                    <w:top w:val="nil"/>
                                    <w:left w:val="nil"/>
                                    <w:bottom w:val="nil"/>
                                    <w:right w:val="single" w:sz="4" w:space="0" w:color="auto"/>
                                  </w:tcBorders>
                                  <w:shd w:val="clear" w:color="auto" w:fill="auto"/>
                                  <w:noWrap/>
                                  <w:vAlign w:val="center"/>
                                  <w:hideMark/>
                                </w:tcPr>
                                <w:p w14:paraId="6BC799FC"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61.36</w:t>
                                  </w:r>
                                </w:p>
                              </w:tc>
                              <w:tc>
                                <w:tcPr>
                                  <w:tcW w:w="1080" w:type="dxa"/>
                                  <w:tcBorders>
                                    <w:top w:val="nil"/>
                                    <w:left w:val="nil"/>
                                    <w:bottom w:val="nil"/>
                                    <w:right w:val="single" w:sz="4" w:space="0" w:color="auto"/>
                                  </w:tcBorders>
                                  <w:shd w:val="clear" w:color="auto" w:fill="auto"/>
                                  <w:noWrap/>
                                  <w:vAlign w:val="center"/>
                                  <w:hideMark/>
                                </w:tcPr>
                                <w:p w14:paraId="636B3BAD"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8131.29</w:t>
                                  </w:r>
                                </w:p>
                              </w:tc>
                              <w:tc>
                                <w:tcPr>
                                  <w:tcW w:w="980" w:type="dxa"/>
                                  <w:tcBorders>
                                    <w:top w:val="nil"/>
                                    <w:left w:val="nil"/>
                                    <w:bottom w:val="nil"/>
                                    <w:right w:val="single" w:sz="4" w:space="0" w:color="auto"/>
                                  </w:tcBorders>
                                  <w:shd w:val="clear" w:color="auto" w:fill="auto"/>
                                  <w:noWrap/>
                                  <w:vAlign w:val="center"/>
                                  <w:hideMark/>
                                </w:tcPr>
                                <w:p w14:paraId="23DD41AD"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35.13</w:t>
                                  </w:r>
                                </w:p>
                              </w:tc>
                              <w:tc>
                                <w:tcPr>
                                  <w:tcW w:w="920" w:type="dxa"/>
                                  <w:tcBorders>
                                    <w:top w:val="nil"/>
                                    <w:left w:val="nil"/>
                                    <w:bottom w:val="nil"/>
                                    <w:right w:val="single" w:sz="4" w:space="0" w:color="auto"/>
                                  </w:tcBorders>
                                  <w:shd w:val="clear" w:color="auto" w:fill="auto"/>
                                  <w:noWrap/>
                                  <w:vAlign w:val="center"/>
                                  <w:hideMark/>
                                </w:tcPr>
                                <w:p w14:paraId="7A2D5DEA"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2025.39</w:t>
                                  </w:r>
                                </w:p>
                              </w:tc>
                            </w:tr>
                            <w:tr w:rsidR="007E349F" w:rsidRPr="00734A48" w14:paraId="65647472" w14:textId="77777777" w:rsidTr="00FC3546">
                              <w:trPr>
                                <w:trHeight w:val="300"/>
                              </w:trPr>
                              <w:tc>
                                <w:tcPr>
                                  <w:tcW w:w="960" w:type="dxa"/>
                                  <w:tcBorders>
                                    <w:top w:val="nil"/>
                                    <w:left w:val="single" w:sz="4" w:space="0" w:color="auto"/>
                                    <w:bottom w:val="nil"/>
                                    <w:right w:val="single" w:sz="4" w:space="0" w:color="auto"/>
                                  </w:tcBorders>
                                  <w:shd w:val="clear" w:color="auto" w:fill="auto"/>
                                  <w:noWrap/>
                                  <w:vAlign w:val="center"/>
                                  <w:hideMark/>
                                </w:tcPr>
                                <w:p w14:paraId="6B32E88E" w14:textId="77777777" w:rsidR="007E349F" w:rsidRPr="00734A48" w:rsidRDefault="007E349F" w:rsidP="00FC3546">
                                  <w:pPr>
                                    <w:spacing w:after="0" w:line="240" w:lineRule="auto"/>
                                    <w:jc w:val="center"/>
                                    <w:rPr>
                                      <w:rFonts w:asciiTheme="majorHAnsi" w:eastAsia="Times New Roman" w:hAnsiTheme="majorHAnsi" w:cs="Times New Roman"/>
                                      <w:b/>
                                      <w:bCs/>
                                      <w:color w:val="000000"/>
                                    </w:rPr>
                                  </w:pPr>
                                  <w:r w:rsidRPr="00734A48">
                                    <w:rPr>
                                      <w:rFonts w:asciiTheme="majorHAnsi" w:eastAsia="Times New Roman" w:hAnsiTheme="majorHAnsi" w:cs="Times New Roman"/>
                                      <w:b/>
                                      <w:bCs/>
                                      <w:color w:val="000000"/>
                                    </w:rPr>
                                    <w:t>PS01-I</w:t>
                                  </w:r>
                                </w:p>
                              </w:tc>
                              <w:tc>
                                <w:tcPr>
                                  <w:tcW w:w="920" w:type="dxa"/>
                                  <w:tcBorders>
                                    <w:top w:val="nil"/>
                                    <w:left w:val="nil"/>
                                    <w:bottom w:val="nil"/>
                                    <w:right w:val="single" w:sz="4" w:space="0" w:color="auto"/>
                                  </w:tcBorders>
                                  <w:shd w:val="clear" w:color="auto" w:fill="auto"/>
                                  <w:noWrap/>
                                  <w:vAlign w:val="center"/>
                                  <w:hideMark/>
                                </w:tcPr>
                                <w:p w14:paraId="1B106E4C"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860" w:type="dxa"/>
                                  <w:tcBorders>
                                    <w:top w:val="nil"/>
                                    <w:left w:val="nil"/>
                                    <w:bottom w:val="nil"/>
                                    <w:right w:val="single" w:sz="4" w:space="0" w:color="auto"/>
                                  </w:tcBorders>
                                  <w:shd w:val="clear" w:color="auto" w:fill="auto"/>
                                  <w:noWrap/>
                                  <w:vAlign w:val="center"/>
                                  <w:hideMark/>
                                </w:tcPr>
                                <w:p w14:paraId="606423DD"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900" w:type="dxa"/>
                                  <w:tcBorders>
                                    <w:top w:val="nil"/>
                                    <w:left w:val="nil"/>
                                    <w:bottom w:val="nil"/>
                                    <w:right w:val="single" w:sz="4" w:space="0" w:color="auto"/>
                                  </w:tcBorders>
                                  <w:shd w:val="clear" w:color="auto" w:fill="auto"/>
                                  <w:noWrap/>
                                  <w:vAlign w:val="center"/>
                                  <w:hideMark/>
                                </w:tcPr>
                                <w:p w14:paraId="7CC0AF58"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TR</w:t>
                                  </w:r>
                                </w:p>
                              </w:tc>
                              <w:tc>
                                <w:tcPr>
                                  <w:tcW w:w="960" w:type="dxa"/>
                                  <w:tcBorders>
                                    <w:top w:val="nil"/>
                                    <w:left w:val="nil"/>
                                    <w:bottom w:val="nil"/>
                                    <w:right w:val="single" w:sz="4" w:space="0" w:color="auto"/>
                                  </w:tcBorders>
                                  <w:shd w:val="clear" w:color="auto" w:fill="auto"/>
                                  <w:noWrap/>
                                  <w:vAlign w:val="center"/>
                                  <w:hideMark/>
                                </w:tcPr>
                                <w:p w14:paraId="0713CFEA"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880" w:type="dxa"/>
                                  <w:tcBorders>
                                    <w:top w:val="nil"/>
                                    <w:left w:val="nil"/>
                                    <w:bottom w:val="nil"/>
                                    <w:right w:val="single" w:sz="4" w:space="0" w:color="auto"/>
                                  </w:tcBorders>
                                  <w:shd w:val="clear" w:color="auto" w:fill="auto"/>
                                  <w:noWrap/>
                                  <w:vAlign w:val="center"/>
                                  <w:hideMark/>
                                </w:tcPr>
                                <w:p w14:paraId="1E1BEAC0"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840" w:type="dxa"/>
                                  <w:tcBorders>
                                    <w:top w:val="nil"/>
                                    <w:left w:val="nil"/>
                                    <w:bottom w:val="nil"/>
                                    <w:right w:val="single" w:sz="4" w:space="0" w:color="auto"/>
                                  </w:tcBorders>
                                  <w:shd w:val="clear" w:color="auto" w:fill="auto"/>
                                  <w:noWrap/>
                                  <w:vAlign w:val="center"/>
                                  <w:hideMark/>
                                </w:tcPr>
                                <w:p w14:paraId="300977B5"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1080" w:type="dxa"/>
                                  <w:tcBorders>
                                    <w:top w:val="nil"/>
                                    <w:left w:val="nil"/>
                                    <w:bottom w:val="nil"/>
                                    <w:right w:val="single" w:sz="4" w:space="0" w:color="auto"/>
                                  </w:tcBorders>
                                  <w:shd w:val="clear" w:color="auto" w:fill="auto"/>
                                  <w:noWrap/>
                                  <w:vAlign w:val="center"/>
                                  <w:hideMark/>
                                </w:tcPr>
                                <w:p w14:paraId="764217D1"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TR</w:t>
                                  </w:r>
                                </w:p>
                              </w:tc>
                              <w:tc>
                                <w:tcPr>
                                  <w:tcW w:w="980" w:type="dxa"/>
                                  <w:tcBorders>
                                    <w:top w:val="nil"/>
                                    <w:left w:val="nil"/>
                                    <w:bottom w:val="nil"/>
                                    <w:right w:val="single" w:sz="4" w:space="0" w:color="auto"/>
                                  </w:tcBorders>
                                  <w:shd w:val="clear" w:color="auto" w:fill="auto"/>
                                  <w:noWrap/>
                                  <w:vAlign w:val="center"/>
                                  <w:hideMark/>
                                </w:tcPr>
                                <w:p w14:paraId="6098AE8D"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TR</w:t>
                                  </w:r>
                                </w:p>
                              </w:tc>
                              <w:tc>
                                <w:tcPr>
                                  <w:tcW w:w="920" w:type="dxa"/>
                                  <w:tcBorders>
                                    <w:top w:val="nil"/>
                                    <w:left w:val="nil"/>
                                    <w:bottom w:val="nil"/>
                                    <w:right w:val="single" w:sz="4" w:space="0" w:color="auto"/>
                                  </w:tcBorders>
                                  <w:shd w:val="clear" w:color="auto" w:fill="auto"/>
                                  <w:noWrap/>
                                  <w:vAlign w:val="center"/>
                                  <w:hideMark/>
                                </w:tcPr>
                                <w:p w14:paraId="5C6D3A5A"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TR</w:t>
                                  </w:r>
                                </w:p>
                              </w:tc>
                            </w:tr>
                            <w:tr w:rsidR="007E349F" w:rsidRPr="00734A48" w14:paraId="23A67F53" w14:textId="77777777" w:rsidTr="00FC3546">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9D42CE1" w14:textId="77777777" w:rsidR="007E349F" w:rsidRPr="00734A48" w:rsidRDefault="007E349F" w:rsidP="00FC3546">
                                  <w:pPr>
                                    <w:spacing w:after="0" w:line="240" w:lineRule="auto"/>
                                    <w:jc w:val="center"/>
                                    <w:rPr>
                                      <w:rFonts w:asciiTheme="majorHAnsi" w:eastAsia="Times New Roman" w:hAnsiTheme="majorHAnsi" w:cs="Times New Roman"/>
                                      <w:b/>
                                      <w:bCs/>
                                      <w:color w:val="000000"/>
                                    </w:rPr>
                                  </w:pPr>
                                  <w:r w:rsidRPr="00734A48">
                                    <w:rPr>
                                      <w:rFonts w:asciiTheme="majorHAnsi" w:eastAsia="Times New Roman" w:hAnsiTheme="majorHAnsi" w:cs="Times New Roman"/>
                                      <w:b/>
                                      <w:bCs/>
                                      <w:color w:val="000000"/>
                                    </w:rPr>
                                    <w:t>RP01-I</w:t>
                                  </w:r>
                                </w:p>
                              </w:tc>
                              <w:tc>
                                <w:tcPr>
                                  <w:tcW w:w="920" w:type="dxa"/>
                                  <w:tcBorders>
                                    <w:top w:val="nil"/>
                                    <w:left w:val="nil"/>
                                    <w:bottom w:val="single" w:sz="4" w:space="0" w:color="auto"/>
                                    <w:right w:val="single" w:sz="4" w:space="0" w:color="auto"/>
                                  </w:tcBorders>
                                  <w:shd w:val="clear" w:color="auto" w:fill="auto"/>
                                  <w:noWrap/>
                                  <w:vAlign w:val="center"/>
                                  <w:hideMark/>
                                </w:tcPr>
                                <w:p w14:paraId="3BCA8A0E"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860" w:type="dxa"/>
                                  <w:tcBorders>
                                    <w:top w:val="nil"/>
                                    <w:left w:val="nil"/>
                                    <w:bottom w:val="single" w:sz="4" w:space="0" w:color="auto"/>
                                    <w:right w:val="single" w:sz="4" w:space="0" w:color="auto"/>
                                  </w:tcBorders>
                                  <w:shd w:val="clear" w:color="auto" w:fill="auto"/>
                                  <w:noWrap/>
                                  <w:vAlign w:val="center"/>
                                  <w:hideMark/>
                                </w:tcPr>
                                <w:p w14:paraId="641F1E84"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900" w:type="dxa"/>
                                  <w:tcBorders>
                                    <w:top w:val="nil"/>
                                    <w:left w:val="nil"/>
                                    <w:bottom w:val="single" w:sz="4" w:space="0" w:color="auto"/>
                                    <w:right w:val="single" w:sz="4" w:space="0" w:color="auto"/>
                                  </w:tcBorders>
                                  <w:shd w:val="clear" w:color="auto" w:fill="auto"/>
                                  <w:noWrap/>
                                  <w:vAlign w:val="center"/>
                                  <w:hideMark/>
                                </w:tcPr>
                                <w:p w14:paraId="18E28938"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960" w:type="dxa"/>
                                  <w:tcBorders>
                                    <w:top w:val="nil"/>
                                    <w:left w:val="nil"/>
                                    <w:bottom w:val="single" w:sz="4" w:space="0" w:color="auto"/>
                                    <w:right w:val="single" w:sz="4" w:space="0" w:color="auto"/>
                                  </w:tcBorders>
                                  <w:shd w:val="clear" w:color="auto" w:fill="auto"/>
                                  <w:noWrap/>
                                  <w:vAlign w:val="center"/>
                                  <w:hideMark/>
                                </w:tcPr>
                                <w:p w14:paraId="45B6E5F6"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880" w:type="dxa"/>
                                  <w:tcBorders>
                                    <w:top w:val="nil"/>
                                    <w:left w:val="nil"/>
                                    <w:bottom w:val="single" w:sz="4" w:space="0" w:color="auto"/>
                                    <w:right w:val="single" w:sz="4" w:space="0" w:color="auto"/>
                                  </w:tcBorders>
                                  <w:shd w:val="clear" w:color="auto" w:fill="auto"/>
                                  <w:noWrap/>
                                  <w:vAlign w:val="center"/>
                                  <w:hideMark/>
                                </w:tcPr>
                                <w:p w14:paraId="14A0E630"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840" w:type="dxa"/>
                                  <w:tcBorders>
                                    <w:top w:val="nil"/>
                                    <w:left w:val="nil"/>
                                    <w:bottom w:val="single" w:sz="4" w:space="0" w:color="auto"/>
                                    <w:right w:val="single" w:sz="4" w:space="0" w:color="auto"/>
                                  </w:tcBorders>
                                  <w:shd w:val="clear" w:color="auto" w:fill="auto"/>
                                  <w:noWrap/>
                                  <w:vAlign w:val="center"/>
                                  <w:hideMark/>
                                </w:tcPr>
                                <w:p w14:paraId="7BAB6E6A"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1080" w:type="dxa"/>
                                  <w:tcBorders>
                                    <w:top w:val="nil"/>
                                    <w:left w:val="nil"/>
                                    <w:bottom w:val="single" w:sz="4" w:space="0" w:color="auto"/>
                                    <w:right w:val="single" w:sz="4" w:space="0" w:color="auto"/>
                                  </w:tcBorders>
                                  <w:shd w:val="clear" w:color="auto" w:fill="auto"/>
                                  <w:noWrap/>
                                  <w:vAlign w:val="center"/>
                                  <w:hideMark/>
                                </w:tcPr>
                                <w:p w14:paraId="7AB7D470"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980" w:type="dxa"/>
                                  <w:tcBorders>
                                    <w:top w:val="nil"/>
                                    <w:left w:val="nil"/>
                                    <w:bottom w:val="single" w:sz="4" w:space="0" w:color="auto"/>
                                    <w:right w:val="single" w:sz="4" w:space="0" w:color="auto"/>
                                  </w:tcBorders>
                                  <w:shd w:val="clear" w:color="auto" w:fill="auto"/>
                                  <w:noWrap/>
                                  <w:vAlign w:val="center"/>
                                  <w:hideMark/>
                                </w:tcPr>
                                <w:p w14:paraId="795DB74F"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TR</w:t>
                                  </w:r>
                                </w:p>
                              </w:tc>
                              <w:tc>
                                <w:tcPr>
                                  <w:tcW w:w="920" w:type="dxa"/>
                                  <w:tcBorders>
                                    <w:top w:val="nil"/>
                                    <w:left w:val="nil"/>
                                    <w:bottom w:val="single" w:sz="4" w:space="0" w:color="auto"/>
                                    <w:right w:val="single" w:sz="4" w:space="0" w:color="auto"/>
                                  </w:tcBorders>
                                  <w:shd w:val="clear" w:color="auto" w:fill="auto"/>
                                  <w:noWrap/>
                                  <w:vAlign w:val="center"/>
                                  <w:hideMark/>
                                </w:tcPr>
                                <w:p w14:paraId="1B4E3DD3"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r>
                          </w:tbl>
                          <w:p w14:paraId="13064D6A" w14:textId="77777777" w:rsidR="007E349F" w:rsidRDefault="007E349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A41941" id="Text Box 126" o:spid="_x0000_s1028" type="#_x0000_t202" style="position:absolute;margin-left:-9pt;margin-top:112.3pt;width:486pt;height:180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" filled="f" stroked="f">
                <v:textbox>
                  <w:txbxContent>
                    <w:tbl>
                      <w:tblPr>
                        <w:tblW w:w="9300" w:type="dxa"/>
                        <w:tblInd w:w="93" w:type="dxa"/>
                        <w:tblLook w:val="04A0" w:firstRow="1" w:lastRow="0" w:firstColumn="1" w:lastColumn="0" w:noHBand="0" w:noVBand="1"/>
                      </w:tblPr>
                      <w:tblGrid>
                        <w:gridCol w:w="960"/>
                        <w:gridCol w:w="920"/>
                        <w:gridCol w:w="860"/>
                        <w:gridCol w:w="941"/>
                        <w:gridCol w:w="960"/>
                        <w:gridCol w:w="880"/>
                        <w:gridCol w:w="840"/>
                        <w:gridCol w:w="1080"/>
                        <w:gridCol w:w="980"/>
                        <w:gridCol w:w="941"/>
                      </w:tblGrid>
                      <w:tr w:rsidR="007E349F" w:rsidRPr="00734A48" w14:paraId="679C5A18" w14:textId="77777777" w:rsidTr="00FC3546">
                        <w:trPr>
                          <w:trHeight w:val="300"/>
                        </w:trPr>
                        <w:tc>
                          <w:tcPr>
                            <w:tcW w:w="960" w:type="dxa"/>
                            <w:tcBorders>
                              <w:top w:val="single" w:sz="4" w:space="0" w:color="auto"/>
                              <w:left w:val="single" w:sz="4" w:space="0" w:color="auto"/>
                              <w:bottom w:val="nil"/>
                              <w:right w:val="single" w:sz="4" w:space="0" w:color="auto"/>
                            </w:tcBorders>
                            <w:shd w:val="clear" w:color="auto" w:fill="auto"/>
                            <w:noWrap/>
                            <w:vAlign w:val="bottom"/>
                            <w:hideMark/>
                          </w:tcPr>
                          <w:p w14:paraId="1A8D95AE" w14:textId="77777777" w:rsidR="007E349F" w:rsidRPr="00734A48" w:rsidRDefault="007E349F" w:rsidP="00FC3546">
                            <w:pPr>
                              <w:spacing w:after="0" w:line="240" w:lineRule="auto"/>
                              <w:jc w:val="center"/>
                              <w:rPr>
                                <w:rFonts w:asciiTheme="majorHAnsi" w:eastAsia="Times New Roman" w:hAnsiTheme="majorHAnsi" w:cs="Times New Roman"/>
                                <w:b/>
                                <w:bCs/>
                                <w:color w:val="000000"/>
                              </w:rPr>
                            </w:pPr>
                            <w:r w:rsidRPr="00734A48">
                              <w:rPr>
                                <w:rFonts w:asciiTheme="majorHAnsi" w:eastAsia="Times New Roman" w:hAnsiTheme="majorHAnsi" w:cs="Times New Roman"/>
                                <w:b/>
                                <w:bCs/>
                                <w:color w:val="000000"/>
                              </w:rPr>
                              <w:t>sample ID</w:t>
                            </w:r>
                          </w:p>
                        </w:tc>
                        <w:tc>
                          <w:tcPr>
                            <w:tcW w:w="920" w:type="dxa"/>
                            <w:tcBorders>
                              <w:top w:val="single" w:sz="4" w:space="0" w:color="auto"/>
                              <w:left w:val="nil"/>
                              <w:bottom w:val="single" w:sz="4" w:space="0" w:color="auto"/>
                              <w:right w:val="single" w:sz="4" w:space="0" w:color="auto"/>
                            </w:tcBorders>
                            <w:shd w:val="clear" w:color="auto" w:fill="auto"/>
                            <w:noWrap/>
                            <w:vAlign w:val="bottom"/>
                            <w:hideMark/>
                          </w:tcPr>
                          <w:p w14:paraId="44B3FAA5" w14:textId="77777777" w:rsidR="007E349F" w:rsidRPr="00734A48" w:rsidRDefault="007E349F" w:rsidP="00FC3546">
                            <w:pPr>
                              <w:spacing w:after="0" w:line="240" w:lineRule="auto"/>
                              <w:jc w:val="center"/>
                              <w:rPr>
                                <w:rFonts w:asciiTheme="majorHAnsi" w:eastAsia="Times New Roman" w:hAnsiTheme="majorHAnsi" w:cs="Arial"/>
                                <w:b/>
                                <w:bCs/>
                              </w:rPr>
                            </w:pPr>
                            <w:r w:rsidRPr="00734A48">
                              <w:rPr>
                                <w:rFonts w:asciiTheme="majorHAnsi" w:eastAsia="Times New Roman" w:hAnsiTheme="majorHAnsi" w:cs="Arial"/>
                                <w:b/>
                                <w:bCs/>
                              </w:rPr>
                              <w:t>As</w:t>
                            </w:r>
                          </w:p>
                        </w:tc>
                        <w:tc>
                          <w:tcPr>
                            <w:tcW w:w="860" w:type="dxa"/>
                            <w:tcBorders>
                              <w:top w:val="single" w:sz="4" w:space="0" w:color="auto"/>
                              <w:left w:val="nil"/>
                              <w:bottom w:val="single" w:sz="4" w:space="0" w:color="auto"/>
                              <w:right w:val="single" w:sz="4" w:space="0" w:color="auto"/>
                            </w:tcBorders>
                            <w:shd w:val="clear" w:color="auto" w:fill="auto"/>
                            <w:noWrap/>
                            <w:vAlign w:val="bottom"/>
                            <w:hideMark/>
                          </w:tcPr>
                          <w:p w14:paraId="47A35BE4" w14:textId="77777777" w:rsidR="007E349F" w:rsidRPr="00734A48" w:rsidRDefault="007E349F" w:rsidP="00FC3546">
                            <w:pPr>
                              <w:spacing w:after="0" w:line="240" w:lineRule="auto"/>
                              <w:jc w:val="center"/>
                              <w:rPr>
                                <w:rFonts w:asciiTheme="majorHAnsi" w:eastAsia="Times New Roman" w:hAnsiTheme="majorHAnsi" w:cs="Arial"/>
                                <w:b/>
                                <w:bCs/>
                              </w:rPr>
                            </w:pPr>
                            <w:r w:rsidRPr="00734A48">
                              <w:rPr>
                                <w:rFonts w:asciiTheme="majorHAnsi" w:eastAsia="Times New Roman" w:hAnsiTheme="majorHAnsi" w:cs="Arial"/>
                                <w:b/>
                                <w:bCs/>
                              </w:rPr>
                              <w:t>Cr</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14:paraId="61090C66" w14:textId="77777777" w:rsidR="007E349F" w:rsidRPr="00734A48" w:rsidRDefault="007E349F" w:rsidP="00FC3546">
                            <w:pPr>
                              <w:spacing w:after="0" w:line="240" w:lineRule="auto"/>
                              <w:jc w:val="center"/>
                              <w:rPr>
                                <w:rFonts w:asciiTheme="majorHAnsi" w:eastAsia="Times New Roman" w:hAnsiTheme="majorHAnsi" w:cs="Arial"/>
                                <w:b/>
                                <w:bCs/>
                              </w:rPr>
                            </w:pPr>
                            <w:r w:rsidRPr="00734A48">
                              <w:rPr>
                                <w:rFonts w:asciiTheme="majorHAnsi" w:eastAsia="Times New Roman" w:hAnsiTheme="majorHAnsi" w:cs="Arial"/>
                                <w:b/>
                                <w:bCs/>
                              </w:rPr>
                              <w:t>Cu</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332D8557" w14:textId="77777777" w:rsidR="007E349F" w:rsidRPr="00734A48" w:rsidRDefault="007E349F" w:rsidP="00FC3546">
                            <w:pPr>
                              <w:spacing w:after="0" w:line="240" w:lineRule="auto"/>
                              <w:jc w:val="center"/>
                              <w:rPr>
                                <w:rFonts w:asciiTheme="majorHAnsi" w:eastAsia="Times New Roman" w:hAnsiTheme="majorHAnsi" w:cs="Arial"/>
                                <w:b/>
                                <w:bCs/>
                              </w:rPr>
                            </w:pPr>
                            <w:r w:rsidRPr="00734A48">
                              <w:rPr>
                                <w:rFonts w:asciiTheme="majorHAnsi" w:eastAsia="Times New Roman" w:hAnsiTheme="majorHAnsi" w:cs="Arial"/>
                                <w:b/>
                                <w:bCs/>
                              </w:rPr>
                              <w:t>Mo</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14:paraId="74611DBD" w14:textId="77777777" w:rsidR="007E349F" w:rsidRPr="00734A48" w:rsidRDefault="007E349F" w:rsidP="00FC3546">
                            <w:pPr>
                              <w:spacing w:after="0" w:line="240" w:lineRule="auto"/>
                              <w:jc w:val="center"/>
                              <w:rPr>
                                <w:rFonts w:asciiTheme="majorHAnsi" w:eastAsia="Times New Roman" w:hAnsiTheme="majorHAnsi" w:cs="Arial"/>
                                <w:b/>
                                <w:bCs/>
                              </w:rPr>
                            </w:pPr>
                            <w:r w:rsidRPr="00734A48">
                              <w:rPr>
                                <w:rFonts w:asciiTheme="majorHAnsi" w:eastAsia="Times New Roman" w:hAnsiTheme="majorHAnsi" w:cs="Arial"/>
                                <w:b/>
                                <w:bCs/>
                              </w:rPr>
                              <w:t>Ni</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14:paraId="4CBED245" w14:textId="77777777" w:rsidR="007E349F" w:rsidRPr="00734A48" w:rsidRDefault="007E349F" w:rsidP="00FC3546">
                            <w:pPr>
                              <w:spacing w:after="0" w:line="240" w:lineRule="auto"/>
                              <w:jc w:val="center"/>
                              <w:rPr>
                                <w:rFonts w:asciiTheme="majorHAnsi" w:eastAsia="Times New Roman" w:hAnsiTheme="majorHAnsi" w:cs="Arial"/>
                                <w:b/>
                                <w:bCs/>
                              </w:rPr>
                            </w:pPr>
                            <w:r w:rsidRPr="00734A48">
                              <w:rPr>
                                <w:rFonts w:asciiTheme="majorHAnsi" w:eastAsia="Times New Roman" w:hAnsiTheme="majorHAnsi" w:cs="Arial"/>
                                <w:b/>
                                <w:bCs/>
                              </w:rPr>
                              <w:t>Pb</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14:paraId="4F958F96" w14:textId="77777777" w:rsidR="007E349F" w:rsidRPr="00734A48" w:rsidRDefault="007E349F" w:rsidP="00FC3546">
                            <w:pPr>
                              <w:spacing w:after="0" w:line="240" w:lineRule="auto"/>
                              <w:jc w:val="center"/>
                              <w:rPr>
                                <w:rFonts w:asciiTheme="majorHAnsi" w:eastAsia="Times New Roman" w:hAnsiTheme="majorHAnsi" w:cs="Arial"/>
                                <w:b/>
                                <w:bCs/>
                              </w:rPr>
                            </w:pPr>
                            <w:r w:rsidRPr="00734A48">
                              <w:rPr>
                                <w:rFonts w:asciiTheme="majorHAnsi" w:eastAsia="Times New Roman" w:hAnsiTheme="majorHAnsi" w:cs="Arial"/>
                                <w:b/>
                                <w:bCs/>
                              </w:rPr>
                              <w:t>Se</w:t>
                            </w:r>
                          </w:p>
                        </w:tc>
                        <w:tc>
                          <w:tcPr>
                            <w:tcW w:w="980" w:type="dxa"/>
                            <w:tcBorders>
                              <w:top w:val="single" w:sz="4" w:space="0" w:color="auto"/>
                              <w:left w:val="nil"/>
                              <w:bottom w:val="single" w:sz="4" w:space="0" w:color="auto"/>
                              <w:right w:val="single" w:sz="4" w:space="0" w:color="auto"/>
                            </w:tcBorders>
                            <w:shd w:val="clear" w:color="auto" w:fill="auto"/>
                            <w:noWrap/>
                            <w:vAlign w:val="center"/>
                            <w:hideMark/>
                          </w:tcPr>
                          <w:p w14:paraId="37B24443" w14:textId="77777777" w:rsidR="007E349F" w:rsidRPr="00734A48" w:rsidRDefault="007E349F" w:rsidP="00FC3546">
                            <w:pPr>
                              <w:spacing w:after="0" w:line="240" w:lineRule="auto"/>
                              <w:jc w:val="center"/>
                              <w:rPr>
                                <w:rFonts w:asciiTheme="majorHAnsi" w:eastAsia="Times New Roman" w:hAnsiTheme="majorHAnsi" w:cs="Arial"/>
                                <w:b/>
                                <w:bCs/>
                              </w:rPr>
                            </w:pPr>
                            <w:r w:rsidRPr="00734A48">
                              <w:rPr>
                                <w:rFonts w:asciiTheme="majorHAnsi" w:eastAsia="Times New Roman" w:hAnsiTheme="majorHAnsi" w:cs="Arial"/>
                                <w:b/>
                                <w:bCs/>
                              </w:rPr>
                              <w:t>Zn</w:t>
                            </w:r>
                          </w:p>
                        </w:tc>
                        <w:tc>
                          <w:tcPr>
                            <w:tcW w:w="920" w:type="dxa"/>
                            <w:tcBorders>
                              <w:top w:val="single" w:sz="4" w:space="0" w:color="auto"/>
                              <w:left w:val="nil"/>
                              <w:bottom w:val="single" w:sz="4" w:space="0" w:color="auto"/>
                              <w:right w:val="single" w:sz="4" w:space="0" w:color="auto"/>
                            </w:tcBorders>
                            <w:shd w:val="clear" w:color="auto" w:fill="auto"/>
                            <w:noWrap/>
                            <w:vAlign w:val="bottom"/>
                            <w:hideMark/>
                          </w:tcPr>
                          <w:p w14:paraId="4CF17EDA" w14:textId="77777777" w:rsidR="007E349F" w:rsidRPr="00734A48" w:rsidRDefault="007E349F" w:rsidP="00FC3546">
                            <w:pPr>
                              <w:spacing w:after="0" w:line="240" w:lineRule="auto"/>
                              <w:jc w:val="center"/>
                              <w:rPr>
                                <w:rFonts w:asciiTheme="majorHAnsi" w:eastAsia="Times New Roman" w:hAnsiTheme="majorHAnsi" w:cs="Arial"/>
                                <w:b/>
                                <w:bCs/>
                              </w:rPr>
                            </w:pPr>
                            <w:r w:rsidRPr="00734A48">
                              <w:rPr>
                                <w:rFonts w:asciiTheme="majorHAnsi" w:eastAsia="Times New Roman" w:hAnsiTheme="majorHAnsi" w:cs="Arial"/>
                                <w:b/>
                                <w:bCs/>
                              </w:rPr>
                              <w:t>Ag</w:t>
                            </w:r>
                          </w:p>
                        </w:tc>
                      </w:tr>
                      <w:tr w:rsidR="007E349F" w:rsidRPr="00734A48" w14:paraId="2AE5AB05" w14:textId="77777777" w:rsidTr="00FC3546">
                        <w:trPr>
                          <w:trHeight w:val="300"/>
                        </w:trPr>
                        <w:tc>
                          <w:tcPr>
                            <w:tcW w:w="960" w:type="dxa"/>
                            <w:tcBorders>
                              <w:top w:val="single" w:sz="4" w:space="0" w:color="auto"/>
                              <w:left w:val="single" w:sz="4" w:space="0" w:color="auto"/>
                              <w:bottom w:val="nil"/>
                              <w:right w:val="single" w:sz="4" w:space="0" w:color="auto"/>
                            </w:tcBorders>
                            <w:shd w:val="clear" w:color="auto" w:fill="auto"/>
                            <w:noWrap/>
                            <w:vAlign w:val="bottom"/>
                            <w:hideMark/>
                          </w:tcPr>
                          <w:p w14:paraId="74392FF2" w14:textId="77777777" w:rsidR="007E349F" w:rsidRPr="00734A48" w:rsidRDefault="007E349F" w:rsidP="00FC3546">
                            <w:pPr>
                              <w:spacing w:after="0" w:line="240" w:lineRule="auto"/>
                              <w:jc w:val="center"/>
                              <w:rPr>
                                <w:rFonts w:asciiTheme="majorHAnsi" w:eastAsia="Times New Roman" w:hAnsiTheme="majorHAnsi" w:cs="Times New Roman"/>
                                <w:b/>
                                <w:bCs/>
                                <w:color w:val="000000"/>
                              </w:rPr>
                            </w:pPr>
                            <w:r w:rsidRPr="00734A48">
                              <w:rPr>
                                <w:rFonts w:asciiTheme="majorHAnsi" w:eastAsia="Times New Roman" w:hAnsiTheme="majorHAnsi" w:cs="Times New Roman"/>
                                <w:b/>
                                <w:bCs/>
                                <w:color w:val="000000"/>
                              </w:rPr>
                              <w:t>CB01-S</w:t>
                            </w:r>
                          </w:p>
                        </w:tc>
                        <w:tc>
                          <w:tcPr>
                            <w:tcW w:w="920" w:type="dxa"/>
                            <w:tcBorders>
                              <w:top w:val="nil"/>
                              <w:left w:val="nil"/>
                              <w:bottom w:val="nil"/>
                              <w:right w:val="single" w:sz="4" w:space="0" w:color="auto"/>
                            </w:tcBorders>
                            <w:shd w:val="clear" w:color="auto" w:fill="auto"/>
                            <w:noWrap/>
                            <w:vAlign w:val="center"/>
                            <w:hideMark/>
                          </w:tcPr>
                          <w:p w14:paraId="50F13FF6"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76.80</w:t>
                            </w:r>
                          </w:p>
                        </w:tc>
                        <w:tc>
                          <w:tcPr>
                            <w:tcW w:w="860" w:type="dxa"/>
                            <w:tcBorders>
                              <w:top w:val="nil"/>
                              <w:left w:val="nil"/>
                              <w:bottom w:val="nil"/>
                              <w:right w:val="single" w:sz="4" w:space="0" w:color="auto"/>
                            </w:tcBorders>
                            <w:shd w:val="clear" w:color="auto" w:fill="auto"/>
                            <w:noWrap/>
                            <w:vAlign w:val="center"/>
                            <w:hideMark/>
                          </w:tcPr>
                          <w:p w14:paraId="522FB3AE"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3.04</w:t>
                            </w:r>
                          </w:p>
                        </w:tc>
                        <w:tc>
                          <w:tcPr>
                            <w:tcW w:w="900" w:type="dxa"/>
                            <w:tcBorders>
                              <w:top w:val="nil"/>
                              <w:left w:val="nil"/>
                              <w:bottom w:val="nil"/>
                              <w:right w:val="single" w:sz="4" w:space="0" w:color="auto"/>
                            </w:tcBorders>
                            <w:shd w:val="clear" w:color="auto" w:fill="auto"/>
                            <w:noWrap/>
                            <w:vAlign w:val="center"/>
                            <w:hideMark/>
                          </w:tcPr>
                          <w:p w14:paraId="0B0D08F5"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5.66</w:t>
                            </w:r>
                          </w:p>
                        </w:tc>
                        <w:tc>
                          <w:tcPr>
                            <w:tcW w:w="960" w:type="dxa"/>
                            <w:tcBorders>
                              <w:top w:val="nil"/>
                              <w:left w:val="nil"/>
                              <w:bottom w:val="nil"/>
                              <w:right w:val="single" w:sz="4" w:space="0" w:color="auto"/>
                            </w:tcBorders>
                            <w:shd w:val="clear" w:color="auto" w:fill="auto"/>
                            <w:noWrap/>
                            <w:vAlign w:val="center"/>
                            <w:hideMark/>
                          </w:tcPr>
                          <w:p w14:paraId="0E1D6451"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165.99</w:t>
                            </w:r>
                          </w:p>
                        </w:tc>
                        <w:tc>
                          <w:tcPr>
                            <w:tcW w:w="880" w:type="dxa"/>
                            <w:tcBorders>
                              <w:top w:val="nil"/>
                              <w:left w:val="nil"/>
                              <w:bottom w:val="nil"/>
                              <w:right w:val="single" w:sz="4" w:space="0" w:color="auto"/>
                            </w:tcBorders>
                            <w:shd w:val="clear" w:color="auto" w:fill="auto"/>
                            <w:noWrap/>
                            <w:vAlign w:val="center"/>
                            <w:hideMark/>
                          </w:tcPr>
                          <w:p w14:paraId="189E2B94"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4.32</w:t>
                            </w:r>
                          </w:p>
                        </w:tc>
                        <w:tc>
                          <w:tcPr>
                            <w:tcW w:w="840" w:type="dxa"/>
                            <w:tcBorders>
                              <w:top w:val="nil"/>
                              <w:left w:val="nil"/>
                              <w:bottom w:val="nil"/>
                              <w:right w:val="single" w:sz="4" w:space="0" w:color="auto"/>
                            </w:tcBorders>
                            <w:shd w:val="clear" w:color="auto" w:fill="auto"/>
                            <w:noWrap/>
                            <w:vAlign w:val="center"/>
                            <w:hideMark/>
                          </w:tcPr>
                          <w:p w14:paraId="06FA906E"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1080" w:type="dxa"/>
                            <w:tcBorders>
                              <w:top w:val="nil"/>
                              <w:left w:val="nil"/>
                              <w:bottom w:val="nil"/>
                              <w:right w:val="single" w:sz="4" w:space="0" w:color="auto"/>
                            </w:tcBorders>
                            <w:shd w:val="clear" w:color="auto" w:fill="auto"/>
                            <w:noWrap/>
                            <w:vAlign w:val="center"/>
                            <w:hideMark/>
                          </w:tcPr>
                          <w:p w14:paraId="55838043"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6337.07</w:t>
                            </w:r>
                          </w:p>
                        </w:tc>
                        <w:tc>
                          <w:tcPr>
                            <w:tcW w:w="980" w:type="dxa"/>
                            <w:tcBorders>
                              <w:top w:val="nil"/>
                              <w:left w:val="nil"/>
                              <w:bottom w:val="nil"/>
                              <w:right w:val="single" w:sz="4" w:space="0" w:color="auto"/>
                            </w:tcBorders>
                            <w:shd w:val="clear" w:color="auto" w:fill="auto"/>
                            <w:noWrap/>
                            <w:vAlign w:val="center"/>
                            <w:hideMark/>
                          </w:tcPr>
                          <w:p w14:paraId="30DC5BF0"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5.28</w:t>
                            </w:r>
                          </w:p>
                        </w:tc>
                        <w:tc>
                          <w:tcPr>
                            <w:tcW w:w="920" w:type="dxa"/>
                            <w:tcBorders>
                              <w:top w:val="nil"/>
                              <w:left w:val="nil"/>
                              <w:bottom w:val="nil"/>
                              <w:right w:val="single" w:sz="4" w:space="0" w:color="auto"/>
                            </w:tcBorders>
                            <w:shd w:val="clear" w:color="auto" w:fill="auto"/>
                            <w:noWrap/>
                            <w:vAlign w:val="center"/>
                            <w:hideMark/>
                          </w:tcPr>
                          <w:p w14:paraId="10BFD89D"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r>
                      <w:tr w:rsidR="007E349F" w:rsidRPr="00734A48" w14:paraId="6E4E658E" w14:textId="77777777" w:rsidTr="00FC3546">
                        <w:trPr>
                          <w:trHeight w:val="300"/>
                        </w:trPr>
                        <w:tc>
                          <w:tcPr>
                            <w:tcW w:w="960" w:type="dxa"/>
                            <w:tcBorders>
                              <w:top w:val="nil"/>
                              <w:left w:val="single" w:sz="4" w:space="0" w:color="auto"/>
                              <w:bottom w:val="nil"/>
                              <w:right w:val="single" w:sz="4" w:space="0" w:color="auto"/>
                            </w:tcBorders>
                            <w:shd w:val="clear" w:color="auto" w:fill="auto"/>
                            <w:noWrap/>
                            <w:vAlign w:val="bottom"/>
                            <w:hideMark/>
                          </w:tcPr>
                          <w:p w14:paraId="47DEAA32" w14:textId="77777777" w:rsidR="007E349F" w:rsidRPr="00734A48" w:rsidRDefault="007E349F" w:rsidP="00FC3546">
                            <w:pPr>
                              <w:spacing w:after="0" w:line="240" w:lineRule="auto"/>
                              <w:jc w:val="center"/>
                              <w:rPr>
                                <w:rFonts w:asciiTheme="majorHAnsi" w:eastAsia="Times New Roman" w:hAnsiTheme="majorHAnsi" w:cs="Times New Roman"/>
                                <w:b/>
                                <w:bCs/>
                                <w:color w:val="000000"/>
                              </w:rPr>
                            </w:pPr>
                            <w:r w:rsidRPr="00734A48">
                              <w:rPr>
                                <w:rFonts w:asciiTheme="majorHAnsi" w:eastAsia="Times New Roman" w:hAnsiTheme="majorHAnsi" w:cs="Times New Roman"/>
                                <w:b/>
                                <w:bCs/>
                                <w:color w:val="000000"/>
                              </w:rPr>
                              <w:t>SC01-S</w:t>
                            </w:r>
                          </w:p>
                        </w:tc>
                        <w:tc>
                          <w:tcPr>
                            <w:tcW w:w="920" w:type="dxa"/>
                            <w:tcBorders>
                              <w:top w:val="nil"/>
                              <w:left w:val="nil"/>
                              <w:bottom w:val="nil"/>
                              <w:right w:val="single" w:sz="4" w:space="0" w:color="auto"/>
                            </w:tcBorders>
                            <w:shd w:val="clear" w:color="auto" w:fill="auto"/>
                            <w:noWrap/>
                            <w:vAlign w:val="center"/>
                            <w:hideMark/>
                          </w:tcPr>
                          <w:p w14:paraId="44340FAA"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81.14</w:t>
                            </w:r>
                          </w:p>
                        </w:tc>
                        <w:tc>
                          <w:tcPr>
                            <w:tcW w:w="860" w:type="dxa"/>
                            <w:tcBorders>
                              <w:top w:val="nil"/>
                              <w:left w:val="nil"/>
                              <w:bottom w:val="nil"/>
                              <w:right w:val="single" w:sz="4" w:space="0" w:color="auto"/>
                            </w:tcBorders>
                            <w:shd w:val="clear" w:color="auto" w:fill="auto"/>
                            <w:noWrap/>
                            <w:vAlign w:val="center"/>
                            <w:hideMark/>
                          </w:tcPr>
                          <w:p w14:paraId="1C49BBE2"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3.07</w:t>
                            </w:r>
                          </w:p>
                        </w:tc>
                        <w:tc>
                          <w:tcPr>
                            <w:tcW w:w="900" w:type="dxa"/>
                            <w:tcBorders>
                              <w:top w:val="nil"/>
                              <w:left w:val="nil"/>
                              <w:bottom w:val="nil"/>
                              <w:right w:val="single" w:sz="4" w:space="0" w:color="auto"/>
                            </w:tcBorders>
                            <w:shd w:val="clear" w:color="auto" w:fill="auto"/>
                            <w:noWrap/>
                            <w:vAlign w:val="center"/>
                            <w:hideMark/>
                          </w:tcPr>
                          <w:p w14:paraId="53B99FBF"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4.18</w:t>
                            </w:r>
                          </w:p>
                        </w:tc>
                        <w:tc>
                          <w:tcPr>
                            <w:tcW w:w="960" w:type="dxa"/>
                            <w:tcBorders>
                              <w:top w:val="nil"/>
                              <w:left w:val="nil"/>
                              <w:bottom w:val="nil"/>
                              <w:right w:val="single" w:sz="4" w:space="0" w:color="auto"/>
                            </w:tcBorders>
                            <w:shd w:val="clear" w:color="auto" w:fill="auto"/>
                            <w:noWrap/>
                            <w:vAlign w:val="center"/>
                            <w:hideMark/>
                          </w:tcPr>
                          <w:p w14:paraId="133249A4"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164.71</w:t>
                            </w:r>
                          </w:p>
                        </w:tc>
                        <w:tc>
                          <w:tcPr>
                            <w:tcW w:w="880" w:type="dxa"/>
                            <w:tcBorders>
                              <w:top w:val="nil"/>
                              <w:left w:val="nil"/>
                              <w:bottom w:val="nil"/>
                              <w:right w:val="single" w:sz="4" w:space="0" w:color="auto"/>
                            </w:tcBorders>
                            <w:shd w:val="clear" w:color="auto" w:fill="auto"/>
                            <w:noWrap/>
                            <w:vAlign w:val="center"/>
                            <w:hideMark/>
                          </w:tcPr>
                          <w:p w14:paraId="0B3FD799"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4.13</w:t>
                            </w:r>
                          </w:p>
                        </w:tc>
                        <w:tc>
                          <w:tcPr>
                            <w:tcW w:w="840" w:type="dxa"/>
                            <w:tcBorders>
                              <w:top w:val="nil"/>
                              <w:left w:val="nil"/>
                              <w:bottom w:val="nil"/>
                              <w:right w:val="single" w:sz="4" w:space="0" w:color="auto"/>
                            </w:tcBorders>
                            <w:shd w:val="clear" w:color="auto" w:fill="auto"/>
                            <w:noWrap/>
                            <w:vAlign w:val="center"/>
                            <w:hideMark/>
                          </w:tcPr>
                          <w:p w14:paraId="2B3EB2D8"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1080" w:type="dxa"/>
                            <w:tcBorders>
                              <w:top w:val="nil"/>
                              <w:left w:val="nil"/>
                              <w:bottom w:val="nil"/>
                              <w:right w:val="single" w:sz="4" w:space="0" w:color="auto"/>
                            </w:tcBorders>
                            <w:shd w:val="clear" w:color="auto" w:fill="auto"/>
                            <w:noWrap/>
                            <w:vAlign w:val="center"/>
                            <w:hideMark/>
                          </w:tcPr>
                          <w:p w14:paraId="1F5FCD08"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5002.87</w:t>
                            </w:r>
                          </w:p>
                        </w:tc>
                        <w:tc>
                          <w:tcPr>
                            <w:tcW w:w="980" w:type="dxa"/>
                            <w:tcBorders>
                              <w:top w:val="nil"/>
                              <w:left w:val="nil"/>
                              <w:bottom w:val="nil"/>
                              <w:right w:val="single" w:sz="4" w:space="0" w:color="auto"/>
                            </w:tcBorders>
                            <w:shd w:val="clear" w:color="auto" w:fill="auto"/>
                            <w:noWrap/>
                            <w:vAlign w:val="center"/>
                            <w:hideMark/>
                          </w:tcPr>
                          <w:p w14:paraId="3949671A"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4.30</w:t>
                            </w:r>
                          </w:p>
                        </w:tc>
                        <w:tc>
                          <w:tcPr>
                            <w:tcW w:w="920" w:type="dxa"/>
                            <w:tcBorders>
                              <w:top w:val="nil"/>
                              <w:left w:val="nil"/>
                              <w:bottom w:val="nil"/>
                              <w:right w:val="single" w:sz="4" w:space="0" w:color="auto"/>
                            </w:tcBorders>
                            <w:shd w:val="clear" w:color="auto" w:fill="auto"/>
                            <w:noWrap/>
                            <w:vAlign w:val="center"/>
                            <w:hideMark/>
                          </w:tcPr>
                          <w:p w14:paraId="500516F4"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r>
                      <w:tr w:rsidR="007E349F" w:rsidRPr="00734A48" w14:paraId="01AA073C" w14:textId="77777777" w:rsidTr="00FC3546">
                        <w:trPr>
                          <w:trHeight w:val="300"/>
                        </w:trPr>
                        <w:tc>
                          <w:tcPr>
                            <w:tcW w:w="960" w:type="dxa"/>
                            <w:tcBorders>
                              <w:top w:val="nil"/>
                              <w:left w:val="single" w:sz="4" w:space="0" w:color="auto"/>
                              <w:bottom w:val="nil"/>
                              <w:right w:val="single" w:sz="4" w:space="0" w:color="auto"/>
                            </w:tcBorders>
                            <w:shd w:val="clear" w:color="auto" w:fill="auto"/>
                            <w:noWrap/>
                            <w:vAlign w:val="center"/>
                            <w:hideMark/>
                          </w:tcPr>
                          <w:p w14:paraId="509AED66" w14:textId="77777777" w:rsidR="007E349F" w:rsidRPr="00734A48" w:rsidRDefault="007E349F" w:rsidP="00FC3546">
                            <w:pPr>
                              <w:spacing w:after="0" w:line="240" w:lineRule="auto"/>
                              <w:jc w:val="center"/>
                              <w:rPr>
                                <w:rFonts w:asciiTheme="majorHAnsi" w:eastAsia="Times New Roman" w:hAnsiTheme="majorHAnsi" w:cs="Times New Roman"/>
                                <w:b/>
                                <w:bCs/>
                                <w:color w:val="000000"/>
                              </w:rPr>
                            </w:pPr>
                            <w:r w:rsidRPr="00734A48">
                              <w:rPr>
                                <w:rFonts w:asciiTheme="majorHAnsi" w:eastAsia="Times New Roman" w:hAnsiTheme="majorHAnsi" w:cs="Times New Roman"/>
                                <w:b/>
                                <w:bCs/>
                                <w:color w:val="000000"/>
                              </w:rPr>
                              <w:t>PS01-S</w:t>
                            </w:r>
                          </w:p>
                        </w:tc>
                        <w:tc>
                          <w:tcPr>
                            <w:tcW w:w="920" w:type="dxa"/>
                            <w:tcBorders>
                              <w:top w:val="nil"/>
                              <w:left w:val="nil"/>
                              <w:bottom w:val="nil"/>
                              <w:right w:val="single" w:sz="4" w:space="0" w:color="auto"/>
                            </w:tcBorders>
                            <w:shd w:val="clear" w:color="auto" w:fill="auto"/>
                            <w:noWrap/>
                            <w:vAlign w:val="center"/>
                            <w:hideMark/>
                          </w:tcPr>
                          <w:p w14:paraId="629242C9"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860" w:type="dxa"/>
                            <w:tcBorders>
                              <w:top w:val="nil"/>
                              <w:left w:val="nil"/>
                              <w:bottom w:val="nil"/>
                              <w:right w:val="single" w:sz="4" w:space="0" w:color="auto"/>
                            </w:tcBorders>
                            <w:shd w:val="clear" w:color="auto" w:fill="auto"/>
                            <w:noWrap/>
                            <w:vAlign w:val="center"/>
                            <w:hideMark/>
                          </w:tcPr>
                          <w:p w14:paraId="201905F8"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900" w:type="dxa"/>
                            <w:tcBorders>
                              <w:top w:val="nil"/>
                              <w:left w:val="nil"/>
                              <w:bottom w:val="nil"/>
                              <w:right w:val="single" w:sz="4" w:space="0" w:color="auto"/>
                            </w:tcBorders>
                            <w:shd w:val="clear" w:color="auto" w:fill="auto"/>
                            <w:noWrap/>
                            <w:vAlign w:val="center"/>
                            <w:hideMark/>
                          </w:tcPr>
                          <w:p w14:paraId="7B06B29D"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960" w:type="dxa"/>
                            <w:tcBorders>
                              <w:top w:val="nil"/>
                              <w:left w:val="nil"/>
                              <w:bottom w:val="nil"/>
                              <w:right w:val="single" w:sz="4" w:space="0" w:color="auto"/>
                            </w:tcBorders>
                            <w:shd w:val="clear" w:color="auto" w:fill="auto"/>
                            <w:noWrap/>
                            <w:vAlign w:val="center"/>
                            <w:hideMark/>
                          </w:tcPr>
                          <w:p w14:paraId="4AFF21BA"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880" w:type="dxa"/>
                            <w:tcBorders>
                              <w:top w:val="nil"/>
                              <w:left w:val="nil"/>
                              <w:bottom w:val="nil"/>
                              <w:right w:val="single" w:sz="4" w:space="0" w:color="auto"/>
                            </w:tcBorders>
                            <w:shd w:val="clear" w:color="auto" w:fill="auto"/>
                            <w:noWrap/>
                            <w:vAlign w:val="center"/>
                            <w:hideMark/>
                          </w:tcPr>
                          <w:p w14:paraId="38BDBD9A"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6.25</w:t>
                            </w:r>
                          </w:p>
                        </w:tc>
                        <w:tc>
                          <w:tcPr>
                            <w:tcW w:w="840" w:type="dxa"/>
                            <w:tcBorders>
                              <w:top w:val="nil"/>
                              <w:left w:val="nil"/>
                              <w:bottom w:val="nil"/>
                              <w:right w:val="single" w:sz="4" w:space="0" w:color="auto"/>
                            </w:tcBorders>
                            <w:shd w:val="clear" w:color="auto" w:fill="auto"/>
                            <w:noWrap/>
                            <w:vAlign w:val="center"/>
                            <w:hideMark/>
                          </w:tcPr>
                          <w:p w14:paraId="621F9F66"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1080" w:type="dxa"/>
                            <w:tcBorders>
                              <w:top w:val="nil"/>
                              <w:left w:val="nil"/>
                              <w:bottom w:val="nil"/>
                              <w:right w:val="single" w:sz="4" w:space="0" w:color="auto"/>
                            </w:tcBorders>
                            <w:shd w:val="clear" w:color="auto" w:fill="auto"/>
                            <w:noWrap/>
                            <w:vAlign w:val="center"/>
                            <w:hideMark/>
                          </w:tcPr>
                          <w:p w14:paraId="7232FFD1"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23377.12</w:t>
                            </w:r>
                          </w:p>
                        </w:tc>
                        <w:tc>
                          <w:tcPr>
                            <w:tcW w:w="980" w:type="dxa"/>
                            <w:tcBorders>
                              <w:top w:val="nil"/>
                              <w:left w:val="nil"/>
                              <w:bottom w:val="nil"/>
                              <w:right w:val="single" w:sz="4" w:space="0" w:color="auto"/>
                            </w:tcBorders>
                            <w:shd w:val="clear" w:color="auto" w:fill="auto"/>
                            <w:noWrap/>
                            <w:vAlign w:val="center"/>
                            <w:hideMark/>
                          </w:tcPr>
                          <w:p w14:paraId="298CE71E"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TR</w:t>
                            </w:r>
                          </w:p>
                        </w:tc>
                        <w:tc>
                          <w:tcPr>
                            <w:tcW w:w="920" w:type="dxa"/>
                            <w:tcBorders>
                              <w:top w:val="nil"/>
                              <w:left w:val="nil"/>
                              <w:bottom w:val="nil"/>
                              <w:right w:val="single" w:sz="4" w:space="0" w:color="auto"/>
                            </w:tcBorders>
                            <w:shd w:val="clear" w:color="auto" w:fill="auto"/>
                            <w:noWrap/>
                            <w:vAlign w:val="center"/>
                            <w:hideMark/>
                          </w:tcPr>
                          <w:p w14:paraId="1D8B3CD9"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r>
                      <w:tr w:rsidR="007E349F" w:rsidRPr="00734A48" w14:paraId="3CC30B40" w14:textId="77777777" w:rsidTr="00FC3546">
                        <w:trPr>
                          <w:trHeight w:val="300"/>
                        </w:trPr>
                        <w:tc>
                          <w:tcPr>
                            <w:tcW w:w="960" w:type="dxa"/>
                            <w:tcBorders>
                              <w:top w:val="nil"/>
                              <w:left w:val="single" w:sz="4" w:space="0" w:color="auto"/>
                              <w:bottom w:val="nil"/>
                              <w:right w:val="single" w:sz="4" w:space="0" w:color="auto"/>
                            </w:tcBorders>
                            <w:shd w:val="clear" w:color="auto" w:fill="auto"/>
                            <w:noWrap/>
                            <w:vAlign w:val="center"/>
                            <w:hideMark/>
                          </w:tcPr>
                          <w:p w14:paraId="72E43753" w14:textId="77777777" w:rsidR="007E349F" w:rsidRPr="00734A48" w:rsidRDefault="007E349F" w:rsidP="00FC3546">
                            <w:pPr>
                              <w:spacing w:after="0" w:line="240" w:lineRule="auto"/>
                              <w:jc w:val="center"/>
                              <w:rPr>
                                <w:rFonts w:asciiTheme="majorHAnsi" w:eastAsia="Times New Roman" w:hAnsiTheme="majorHAnsi" w:cs="Times New Roman"/>
                                <w:b/>
                                <w:bCs/>
                                <w:color w:val="000000"/>
                              </w:rPr>
                            </w:pPr>
                            <w:r w:rsidRPr="00734A48">
                              <w:rPr>
                                <w:rFonts w:asciiTheme="majorHAnsi" w:eastAsia="Times New Roman" w:hAnsiTheme="majorHAnsi" w:cs="Times New Roman"/>
                                <w:b/>
                                <w:bCs/>
                                <w:color w:val="000000"/>
                              </w:rPr>
                              <w:t>RP01-S</w:t>
                            </w:r>
                          </w:p>
                        </w:tc>
                        <w:tc>
                          <w:tcPr>
                            <w:tcW w:w="920" w:type="dxa"/>
                            <w:tcBorders>
                              <w:top w:val="nil"/>
                              <w:left w:val="nil"/>
                              <w:bottom w:val="nil"/>
                              <w:right w:val="single" w:sz="4" w:space="0" w:color="auto"/>
                            </w:tcBorders>
                            <w:shd w:val="clear" w:color="auto" w:fill="auto"/>
                            <w:noWrap/>
                            <w:vAlign w:val="center"/>
                            <w:hideMark/>
                          </w:tcPr>
                          <w:p w14:paraId="382B63A4"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860" w:type="dxa"/>
                            <w:tcBorders>
                              <w:top w:val="nil"/>
                              <w:left w:val="nil"/>
                              <w:bottom w:val="nil"/>
                              <w:right w:val="single" w:sz="4" w:space="0" w:color="auto"/>
                            </w:tcBorders>
                            <w:shd w:val="clear" w:color="auto" w:fill="auto"/>
                            <w:noWrap/>
                            <w:vAlign w:val="center"/>
                            <w:hideMark/>
                          </w:tcPr>
                          <w:p w14:paraId="739A4C96"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900" w:type="dxa"/>
                            <w:tcBorders>
                              <w:top w:val="nil"/>
                              <w:left w:val="nil"/>
                              <w:bottom w:val="nil"/>
                              <w:right w:val="single" w:sz="4" w:space="0" w:color="auto"/>
                            </w:tcBorders>
                            <w:shd w:val="clear" w:color="auto" w:fill="auto"/>
                            <w:noWrap/>
                            <w:vAlign w:val="center"/>
                            <w:hideMark/>
                          </w:tcPr>
                          <w:p w14:paraId="017917AC"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960" w:type="dxa"/>
                            <w:tcBorders>
                              <w:top w:val="nil"/>
                              <w:left w:val="nil"/>
                              <w:bottom w:val="nil"/>
                              <w:right w:val="single" w:sz="4" w:space="0" w:color="auto"/>
                            </w:tcBorders>
                            <w:shd w:val="clear" w:color="auto" w:fill="auto"/>
                            <w:noWrap/>
                            <w:vAlign w:val="center"/>
                            <w:hideMark/>
                          </w:tcPr>
                          <w:p w14:paraId="1D8DDAA8"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880" w:type="dxa"/>
                            <w:tcBorders>
                              <w:top w:val="nil"/>
                              <w:left w:val="nil"/>
                              <w:bottom w:val="nil"/>
                              <w:right w:val="single" w:sz="4" w:space="0" w:color="auto"/>
                            </w:tcBorders>
                            <w:shd w:val="clear" w:color="auto" w:fill="auto"/>
                            <w:noWrap/>
                            <w:vAlign w:val="center"/>
                            <w:hideMark/>
                          </w:tcPr>
                          <w:p w14:paraId="660A2936"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TR</w:t>
                            </w:r>
                          </w:p>
                        </w:tc>
                        <w:tc>
                          <w:tcPr>
                            <w:tcW w:w="840" w:type="dxa"/>
                            <w:tcBorders>
                              <w:top w:val="nil"/>
                              <w:left w:val="nil"/>
                              <w:bottom w:val="nil"/>
                              <w:right w:val="single" w:sz="4" w:space="0" w:color="auto"/>
                            </w:tcBorders>
                            <w:shd w:val="clear" w:color="auto" w:fill="auto"/>
                            <w:noWrap/>
                            <w:vAlign w:val="center"/>
                            <w:hideMark/>
                          </w:tcPr>
                          <w:p w14:paraId="2EDBDB37"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1080" w:type="dxa"/>
                            <w:tcBorders>
                              <w:top w:val="nil"/>
                              <w:left w:val="nil"/>
                              <w:bottom w:val="nil"/>
                              <w:right w:val="single" w:sz="4" w:space="0" w:color="auto"/>
                            </w:tcBorders>
                            <w:shd w:val="clear" w:color="auto" w:fill="auto"/>
                            <w:noWrap/>
                            <w:vAlign w:val="center"/>
                            <w:hideMark/>
                          </w:tcPr>
                          <w:p w14:paraId="4375A000"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17244.02</w:t>
                            </w:r>
                          </w:p>
                        </w:tc>
                        <w:tc>
                          <w:tcPr>
                            <w:tcW w:w="980" w:type="dxa"/>
                            <w:tcBorders>
                              <w:top w:val="nil"/>
                              <w:left w:val="nil"/>
                              <w:bottom w:val="nil"/>
                              <w:right w:val="single" w:sz="4" w:space="0" w:color="auto"/>
                            </w:tcBorders>
                            <w:shd w:val="clear" w:color="auto" w:fill="auto"/>
                            <w:noWrap/>
                            <w:vAlign w:val="center"/>
                            <w:hideMark/>
                          </w:tcPr>
                          <w:p w14:paraId="128803BC"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920" w:type="dxa"/>
                            <w:tcBorders>
                              <w:top w:val="nil"/>
                              <w:left w:val="nil"/>
                              <w:bottom w:val="nil"/>
                              <w:right w:val="single" w:sz="4" w:space="0" w:color="auto"/>
                            </w:tcBorders>
                            <w:shd w:val="clear" w:color="auto" w:fill="auto"/>
                            <w:noWrap/>
                            <w:vAlign w:val="center"/>
                            <w:hideMark/>
                          </w:tcPr>
                          <w:p w14:paraId="0703EDB6"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r>
                      <w:tr w:rsidR="007E349F" w:rsidRPr="00734A48" w14:paraId="7009141D" w14:textId="77777777" w:rsidTr="00FC3546">
                        <w:trPr>
                          <w:trHeight w:val="300"/>
                        </w:trPr>
                        <w:tc>
                          <w:tcPr>
                            <w:tcW w:w="960" w:type="dxa"/>
                            <w:tcBorders>
                              <w:top w:val="single" w:sz="4" w:space="0" w:color="auto"/>
                              <w:left w:val="single" w:sz="4" w:space="0" w:color="auto"/>
                              <w:bottom w:val="nil"/>
                              <w:right w:val="single" w:sz="4" w:space="0" w:color="auto"/>
                            </w:tcBorders>
                            <w:shd w:val="clear" w:color="auto" w:fill="auto"/>
                            <w:noWrap/>
                            <w:vAlign w:val="center"/>
                            <w:hideMark/>
                          </w:tcPr>
                          <w:p w14:paraId="21936F91" w14:textId="77777777" w:rsidR="007E349F" w:rsidRPr="00734A48" w:rsidRDefault="007E349F" w:rsidP="00FC3546">
                            <w:pPr>
                              <w:spacing w:after="0" w:line="240" w:lineRule="auto"/>
                              <w:jc w:val="center"/>
                              <w:rPr>
                                <w:rFonts w:asciiTheme="majorHAnsi" w:eastAsia="Times New Roman" w:hAnsiTheme="majorHAnsi" w:cs="Times New Roman"/>
                                <w:b/>
                                <w:bCs/>
                                <w:color w:val="000000"/>
                              </w:rPr>
                            </w:pPr>
                            <w:r w:rsidRPr="00734A48">
                              <w:rPr>
                                <w:rFonts w:asciiTheme="majorHAnsi" w:eastAsia="Times New Roman" w:hAnsiTheme="majorHAnsi" w:cs="Times New Roman"/>
                                <w:b/>
                                <w:bCs/>
                                <w:color w:val="000000"/>
                              </w:rPr>
                              <w:t>CB01-Z</w:t>
                            </w:r>
                          </w:p>
                        </w:tc>
                        <w:tc>
                          <w:tcPr>
                            <w:tcW w:w="920" w:type="dxa"/>
                            <w:tcBorders>
                              <w:top w:val="single" w:sz="4" w:space="0" w:color="auto"/>
                              <w:left w:val="nil"/>
                              <w:bottom w:val="nil"/>
                              <w:right w:val="single" w:sz="4" w:space="0" w:color="auto"/>
                            </w:tcBorders>
                            <w:shd w:val="clear" w:color="auto" w:fill="auto"/>
                            <w:noWrap/>
                            <w:vAlign w:val="center"/>
                            <w:hideMark/>
                          </w:tcPr>
                          <w:p w14:paraId="302BD4EF"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749.82</w:t>
                            </w:r>
                          </w:p>
                        </w:tc>
                        <w:tc>
                          <w:tcPr>
                            <w:tcW w:w="860" w:type="dxa"/>
                            <w:tcBorders>
                              <w:top w:val="single" w:sz="4" w:space="0" w:color="auto"/>
                              <w:left w:val="nil"/>
                              <w:bottom w:val="nil"/>
                              <w:right w:val="single" w:sz="4" w:space="0" w:color="auto"/>
                            </w:tcBorders>
                            <w:shd w:val="clear" w:color="auto" w:fill="auto"/>
                            <w:noWrap/>
                            <w:vAlign w:val="center"/>
                            <w:hideMark/>
                          </w:tcPr>
                          <w:p w14:paraId="1C94A4B3"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121.13</w:t>
                            </w:r>
                          </w:p>
                        </w:tc>
                        <w:tc>
                          <w:tcPr>
                            <w:tcW w:w="900" w:type="dxa"/>
                            <w:tcBorders>
                              <w:top w:val="single" w:sz="4" w:space="0" w:color="auto"/>
                              <w:left w:val="nil"/>
                              <w:bottom w:val="nil"/>
                              <w:right w:val="single" w:sz="4" w:space="0" w:color="auto"/>
                            </w:tcBorders>
                            <w:shd w:val="clear" w:color="auto" w:fill="auto"/>
                            <w:noWrap/>
                            <w:vAlign w:val="center"/>
                            <w:hideMark/>
                          </w:tcPr>
                          <w:p w14:paraId="0D7F32A2"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5948.59</w:t>
                            </w:r>
                          </w:p>
                        </w:tc>
                        <w:tc>
                          <w:tcPr>
                            <w:tcW w:w="960" w:type="dxa"/>
                            <w:tcBorders>
                              <w:top w:val="single" w:sz="4" w:space="0" w:color="auto"/>
                              <w:left w:val="nil"/>
                              <w:bottom w:val="nil"/>
                              <w:right w:val="single" w:sz="4" w:space="0" w:color="auto"/>
                            </w:tcBorders>
                            <w:shd w:val="clear" w:color="auto" w:fill="auto"/>
                            <w:noWrap/>
                            <w:vAlign w:val="center"/>
                            <w:hideMark/>
                          </w:tcPr>
                          <w:p w14:paraId="63C62EE4"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1623.54</w:t>
                            </w:r>
                          </w:p>
                        </w:tc>
                        <w:tc>
                          <w:tcPr>
                            <w:tcW w:w="880" w:type="dxa"/>
                            <w:tcBorders>
                              <w:top w:val="single" w:sz="4" w:space="0" w:color="auto"/>
                              <w:left w:val="nil"/>
                              <w:bottom w:val="nil"/>
                              <w:right w:val="single" w:sz="4" w:space="0" w:color="auto"/>
                            </w:tcBorders>
                            <w:shd w:val="clear" w:color="auto" w:fill="auto"/>
                            <w:noWrap/>
                            <w:vAlign w:val="center"/>
                            <w:hideMark/>
                          </w:tcPr>
                          <w:p w14:paraId="4501C9F4"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338.18</w:t>
                            </w:r>
                          </w:p>
                        </w:tc>
                        <w:tc>
                          <w:tcPr>
                            <w:tcW w:w="840" w:type="dxa"/>
                            <w:tcBorders>
                              <w:top w:val="single" w:sz="4" w:space="0" w:color="auto"/>
                              <w:left w:val="nil"/>
                              <w:bottom w:val="nil"/>
                              <w:right w:val="single" w:sz="4" w:space="0" w:color="auto"/>
                            </w:tcBorders>
                            <w:shd w:val="clear" w:color="auto" w:fill="auto"/>
                            <w:noWrap/>
                            <w:vAlign w:val="center"/>
                            <w:hideMark/>
                          </w:tcPr>
                          <w:p w14:paraId="70AD6968"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835.74</w:t>
                            </w:r>
                          </w:p>
                        </w:tc>
                        <w:tc>
                          <w:tcPr>
                            <w:tcW w:w="1080" w:type="dxa"/>
                            <w:tcBorders>
                              <w:top w:val="single" w:sz="4" w:space="0" w:color="auto"/>
                              <w:left w:val="nil"/>
                              <w:bottom w:val="nil"/>
                              <w:right w:val="single" w:sz="4" w:space="0" w:color="auto"/>
                            </w:tcBorders>
                            <w:shd w:val="clear" w:color="auto" w:fill="auto"/>
                            <w:noWrap/>
                            <w:vAlign w:val="center"/>
                            <w:hideMark/>
                          </w:tcPr>
                          <w:p w14:paraId="47B1BDD5"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19893.76</w:t>
                            </w:r>
                          </w:p>
                        </w:tc>
                        <w:tc>
                          <w:tcPr>
                            <w:tcW w:w="980" w:type="dxa"/>
                            <w:tcBorders>
                              <w:top w:val="single" w:sz="4" w:space="0" w:color="auto"/>
                              <w:left w:val="nil"/>
                              <w:bottom w:val="nil"/>
                              <w:right w:val="single" w:sz="4" w:space="0" w:color="auto"/>
                            </w:tcBorders>
                            <w:shd w:val="clear" w:color="auto" w:fill="auto"/>
                            <w:noWrap/>
                            <w:vAlign w:val="center"/>
                            <w:hideMark/>
                          </w:tcPr>
                          <w:p w14:paraId="08CC6262"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4751.32</w:t>
                            </w:r>
                          </w:p>
                        </w:tc>
                        <w:tc>
                          <w:tcPr>
                            <w:tcW w:w="920" w:type="dxa"/>
                            <w:tcBorders>
                              <w:top w:val="single" w:sz="4" w:space="0" w:color="auto"/>
                              <w:left w:val="nil"/>
                              <w:bottom w:val="nil"/>
                              <w:right w:val="single" w:sz="4" w:space="0" w:color="auto"/>
                            </w:tcBorders>
                            <w:shd w:val="clear" w:color="auto" w:fill="auto"/>
                            <w:noWrap/>
                            <w:vAlign w:val="center"/>
                            <w:hideMark/>
                          </w:tcPr>
                          <w:p w14:paraId="23E70073"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r>
                      <w:tr w:rsidR="007E349F" w:rsidRPr="00734A48" w14:paraId="54F0E329" w14:textId="77777777" w:rsidTr="00FC3546">
                        <w:trPr>
                          <w:trHeight w:val="300"/>
                        </w:trPr>
                        <w:tc>
                          <w:tcPr>
                            <w:tcW w:w="960" w:type="dxa"/>
                            <w:tcBorders>
                              <w:top w:val="nil"/>
                              <w:left w:val="single" w:sz="4" w:space="0" w:color="auto"/>
                              <w:bottom w:val="nil"/>
                              <w:right w:val="single" w:sz="4" w:space="0" w:color="auto"/>
                            </w:tcBorders>
                            <w:shd w:val="clear" w:color="auto" w:fill="auto"/>
                            <w:noWrap/>
                            <w:vAlign w:val="center"/>
                            <w:hideMark/>
                          </w:tcPr>
                          <w:p w14:paraId="2755A2A9" w14:textId="77777777" w:rsidR="007E349F" w:rsidRPr="00734A48" w:rsidRDefault="007E349F" w:rsidP="00FC3546">
                            <w:pPr>
                              <w:spacing w:after="0" w:line="240" w:lineRule="auto"/>
                              <w:jc w:val="center"/>
                              <w:rPr>
                                <w:rFonts w:asciiTheme="majorHAnsi" w:eastAsia="Times New Roman" w:hAnsiTheme="majorHAnsi" w:cs="Times New Roman"/>
                                <w:b/>
                                <w:bCs/>
                                <w:color w:val="000000"/>
                              </w:rPr>
                            </w:pPr>
                            <w:r w:rsidRPr="00734A48">
                              <w:rPr>
                                <w:rFonts w:asciiTheme="majorHAnsi" w:eastAsia="Times New Roman" w:hAnsiTheme="majorHAnsi" w:cs="Times New Roman"/>
                                <w:b/>
                                <w:bCs/>
                                <w:color w:val="000000"/>
                              </w:rPr>
                              <w:t>CB01-I</w:t>
                            </w:r>
                          </w:p>
                        </w:tc>
                        <w:tc>
                          <w:tcPr>
                            <w:tcW w:w="920" w:type="dxa"/>
                            <w:tcBorders>
                              <w:top w:val="nil"/>
                              <w:left w:val="nil"/>
                              <w:bottom w:val="nil"/>
                              <w:right w:val="single" w:sz="4" w:space="0" w:color="auto"/>
                            </w:tcBorders>
                            <w:shd w:val="clear" w:color="auto" w:fill="auto"/>
                            <w:noWrap/>
                            <w:vAlign w:val="center"/>
                            <w:hideMark/>
                          </w:tcPr>
                          <w:p w14:paraId="1B4DE645"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276.63</w:t>
                            </w:r>
                          </w:p>
                        </w:tc>
                        <w:tc>
                          <w:tcPr>
                            <w:tcW w:w="860" w:type="dxa"/>
                            <w:tcBorders>
                              <w:top w:val="nil"/>
                              <w:left w:val="nil"/>
                              <w:bottom w:val="nil"/>
                              <w:right w:val="single" w:sz="4" w:space="0" w:color="auto"/>
                            </w:tcBorders>
                            <w:shd w:val="clear" w:color="auto" w:fill="auto"/>
                            <w:noWrap/>
                            <w:vAlign w:val="center"/>
                            <w:hideMark/>
                          </w:tcPr>
                          <w:p w14:paraId="16879360"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10.01</w:t>
                            </w:r>
                          </w:p>
                        </w:tc>
                        <w:tc>
                          <w:tcPr>
                            <w:tcW w:w="900" w:type="dxa"/>
                            <w:tcBorders>
                              <w:top w:val="nil"/>
                              <w:left w:val="nil"/>
                              <w:bottom w:val="nil"/>
                              <w:right w:val="single" w:sz="4" w:space="0" w:color="auto"/>
                            </w:tcBorders>
                            <w:shd w:val="clear" w:color="auto" w:fill="auto"/>
                            <w:noWrap/>
                            <w:vAlign w:val="center"/>
                            <w:hideMark/>
                          </w:tcPr>
                          <w:p w14:paraId="6A2D8717"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14.59</w:t>
                            </w:r>
                          </w:p>
                        </w:tc>
                        <w:tc>
                          <w:tcPr>
                            <w:tcW w:w="960" w:type="dxa"/>
                            <w:tcBorders>
                              <w:top w:val="nil"/>
                              <w:left w:val="nil"/>
                              <w:bottom w:val="nil"/>
                              <w:right w:val="single" w:sz="4" w:space="0" w:color="auto"/>
                            </w:tcBorders>
                            <w:shd w:val="clear" w:color="auto" w:fill="auto"/>
                            <w:noWrap/>
                            <w:vAlign w:val="center"/>
                            <w:hideMark/>
                          </w:tcPr>
                          <w:p w14:paraId="6FA4668D"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237.03</w:t>
                            </w:r>
                          </w:p>
                        </w:tc>
                        <w:tc>
                          <w:tcPr>
                            <w:tcW w:w="880" w:type="dxa"/>
                            <w:tcBorders>
                              <w:top w:val="nil"/>
                              <w:left w:val="nil"/>
                              <w:bottom w:val="nil"/>
                              <w:right w:val="single" w:sz="4" w:space="0" w:color="auto"/>
                            </w:tcBorders>
                            <w:shd w:val="clear" w:color="auto" w:fill="auto"/>
                            <w:noWrap/>
                            <w:vAlign w:val="center"/>
                            <w:hideMark/>
                          </w:tcPr>
                          <w:p w14:paraId="10FF3054"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6.53</w:t>
                            </w:r>
                          </w:p>
                        </w:tc>
                        <w:tc>
                          <w:tcPr>
                            <w:tcW w:w="840" w:type="dxa"/>
                            <w:tcBorders>
                              <w:top w:val="nil"/>
                              <w:left w:val="nil"/>
                              <w:bottom w:val="nil"/>
                              <w:right w:val="single" w:sz="4" w:space="0" w:color="auto"/>
                            </w:tcBorders>
                            <w:shd w:val="clear" w:color="auto" w:fill="auto"/>
                            <w:noWrap/>
                            <w:vAlign w:val="center"/>
                            <w:hideMark/>
                          </w:tcPr>
                          <w:p w14:paraId="28EDB8CB"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1080" w:type="dxa"/>
                            <w:tcBorders>
                              <w:top w:val="nil"/>
                              <w:left w:val="nil"/>
                              <w:bottom w:val="nil"/>
                              <w:right w:val="single" w:sz="4" w:space="0" w:color="auto"/>
                            </w:tcBorders>
                            <w:shd w:val="clear" w:color="auto" w:fill="auto"/>
                            <w:noWrap/>
                            <w:vAlign w:val="center"/>
                            <w:hideMark/>
                          </w:tcPr>
                          <w:p w14:paraId="42D71904"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8796.63</w:t>
                            </w:r>
                          </w:p>
                        </w:tc>
                        <w:tc>
                          <w:tcPr>
                            <w:tcW w:w="980" w:type="dxa"/>
                            <w:tcBorders>
                              <w:top w:val="nil"/>
                              <w:left w:val="nil"/>
                              <w:bottom w:val="nil"/>
                              <w:right w:val="single" w:sz="4" w:space="0" w:color="auto"/>
                            </w:tcBorders>
                            <w:shd w:val="clear" w:color="auto" w:fill="auto"/>
                            <w:noWrap/>
                            <w:vAlign w:val="center"/>
                            <w:hideMark/>
                          </w:tcPr>
                          <w:p w14:paraId="50E77D0D"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12.25</w:t>
                            </w:r>
                          </w:p>
                        </w:tc>
                        <w:tc>
                          <w:tcPr>
                            <w:tcW w:w="920" w:type="dxa"/>
                            <w:tcBorders>
                              <w:top w:val="nil"/>
                              <w:left w:val="nil"/>
                              <w:bottom w:val="nil"/>
                              <w:right w:val="single" w:sz="4" w:space="0" w:color="auto"/>
                            </w:tcBorders>
                            <w:shd w:val="clear" w:color="auto" w:fill="auto"/>
                            <w:noWrap/>
                            <w:vAlign w:val="center"/>
                            <w:hideMark/>
                          </w:tcPr>
                          <w:p w14:paraId="5BB54A51"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2610.93</w:t>
                            </w:r>
                          </w:p>
                        </w:tc>
                      </w:tr>
                      <w:tr w:rsidR="007E349F" w:rsidRPr="00734A48" w14:paraId="3978D291" w14:textId="77777777" w:rsidTr="00FC3546">
                        <w:trPr>
                          <w:trHeight w:val="300"/>
                        </w:trPr>
                        <w:tc>
                          <w:tcPr>
                            <w:tcW w:w="960" w:type="dxa"/>
                            <w:tcBorders>
                              <w:top w:val="nil"/>
                              <w:left w:val="single" w:sz="4" w:space="0" w:color="auto"/>
                              <w:bottom w:val="nil"/>
                              <w:right w:val="single" w:sz="4" w:space="0" w:color="auto"/>
                            </w:tcBorders>
                            <w:shd w:val="clear" w:color="auto" w:fill="auto"/>
                            <w:noWrap/>
                            <w:vAlign w:val="center"/>
                            <w:hideMark/>
                          </w:tcPr>
                          <w:p w14:paraId="38477EA7" w14:textId="77777777" w:rsidR="007E349F" w:rsidRPr="00734A48" w:rsidRDefault="007E349F" w:rsidP="00FC3546">
                            <w:pPr>
                              <w:spacing w:after="0" w:line="240" w:lineRule="auto"/>
                              <w:jc w:val="center"/>
                              <w:rPr>
                                <w:rFonts w:asciiTheme="majorHAnsi" w:eastAsia="Times New Roman" w:hAnsiTheme="majorHAnsi" w:cs="Times New Roman"/>
                                <w:b/>
                                <w:bCs/>
                                <w:color w:val="000000"/>
                              </w:rPr>
                            </w:pPr>
                            <w:r w:rsidRPr="00734A48">
                              <w:rPr>
                                <w:rFonts w:asciiTheme="majorHAnsi" w:eastAsia="Times New Roman" w:hAnsiTheme="majorHAnsi" w:cs="Times New Roman"/>
                                <w:b/>
                                <w:bCs/>
                                <w:color w:val="000000"/>
                              </w:rPr>
                              <w:t>SC01-I</w:t>
                            </w:r>
                          </w:p>
                        </w:tc>
                        <w:tc>
                          <w:tcPr>
                            <w:tcW w:w="920" w:type="dxa"/>
                            <w:tcBorders>
                              <w:top w:val="nil"/>
                              <w:left w:val="nil"/>
                              <w:bottom w:val="nil"/>
                              <w:right w:val="single" w:sz="4" w:space="0" w:color="auto"/>
                            </w:tcBorders>
                            <w:shd w:val="clear" w:color="auto" w:fill="auto"/>
                            <w:noWrap/>
                            <w:vAlign w:val="center"/>
                            <w:hideMark/>
                          </w:tcPr>
                          <w:p w14:paraId="29D28F95"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294.99</w:t>
                            </w:r>
                          </w:p>
                        </w:tc>
                        <w:tc>
                          <w:tcPr>
                            <w:tcW w:w="860" w:type="dxa"/>
                            <w:tcBorders>
                              <w:top w:val="nil"/>
                              <w:left w:val="nil"/>
                              <w:bottom w:val="nil"/>
                              <w:right w:val="single" w:sz="4" w:space="0" w:color="auto"/>
                            </w:tcBorders>
                            <w:shd w:val="clear" w:color="auto" w:fill="auto"/>
                            <w:noWrap/>
                            <w:vAlign w:val="center"/>
                            <w:hideMark/>
                          </w:tcPr>
                          <w:p w14:paraId="0DDB027A"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10.81</w:t>
                            </w:r>
                          </w:p>
                        </w:tc>
                        <w:tc>
                          <w:tcPr>
                            <w:tcW w:w="900" w:type="dxa"/>
                            <w:tcBorders>
                              <w:top w:val="nil"/>
                              <w:left w:val="nil"/>
                              <w:bottom w:val="nil"/>
                              <w:right w:val="single" w:sz="4" w:space="0" w:color="auto"/>
                            </w:tcBorders>
                            <w:shd w:val="clear" w:color="auto" w:fill="auto"/>
                            <w:noWrap/>
                            <w:vAlign w:val="center"/>
                            <w:hideMark/>
                          </w:tcPr>
                          <w:p w14:paraId="25FAB067"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30.41</w:t>
                            </w:r>
                          </w:p>
                        </w:tc>
                        <w:tc>
                          <w:tcPr>
                            <w:tcW w:w="960" w:type="dxa"/>
                            <w:tcBorders>
                              <w:top w:val="nil"/>
                              <w:left w:val="nil"/>
                              <w:bottom w:val="nil"/>
                              <w:right w:val="single" w:sz="4" w:space="0" w:color="auto"/>
                            </w:tcBorders>
                            <w:shd w:val="clear" w:color="auto" w:fill="auto"/>
                            <w:noWrap/>
                            <w:vAlign w:val="center"/>
                            <w:hideMark/>
                          </w:tcPr>
                          <w:p w14:paraId="1D4E2E18"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TR</w:t>
                            </w:r>
                          </w:p>
                        </w:tc>
                        <w:tc>
                          <w:tcPr>
                            <w:tcW w:w="880" w:type="dxa"/>
                            <w:tcBorders>
                              <w:top w:val="nil"/>
                              <w:left w:val="nil"/>
                              <w:bottom w:val="nil"/>
                              <w:right w:val="single" w:sz="4" w:space="0" w:color="auto"/>
                            </w:tcBorders>
                            <w:shd w:val="clear" w:color="auto" w:fill="auto"/>
                            <w:noWrap/>
                            <w:vAlign w:val="center"/>
                            <w:hideMark/>
                          </w:tcPr>
                          <w:p w14:paraId="5B4B1DEB"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7.52</w:t>
                            </w:r>
                          </w:p>
                        </w:tc>
                        <w:tc>
                          <w:tcPr>
                            <w:tcW w:w="840" w:type="dxa"/>
                            <w:tcBorders>
                              <w:top w:val="nil"/>
                              <w:left w:val="nil"/>
                              <w:bottom w:val="nil"/>
                              <w:right w:val="single" w:sz="4" w:space="0" w:color="auto"/>
                            </w:tcBorders>
                            <w:shd w:val="clear" w:color="auto" w:fill="auto"/>
                            <w:noWrap/>
                            <w:vAlign w:val="center"/>
                            <w:hideMark/>
                          </w:tcPr>
                          <w:p w14:paraId="6BC799FC"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61.36</w:t>
                            </w:r>
                          </w:p>
                        </w:tc>
                        <w:tc>
                          <w:tcPr>
                            <w:tcW w:w="1080" w:type="dxa"/>
                            <w:tcBorders>
                              <w:top w:val="nil"/>
                              <w:left w:val="nil"/>
                              <w:bottom w:val="nil"/>
                              <w:right w:val="single" w:sz="4" w:space="0" w:color="auto"/>
                            </w:tcBorders>
                            <w:shd w:val="clear" w:color="auto" w:fill="auto"/>
                            <w:noWrap/>
                            <w:vAlign w:val="center"/>
                            <w:hideMark/>
                          </w:tcPr>
                          <w:p w14:paraId="636B3BAD"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8131.29</w:t>
                            </w:r>
                          </w:p>
                        </w:tc>
                        <w:tc>
                          <w:tcPr>
                            <w:tcW w:w="980" w:type="dxa"/>
                            <w:tcBorders>
                              <w:top w:val="nil"/>
                              <w:left w:val="nil"/>
                              <w:bottom w:val="nil"/>
                              <w:right w:val="single" w:sz="4" w:space="0" w:color="auto"/>
                            </w:tcBorders>
                            <w:shd w:val="clear" w:color="auto" w:fill="auto"/>
                            <w:noWrap/>
                            <w:vAlign w:val="center"/>
                            <w:hideMark/>
                          </w:tcPr>
                          <w:p w14:paraId="23DD41AD"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35.13</w:t>
                            </w:r>
                          </w:p>
                        </w:tc>
                        <w:tc>
                          <w:tcPr>
                            <w:tcW w:w="920" w:type="dxa"/>
                            <w:tcBorders>
                              <w:top w:val="nil"/>
                              <w:left w:val="nil"/>
                              <w:bottom w:val="nil"/>
                              <w:right w:val="single" w:sz="4" w:space="0" w:color="auto"/>
                            </w:tcBorders>
                            <w:shd w:val="clear" w:color="auto" w:fill="auto"/>
                            <w:noWrap/>
                            <w:vAlign w:val="center"/>
                            <w:hideMark/>
                          </w:tcPr>
                          <w:p w14:paraId="7A2D5DEA"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2025.39</w:t>
                            </w:r>
                          </w:p>
                        </w:tc>
                      </w:tr>
                      <w:tr w:rsidR="007E349F" w:rsidRPr="00734A48" w14:paraId="65647472" w14:textId="77777777" w:rsidTr="00FC3546">
                        <w:trPr>
                          <w:trHeight w:val="300"/>
                        </w:trPr>
                        <w:tc>
                          <w:tcPr>
                            <w:tcW w:w="960" w:type="dxa"/>
                            <w:tcBorders>
                              <w:top w:val="nil"/>
                              <w:left w:val="single" w:sz="4" w:space="0" w:color="auto"/>
                              <w:bottom w:val="nil"/>
                              <w:right w:val="single" w:sz="4" w:space="0" w:color="auto"/>
                            </w:tcBorders>
                            <w:shd w:val="clear" w:color="auto" w:fill="auto"/>
                            <w:noWrap/>
                            <w:vAlign w:val="center"/>
                            <w:hideMark/>
                          </w:tcPr>
                          <w:p w14:paraId="6B32E88E" w14:textId="77777777" w:rsidR="007E349F" w:rsidRPr="00734A48" w:rsidRDefault="007E349F" w:rsidP="00FC3546">
                            <w:pPr>
                              <w:spacing w:after="0" w:line="240" w:lineRule="auto"/>
                              <w:jc w:val="center"/>
                              <w:rPr>
                                <w:rFonts w:asciiTheme="majorHAnsi" w:eastAsia="Times New Roman" w:hAnsiTheme="majorHAnsi" w:cs="Times New Roman"/>
                                <w:b/>
                                <w:bCs/>
                                <w:color w:val="000000"/>
                              </w:rPr>
                            </w:pPr>
                            <w:r w:rsidRPr="00734A48">
                              <w:rPr>
                                <w:rFonts w:asciiTheme="majorHAnsi" w:eastAsia="Times New Roman" w:hAnsiTheme="majorHAnsi" w:cs="Times New Roman"/>
                                <w:b/>
                                <w:bCs/>
                                <w:color w:val="000000"/>
                              </w:rPr>
                              <w:t>PS01-I</w:t>
                            </w:r>
                          </w:p>
                        </w:tc>
                        <w:tc>
                          <w:tcPr>
                            <w:tcW w:w="920" w:type="dxa"/>
                            <w:tcBorders>
                              <w:top w:val="nil"/>
                              <w:left w:val="nil"/>
                              <w:bottom w:val="nil"/>
                              <w:right w:val="single" w:sz="4" w:space="0" w:color="auto"/>
                            </w:tcBorders>
                            <w:shd w:val="clear" w:color="auto" w:fill="auto"/>
                            <w:noWrap/>
                            <w:vAlign w:val="center"/>
                            <w:hideMark/>
                          </w:tcPr>
                          <w:p w14:paraId="1B106E4C"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860" w:type="dxa"/>
                            <w:tcBorders>
                              <w:top w:val="nil"/>
                              <w:left w:val="nil"/>
                              <w:bottom w:val="nil"/>
                              <w:right w:val="single" w:sz="4" w:space="0" w:color="auto"/>
                            </w:tcBorders>
                            <w:shd w:val="clear" w:color="auto" w:fill="auto"/>
                            <w:noWrap/>
                            <w:vAlign w:val="center"/>
                            <w:hideMark/>
                          </w:tcPr>
                          <w:p w14:paraId="606423DD"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900" w:type="dxa"/>
                            <w:tcBorders>
                              <w:top w:val="nil"/>
                              <w:left w:val="nil"/>
                              <w:bottom w:val="nil"/>
                              <w:right w:val="single" w:sz="4" w:space="0" w:color="auto"/>
                            </w:tcBorders>
                            <w:shd w:val="clear" w:color="auto" w:fill="auto"/>
                            <w:noWrap/>
                            <w:vAlign w:val="center"/>
                            <w:hideMark/>
                          </w:tcPr>
                          <w:p w14:paraId="7CC0AF58"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TR</w:t>
                            </w:r>
                          </w:p>
                        </w:tc>
                        <w:tc>
                          <w:tcPr>
                            <w:tcW w:w="960" w:type="dxa"/>
                            <w:tcBorders>
                              <w:top w:val="nil"/>
                              <w:left w:val="nil"/>
                              <w:bottom w:val="nil"/>
                              <w:right w:val="single" w:sz="4" w:space="0" w:color="auto"/>
                            </w:tcBorders>
                            <w:shd w:val="clear" w:color="auto" w:fill="auto"/>
                            <w:noWrap/>
                            <w:vAlign w:val="center"/>
                            <w:hideMark/>
                          </w:tcPr>
                          <w:p w14:paraId="0713CFEA"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880" w:type="dxa"/>
                            <w:tcBorders>
                              <w:top w:val="nil"/>
                              <w:left w:val="nil"/>
                              <w:bottom w:val="nil"/>
                              <w:right w:val="single" w:sz="4" w:space="0" w:color="auto"/>
                            </w:tcBorders>
                            <w:shd w:val="clear" w:color="auto" w:fill="auto"/>
                            <w:noWrap/>
                            <w:vAlign w:val="center"/>
                            <w:hideMark/>
                          </w:tcPr>
                          <w:p w14:paraId="1E1BEAC0"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840" w:type="dxa"/>
                            <w:tcBorders>
                              <w:top w:val="nil"/>
                              <w:left w:val="nil"/>
                              <w:bottom w:val="nil"/>
                              <w:right w:val="single" w:sz="4" w:space="0" w:color="auto"/>
                            </w:tcBorders>
                            <w:shd w:val="clear" w:color="auto" w:fill="auto"/>
                            <w:noWrap/>
                            <w:vAlign w:val="center"/>
                            <w:hideMark/>
                          </w:tcPr>
                          <w:p w14:paraId="300977B5"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1080" w:type="dxa"/>
                            <w:tcBorders>
                              <w:top w:val="nil"/>
                              <w:left w:val="nil"/>
                              <w:bottom w:val="nil"/>
                              <w:right w:val="single" w:sz="4" w:space="0" w:color="auto"/>
                            </w:tcBorders>
                            <w:shd w:val="clear" w:color="auto" w:fill="auto"/>
                            <w:noWrap/>
                            <w:vAlign w:val="center"/>
                            <w:hideMark/>
                          </w:tcPr>
                          <w:p w14:paraId="764217D1"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TR</w:t>
                            </w:r>
                          </w:p>
                        </w:tc>
                        <w:tc>
                          <w:tcPr>
                            <w:tcW w:w="980" w:type="dxa"/>
                            <w:tcBorders>
                              <w:top w:val="nil"/>
                              <w:left w:val="nil"/>
                              <w:bottom w:val="nil"/>
                              <w:right w:val="single" w:sz="4" w:space="0" w:color="auto"/>
                            </w:tcBorders>
                            <w:shd w:val="clear" w:color="auto" w:fill="auto"/>
                            <w:noWrap/>
                            <w:vAlign w:val="center"/>
                            <w:hideMark/>
                          </w:tcPr>
                          <w:p w14:paraId="6098AE8D"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TR</w:t>
                            </w:r>
                          </w:p>
                        </w:tc>
                        <w:tc>
                          <w:tcPr>
                            <w:tcW w:w="920" w:type="dxa"/>
                            <w:tcBorders>
                              <w:top w:val="nil"/>
                              <w:left w:val="nil"/>
                              <w:bottom w:val="nil"/>
                              <w:right w:val="single" w:sz="4" w:space="0" w:color="auto"/>
                            </w:tcBorders>
                            <w:shd w:val="clear" w:color="auto" w:fill="auto"/>
                            <w:noWrap/>
                            <w:vAlign w:val="center"/>
                            <w:hideMark/>
                          </w:tcPr>
                          <w:p w14:paraId="5C6D3A5A"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TR</w:t>
                            </w:r>
                          </w:p>
                        </w:tc>
                      </w:tr>
                      <w:tr w:rsidR="007E349F" w:rsidRPr="00734A48" w14:paraId="23A67F53" w14:textId="77777777" w:rsidTr="00FC3546">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9D42CE1" w14:textId="77777777" w:rsidR="007E349F" w:rsidRPr="00734A48" w:rsidRDefault="007E349F" w:rsidP="00FC3546">
                            <w:pPr>
                              <w:spacing w:after="0" w:line="240" w:lineRule="auto"/>
                              <w:jc w:val="center"/>
                              <w:rPr>
                                <w:rFonts w:asciiTheme="majorHAnsi" w:eastAsia="Times New Roman" w:hAnsiTheme="majorHAnsi" w:cs="Times New Roman"/>
                                <w:b/>
                                <w:bCs/>
                                <w:color w:val="000000"/>
                              </w:rPr>
                            </w:pPr>
                            <w:r w:rsidRPr="00734A48">
                              <w:rPr>
                                <w:rFonts w:asciiTheme="majorHAnsi" w:eastAsia="Times New Roman" w:hAnsiTheme="majorHAnsi" w:cs="Times New Roman"/>
                                <w:b/>
                                <w:bCs/>
                                <w:color w:val="000000"/>
                              </w:rPr>
                              <w:t>RP01-I</w:t>
                            </w:r>
                          </w:p>
                        </w:tc>
                        <w:tc>
                          <w:tcPr>
                            <w:tcW w:w="920" w:type="dxa"/>
                            <w:tcBorders>
                              <w:top w:val="nil"/>
                              <w:left w:val="nil"/>
                              <w:bottom w:val="single" w:sz="4" w:space="0" w:color="auto"/>
                              <w:right w:val="single" w:sz="4" w:space="0" w:color="auto"/>
                            </w:tcBorders>
                            <w:shd w:val="clear" w:color="auto" w:fill="auto"/>
                            <w:noWrap/>
                            <w:vAlign w:val="center"/>
                            <w:hideMark/>
                          </w:tcPr>
                          <w:p w14:paraId="3BCA8A0E"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860" w:type="dxa"/>
                            <w:tcBorders>
                              <w:top w:val="nil"/>
                              <w:left w:val="nil"/>
                              <w:bottom w:val="single" w:sz="4" w:space="0" w:color="auto"/>
                              <w:right w:val="single" w:sz="4" w:space="0" w:color="auto"/>
                            </w:tcBorders>
                            <w:shd w:val="clear" w:color="auto" w:fill="auto"/>
                            <w:noWrap/>
                            <w:vAlign w:val="center"/>
                            <w:hideMark/>
                          </w:tcPr>
                          <w:p w14:paraId="641F1E84"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900" w:type="dxa"/>
                            <w:tcBorders>
                              <w:top w:val="nil"/>
                              <w:left w:val="nil"/>
                              <w:bottom w:val="single" w:sz="4" w:space="0" w:color="auto"/>
                              <w:right w:val="single" w:sz="4" w:space="0" w:color="auto"/>
                            </w:tcBorders>
                            <w:shd w:val="clear" w:color="auto" w:fill="auto"/>
                            <w:noWrap/>
                            <w:vAlign w:val="center"/>
                            <w:hideMark/>
                          </w:tcPr>
                          <w:p w14:paraId="18E28938"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960" w:type="dxa"/>
                            <w:tcBorders>
                              <w:top w:val="nil"/>
                              <w:left w:val="nil"/>
                              <w:bottom w:val="single" w:sz="4" w:space="0" w:color="auto"/>
                              <w:right w:val="single" w:sz="4" w:space="0" w:color="auto"/>
                            </w:tcBorders>
                            <w:shd w:val="clear" w:color="auto" w:fill="auto"/>
                            <w:noWrap/>
                            <w:vAlign w:val="center"/>
                            <w:hideMark/>
                          </w:tcPr>
                          <w:p w14:paraId="45B6E5F6"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880" w:type="dxa"/>
                            <w:tcBorders>
                              <w:top w:val="nil"/>
                              <w:left w:val="nil"/>
                              <w:bottom w:val="single" w:sz="4" w:space="0" w:color="auto"/>
                              <w:right w:val="single" w:sz="4" w:space="0" w:color="auto"/>
                            </w:tcBorders>
                            <w:shd w:val="clear" w:color="auto" w:fill="auto"/>
                            <w:noWrap/>
                            <w:vAlign w:val="center"/>
                            <w:hideMark/>
                          </w:tcPr>
                          <w:p w14:paraId="14A0E630"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840" w:type="dxa"/>
                            <w:tcBorders>
                              <w:top w:val="nil"/>
                              <w:left w:val="nil"/>
                              <w:bottom w:val="single" w:sz="4" w:space="0" w:color="auto"/>
                              <w:right w:val="single" w:sz="4" w:space="0" w:color="auto"/>
                            </w:tcBorders>
                            <w:shd w:val="clear" w:color="auto" w:fill="auto"/>
                            <w:noWrap/>
                            <w:vAlign w:val="center"/>
                            <w:hideMark/>
                          </w:tcPr>
                          <w:p w14:paraId="7BAB6E6A"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1080" w:type="dxa"/>
                            <w:tcBorders>
                              <w:top w:val="nil"/>
                              <w:left w:val="nil"/>
                              <w:bottom w:val="single" w:sz="4" w:space="0" w:color="auto"/>
                              <w:right w:val="single" w:sz="4" w:space="0" w:color="auto"/>
                            </w:tcBorders>
                            <w:shd w:val="clear" w:color="auto" w:fill="auto"/>
                            <w:noWrap/>
                            <w:vAlign w:val="center"/>
                            <w:hideMark/>
                          </w:tcPr>
                          <w:p w14:paraId="7AB7D470"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c>
                          <w:tcPr>
                            <w:tcW w:w="980" w:type="dxa"/>
                            <w:tcBorders>
                              <w:top w:val="nil"/>
                              <w:left w:val="nil"/>
                              <w:bottom w:val="single" w:sz="4" w:space="0" w:color="auto"/>
                              <w:right w:val="single" w:sz="4" w:space="0" w:color="auto"/>
                            </w:tcBorders>
                            <w:shd w:val="clear" w:color="auto" w:fill="auto"/>
                            <w:noWrap/>
                            <w:vAlign w:val="center"/>
                            <w:hideMark/>
                          </w:tcPr>
                          <w:p w14:paraId="795DB74F"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TR</w:t>
                            </w:r>
                          </w:p>
                        </w:tc>
                        <w:tc>
                          <w:tcPr>
                            <w:tcW w:w="920" w:type="dxa"/>
                            <w:tcBorders>
                              <w:top w:val="nil"/>
                              <w:left w:val="nil"/>
                              <w:bottom w:val="single" w:sz="4" w:space="0" w:color="auto"/>
                              <w:right w:val="single" w:sz="4" w:space="0" w:color="auto"/>
                            </w:tcBorders>
                            <w:shd w:val="clear" w:color="auto" w:fill="auto"/>
                            <w:noWrap/>
                            <w:vAlign w:val="center"/>
                            <w:hideMark/>
                          </w:tcPr>
                          <w:p w14:paraId="1B4E3DD3" w14:textId="77777777" w:rsidR="007E349F" w:rsidRPr="00734A48" w:rsidRDefault="007E349F" w:rsidP="00FC3546">
                            <w:pPr>
                              <w:spacing w:after="0" w:line="240" w:lineRule="auto"/>
                              <w:jc w:val="center"/>
                              <w:rPr>
                                <w:rFonts w:asciiTheme="majorHAnsi" w:eastAsia="Times New Roman" w:hAnsiTheme="majorHAnsi" w:cs="Times New Roman"/>
                                <w:color w:val="000000"/>
                              </w:rPr>
                            </w:pPr>
                            <w:r w:rsidRPr="00734A48">
                              <w:rPr>
                                <w:rFonts w:asciiTheme="majorHAnsi" w:eastAsia="Times New Roman" w:hAnsiTheme="majorHAnsi" w:cs="Times New Roman"/>
                                <w:color w:val="000000"/>
                              </w:rPr>
                              <w:t>ND</w:t>
                            </w:r>
                          </w:p>
                        </w:tc>
                      </w:tr>
                    </w:tbl>
                    <w:p w14:paraId="13064D6A" w14:textId="77777777" w:rsidR="007E349F" w:rsidRDefault="007E349F"/>
                  </w:txbxContent>
                </v:textbox>
                <w10:wrap type="square"/>
              </v:shape>
            </w:pict>
          </mc:Fallback>
        </mc:AlternateContent>
      </w:r>
      <w:r w:rsidRPr="003C4836">
        <w:rPr>
          <w:rFonts w:ascii="Times New Roman" w:hAnsi="Times New Roman" w:cs="Times New Roman"/>
          <w:b/>
          <w:sz w:val="24"/>
          <w:szCs w:val="24"/>
        </w:rPr>
        <w:t xml:space="preserve">Table </w:t>
      </w:r>
      <w:r w:rsidR="00653B3F">
        <w:rPr>
          <w:rFonts w:ascii="Times New Roman" w:hAnsi="Times New Roman" w:cs="Times New Roman"/>
          <w:b/>
          <w:sz w:val="24"/>
          <w:szCs w:val="24"/>
        </w:rPr>
        <w:t>I</w:t>
      </w:r>
      <w:r w:rsidRPr="003C4836">
        <w:rPr>
          <w:rFonts w:ascii="Times New Roman" w:hAnsi="Times New Roman" w:cs="Times New Roman"/>
          <w:b/>
          <w:sz w:val="24"/>
          <w:szCs w:val="24"/>
        </w:rPr>
        <w:t>II.</w:t>
      </w:r>
      <w:r w:rsidRPr="003C4836">
        <w:rPr>
          <w:rFonts w:ascii="Times New Roman" w:hAnsi="Times New Roman" w:cs="Times New Roman"/>
          <w:sz w:val="24"/>
          <w:szCs w:val="24"/>
        </w:rPr>
        <w:t xml:space="preserve">  Enrichment factors (EF) of a subset of metals in the surface sediments (S) as well as the biota (Z-zooplankton, I- invertebrate) at each station.  EFs were calculated using the average values in shale (Turekian and Wedepohl 1961; Brumsack et al. 2006.) ND means that no EF could be calculated due to the measured concentration being under the detection limit; TR means that no EF could be calculated due to the measured concentration being between the detection limit and the quantitative limit.</w:t>
      </w:r>
    </w:p>
    <w:p w14:paraId="12DB6020" w14:textId="77777777" w:rsidR="0077006E" w:rsidRDefault="0077006E">
      <w:pPr>
        <w:rPr>
          <w:rFonts w:ascii="Times New Roman" w:hAnsi="Times New Roman" w:cs="Times New Roman"/>
          <w:sz w:val="24"/>
          <w:szCs w:val="24"/>
        </w:rPr>
      </w:pPr>
    </w:p>
    <w:p w14:paraId="1AAF659A" w14:textId="34B10990" w:rsidR="0077006E" w:rsidRDefault="0077006E">
      <w:pPr>
        <w:rPr>
          <w:rFonts w:ascii="Times New Roman" w:hAnsi="Times New Roman" w:cs="Times New Roman"/>
          <w:sz w:val="24"/>
          <w:szCs w:val="24"/>
        </w:rPr>
      </w:pPr>
      <w:r>
        <w:rPr>
          <w:rFonts w:ascii="Times New Roman" w:hAnsi="Times New Roman" w:cs="Times New Roman"/>
          <w:b/>
          <w:noProof/>
          <w:sz w:val="24"/>
          <w:szCs w:val="24"/>
        </w:rPr>
        <w:lastRenderedPageBreak/>
        <mc:AlternateContent>
          <mc:Choice Requires="wps">
            <w:drawing>
              <wp:anchor distT="0" distB="0" distL="114300" distR="114300" simplePos="0" relativeHeight="251683840" behindDoc="0" locked="0" layoutInCell="1" allowOverlap="1" wp14:anchorId="67FD6D45" wp14:editId="0055D7D9">
                <wp:simplePos x="0" y="0"/>
                <wp:positionH relativeFrom="column">
                  <wp:posOffset>-228600</wp:posOffset>
                </wp:positionH>
                <wp:positionV relativeFrom="paragraph">
                  <wp:posOffset>166370</wp:posOffset>
                </wp:positionV>
                <wp:extent cx="6400800" cy="2971800"/>
                <wp:effectExtent l="0" t="0" r="0" b="0"/>
                <wp:wrapSquare wrapText="bothSides"/>
                <wp:docPr id="22" name="Text Box 22"/>
                <wp:cNvGraphicFramePr/>
                <a:graphic xmlns:a="http://schemas.openxmlformats.org/drawingml/2006/main">
                  <a:graphicData uri="http://schemas.microsoft.com/office/word/2010/wordprocessingShape">
                    <wps:wsp>
                      <wps:cNvSpPr txBox="1"/>
                      <wps:spPr>
                        <a:xfrm>
                          <a:off x="0" y="0"/>
                          <a:ext cx="6400800" cy="29718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73A5A848" w14:textId="77777777" w:rsidR="007E349F" w:rsidRDefault="007E349F" w:rsidP="0077006E">
                            <w:pPr>
                              <w:widowControl w:val="0"/>
                              <w:autoSpaceDE w:val="0"/>
                              <w:autoSpaceDN w:val="0"/>
                              <w:adjustRightInd w:val="0"/>
                              <w:spacing w:after="0" w:line="280" w:lineRule="atLeast"/>
                              <w:rPr>
                                <w:rFonts w:ascii="Times" w:eastAsiaTheme="minorEastAsia" w:hAnsi="Times" w:cs="Times"/>
                                <w:sz w:val="24"/>
                                <w:szCs w:val="24"/>
                              </w:rPr>
                            </w:pPr>
                            <w:r>
                              <w:rPr>
                                <w:rFonts w:ascii="Times" w:eastAsiaTheme="minorEastAsia" w:hAnsi="Times" w:cs="Times"/>
                                <w:noProof/>
                                <w:sz w:val="24"/>
                                <w:szCs w:val="24"/>
                              </w:rPr>
                              <w:drawing>
                                <wp:inline distT="0" distB="0" distL="0" distR="0" wp14:anchorId="6DB9DAD2" wp14:editId="0E0C9A3C">
                                  <wp:extent cx="6227778" cy="2700867"/>
                                  <wp:effectExtent l="0" t="0" r="0" b="0"/>
                                  <wp:docPr id="16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29232" cy="2701497"/>
                                          </a:xfrm>
                                          <a:prstGeom prst="rect">
                                            <a:avLst/>
                                          </a:prstGeom>
                                          <a:noFill/>
                                          <a:ln>
                                            <a:noFill/>
                                          </a:ln>
                                        </pic:spPr>
                                      </pic:pic>
                                    </a:graphicData>
                                  </a:graphic>
                                </wp:inline>
                              </w:drawing>
                            </w:r>
                            <w:r>
                              <w:rPr>
                                <w:rFonts w:ascii="Times" w:eastAsiaTheme="minorEastAsia" w:hAnsi="Times" w:cs="Times"/>
                                <w:sz w:val="24"/>
                                <w:szCs w:val="24"/>
                              </w:rPr>
                              <w:t xml:space="preserve"> </w:t>
                            </w:r>
                          </w:p>
                          <w:p w14:paraId="3535D85B" w14:textId="77777777" w:rsidR="007E349F" w:rsidRDefault="007E349F" w:rsidP="0077006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FD6D45" id="Text Box 22" o:spid="_x0000_s1029" type="#_x0000_t202" style="position:absolute;margin-left:-18pt;margin-top:13.1pt;width:7in;height:234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" filled="f" stroked="f">
                <v:textbox>
                  <w:txbxContent>
                    <w:p w14:paraId="73A5A848" w14:textId="77777777" w:rsidR="007E349F" w:rsidRDefault="007E349F" w:rsidP="0077006E">
                      <w:pPr>
                        <w:widowControl w:val="0"/>
                        <w:autoSpaceDE w:val="0"/>
                        <w:autoSpaceDN w:val="0"/>
                        <w:adjustRightInd w:val="0"/>
                        <w:spacing w:after="0" w:line="280" w:lineRule="atLeast"/>
                        <w:rPr>
                          <w:rFonts w:ascii="Times" w:eastAsiaTheme="minorEastAsia" w:hAnsi="Times" w:cs="Times"/>
                          <w:sz w:val="24"/>
                          <w:szCs w:val="24"/>
                        </w:rPr>
                      </w:pPr>
                      <w:r>
                        <w:rPr>
                          <w:rFonts w:ascii="Times" w:eastAsiaTheme="minorEastAsia" w:hAnsi="Times" w:cs="Times"/>
                          <w:noProof/>
                          <w:sz w:val="24"/>
                          <w:szCs w:val="24"/>
                        </w:rPr>
                        <w:drawing>
                          <wp:inline distT="0" distB="0" distL="0" distR="0" wp14:anchorId="6DB9DAD2" wp14:editId="0E0C9A3C">
                            <wp:extent cx="6227778" cy="2700867"/>
                            <wp:effectExtent l="0" t="0" r="0" b="0"/>
                            <wp:docPr id="16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29232" cy="2701497"/>
                                    </a:xfrm>
                                    <a:prstGeom prst="rect">
                                      <a:avLst/>
                                    </a:prstGeom>
                                    <a:noFill/>
                                    <a:ln>
                                      <a:noFill/>
                                    </a:ln>
                                  </pic:spPr>
                                </pic:pic>
                              </a:graphicData>
                            </a:graphic>
                          </wp:inline>
                        </w:drawing>
                      </w:r>
                      <w:r>
                        <w:rPr>
                          <w:rFonts w:ascii="Times" w:eastAsiaTheme="minorEastAsia" w:hAnsi="Times" w:cs="Times"/>
                          <w:sz w:val="24"/>
                          <w:szCs w:val="24"/>
                        </w:rPr>
                        <w:t xml:space="preserve"> </w:t>
                      </w:r>
                    </w:p>
                    <w:p w14:paraId="3535D85B" w14:textId="77777777" w:rsidR="007E349F" w:rsidRDefault="007E349F" w:rsidP="0077006E"/>
                  </w:txbxContent>
                </v:textbox>
                <w10:wrap type="square"/>
              </v:shape>
            </w:pict>
          </mc:Fallback>
        </mc:AlternateContent>
      </w:r>
    </w:p>
    <w:p w14:paraId="327B0664" w14:textId="77777777" w:rsidR="009C78D4" w:rsidRPr="00AD2382" w:rsidRDefault="009C78D4" w:rsidP="009C78D4">
      <w:pPr>
        <w:rPr>
          <w:rFonts w:ascii="Times New Roman" w:hAnsi="Times New Roman" w:cs="Times New Roman"/>
          <w:b/>
          <w:sz w:val="24"/>
          <w:szCs w:val="24"/>
        </w:rPr>
      </w:pPr>
      <w:r>
        <w:rPr>
          <w:rFonts w:ascii="Times New Roman" w:hAnsi="Times New Roman" w:cs="Times New Roman"/>
          <w:b/>
          <w:sz w:val="24"/>
          <w:szCs w:val="24"/>
        </w:rPr>
        <w:t>Figure 1</w:t>
      </w:r>
      <w:r w:rsidRPr="007A65EE">
        <w:rPr>
          <w:rFonts w:ascii="Times New Roman" w:hAnsi="Times New Roman" w:cs="Times New Roman"/>
          <w:b/>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 xml:space="preserve">Figure taken from Purdy et al. (2016): </w:t>
      </w:r>
      <w:r w:rsidRPr="008B38D7">
        <w:rPr>
          <w:rFonts w:ascii="Times New Roman" w:hAnsi="Times New Roman" w:cs="Times New Roman"/>
          <w:sz w:val="24"/>
          <w:szCs w:val="24"/>
        </w:rPr>
        <w:t>“</w:t>
      </w:r>
      <w:r w:rsidRPr="008B38D7">
        <w:rPr>
          <w:rFonts w:ascii="Times New Roman" w:eastAsiaTheme="minorEastAsia" w:hAnsi="Times New Roman" w:cs="Times New Roman"/>
          <w:sz w:val="24"/>
          <w:szCs w:val="24"/>
        </w:rPr>
        <w:t>The average enrichment factors of each metal in Tahsis and Zeballos Inlets, using the average values in shale (Turekian and Wedepohl, 1961). The y-axis is on a log scale. The data includes 2014 and 2015 combined dataset of enrichment factors. The red colored bars indicate the northernmost stations in Tahsis Inlet (T-1-T4) in the, while the green bars show the northernmost stations in Zeballos Inlet (Z-3). The clear bars show the average concentration throughout Tahsis Inlet, while the grey bars show average concentration throughout Zeballos Inlet</w:t>
      </w:r>
      <w:r>
        <w:rPr>
          <w:rFonts w:ascii="Times New Roman" w:eastAsiaTheme="minorEastAsia" w:hAnsi="Times New Roman" w:cs="Times New Roman"/>
          <w:sz w:val="24"/>
          <w:szCs w:val="24"/>
        </w:rPr>
        <w:t>.”  The northernmost stations within both Tahsis and Zeballos Inlets are closest to historic mining activity.</w:t>
      </w:r>
    </w:p>
    <w:p w14:paraId="55D97A25" w14:textId="77777777" w:rsidR="0077006E" w:rsidRDefault="0077006E">
      <w:pPr>
        <w:rPr>
          <w:rFonts w:ascii="Times New Roman" w:hAnsi="Times New Roman" w:cs="Times New Roman"/>
          <w:sz w:val="24"/>
          <w:szCs w:val="24"/>
        </w:rPr>
      </w:pPr>
    </w:p>
    <w:p w14:paraId="132FB5EF" w14:textId="77777777" w:rsidR="0077006E" w:rsidRDefault="0077006E">
      <w:pPr>
        <w:rPr>
          <w:rFonts w:ascii="Times New Roman" w:hAnsi="Times New Roman" w:cs="Times New Roman"/>
          <w:sz w:val="24"/>
          <w:szCs w:val="24"/>
        </w:rPr>
      </w:pPr>
    </w:p>
    <w:p w14:paraId="28635928" w14:textId="77777777" w:rsidR="0077006E" w:rsidRDefault="0077006E">
      <w:pPr>
        <w:rPr>
          <w:rFonts w:ascii="Times New Roman" w:hAnsi="Times New Roman" w:cs="Times New Roman"/>
          <w:sz w:val="24"/>
          <w:szCs w:val="24"/>
        </w:rPr>
      </w:pPr>
    </w:p>
    <w:p w14:paraId="06602A61" w14:textId="77777777" w:rsidR="0077006E" w:rsidRDefault="0077006E">
      <w:pPr>
        <w:rPr>
          <w:rFonts w:ascii="Times New Roman" w:hAnsi="Times New Roman" w:cs="Times New Roman"/>
          <w:sz w:val="24"/>
          <w:szCs w:val="24"/>
        </w:rPr>
      </w:pPr>
    </w:p>
    <w:p w14:paraId="32466C5C" w14:textId="77777777" w:rsidR="0077006E" w:rsidRDefault="0077006E">
      <w:pPr>
        <w:rPr>
          <w:rFonts w:ascii="Times New Roman" w:hAnsi="Times New Roman" w:cs="Times New Roman"/>
          <w:sz w:val="24"/>
          <w:szCs w:val="24"/>
        </w:rPr>
      </w:pPr>
    </w:p>
    <w:p w14:paraId="52B7C3D6" w14:textId="77777777" w:rsidR="0077006E" w:rsidRDefault="0077006E">
      <w:pPr>
        <w:rPr>
          <w:rFonts w:ascii="Times New Roman" w:hAnsi="Times New Roman" w:cs="Times New Roman"/>
          <w:sz w:val="24"/>
          <w:szCs w:val="24"/>
        </w:rPr>
      </w:pPr>
    </w:p>
    <w:p w14:paraId="6EE0CE58" w14:textId="77777777" w:rsidR="0077006E" w:rsidRDefault="0077006E">
      <w:pPr>
        <w:rPr>
          <w:rFonts w:ascii="Times New Roman" w:hAnsi="Times New Roman" w:cs="Times New Roman"/>
          <w:sz w:val="24"/>
          <w:szCs w:val="24"/>
        </w:rPr>
      </w:pPr>
    </w:p>
    <w:p w14:paraId="4158EB7F" w14:textId="77777777" w:rsidR="0077006E" w:rsidRDefault="0077006E">
      <w:pPr>
        <w:rPr>
          <w:rFonts w:ascii="Times New Roman" w:hAnsi="Times New Roman" w:cs="Times New Roman"/>
          <w:sz w:val="24"/>
          <w:szCs w:val="24"/>
        </w:rPr>
      </w:pPr>
    </w:p>
    <w:p w14:paraId="0B4F45C6" w14:textId="77777777" w:rsidR="0077006E" w:rsidRDefault="0077006E">
      <w:pPr>
        <w:rPr>
          <w:rFonts w:ascii="Times New Roman" w:hAnsi="Times New Roman" w:cs="Times New Roman"/>
          <w:sz w:val="24"/>
          <w:szCs w:val="24"/>
        </w:rPr>
      </w:pPr>
    </w:p>
    <w:p w14:paraId="7B348036" w14:textId="77777777" w:rsidR="0077006E" w:rsidRDefault="0077006E">
      <w:pPr>
        <w:rPr>
          <w:rFonts w:ascii="Times New Roman" w:hAnsi="Times New Roman" w:cs="Times New Roman"/>
          <w:sz w:val="24"/>
          <w:szCs w:val="24"/>
        </w:rPr>
      </w:pPr>
    </w:p>
    <w:p w14:paraId="129EDD8A" w14:textId="77777777" w:rsidR="0077006E" w:rsidRDefault="0077006E">
      <w:pPr>
        <w:rPr>
          <w:rFonts w:ascii="Times New Roman" w:hAnsi="Times New Roman" w:cs="Times New Roman"/>
          <w:sz w:val="24"/>
          <w:szCs w:val="24"/>
        </w:rPr>
      </w:pPr>
    </w:p>
    <w:p w14:paraId="0851838D" w14:textId="203F0BDE" w:rsidR="003D428D" w:rsidRDefault="003D428D">
      <w:pPr>
        <w:rPr>
          <w:rFonts w:ascii="Times New Roman" w:hAnsi="Times New Roman" w:cs="Times New Roman"/>
          <w:sz w:val="24"/>
          <w:szCs w:val="24"/>
        </w:rPr>
      </w:pPr>
      <w:r>
        <w:rPr>
          <w:noProof/>
        </w:rPr>
        <w:lastRenderedPageBreak/>
        <mc:AlternateContent>
          <mc:Choice Requires="wpg">
            <w:drawing>
              <wp:anchor distT="0" distB="0" distL="114300" distR="114300" simplePos="0" relativeHeight="251676672" behindDoc="0" locked="0" layoutInCell="1" allowOverlap="1" wp14:anchorId="37565290" wp14:editId="648514E8">
                <wp:simplePos x="0" y="0"/>
                <wp:positionH relativeFrom="column">
                  <wp:posOffset>0</wp:posOffset>
                </wp:positionH>
                <wp:positionV relativeFrom="paragraph">
                  <wp:posOffset>280670</wp:posOffset>
                </wp:positionV>
                <wp:extent cx="5829300" cy="4834890"/>
                <wp:effectExtent l="0" t="0" r="0" b="0"/>
                <wp:wrapThrough wrapText="bothSides">
                  <wp:wrapPolygon edited="0">
                    <wp:start x="94" y="0"/>
                    <wp:lineTo x="94" y="21447"/>
                    <wp:lineTo x="21365" y="21447"/>
                    <wp:lineTo x="21365" y="0"/>
                    <wp:lineTo x="94" y="0"/>
                  </wp:wrapPolygon>
                </wp:wrapThrough>
                <wp:docPr id="109" name="Group 109"/>
                <wp:cNvGraphicFramePr/>
                <a:graphic xmlns:a="http://schemas.openxmlformats.org/drawingml/2006/main">
                  <a:graphicData uri="http://schemas.microsoft.com/office/word/2010/wordprocessingGroup">
                    <wpg:wgp>
                      <wpg:cNvGrpSpPr/>
                      <wpg:grpSpPr>
                        <a:xfrm>
                          <a:off x="0" y="0"/>
                          <a:ext cx="5829300" cy="4834890"/>
                          <a:chOff x="0" y="0"/>
                          <a:chExt cx="5829300" cy="4834890"/>
                        </a:xfrm>
                      </wpg:grpSpPr>
                      <wps:wsp>
                        <wps:cNvPr id="110" name="Text Box 110"/>
                        <wps:cNvSpPr txBox="1"/>
                        <wps:spPr>
                          <a:xfrm>
                            <a:off x="0" y="0"/>
                            <a:ext cx="5829300" cy="483489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70DCDD34" w14:textId="77777777" w:rsidR="007E349F" w:rsidRDefault="007E349F" w:rsidP="003D428D">
                              <w:r>
                                <w:rPr>
                                  <w:noProof/>
                                </w:rPr>
                                <w:drawing>
                                  <wp:inline distT="0" distB="0" distL="0" distR="0" wp14:anchorId="641EF6F2" wp14:editId="12F480DA">
                                    <wp:extent cx="5486400" cy="4674613"/>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86400" cy="4674613"/>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11" name="Group 111"/>
                        <wpg:cNvGrpSpPr/>
                        <wpg:grpSpPr>
                          <a:xfrm>
                            <a:off x="1943100" y="228600"/>
                            <a:ext cx="3771900" cy="3657600"/>
                            <a:chOff x="0" y="0"/>
                            <a:chExt cx="3771900" cy="3657600"/>
                          </a:xfrm>
                        </wpg:grpSpPr>
                        <wps:wsp>
                          <wps:cNvPr id="112" name="5-Point Star 112"/>
                          <wps:cNvSpPr/>
                          <wps:spPr>
                            <a:xfrm>
                              <a:off x="571500" y="0"/>
                              <a:ext cx="228600" cy="228600"/>
                            </a:xfrm>
                            <a:prstGeom prst="star5">
                              <a:avLst/>
                            </a:prstGeom>
                            <a:solidFill>
                              <a:srgbClr val="FFFF00"/>
                            </a:solidFill>
                            <a:ln>
                              <a:solidFill>
                                <a:srgbClr val="FFFF00"/>
                              </a:solidFill>
                            </a:ln>
                          </wps:spPr>
                          <wps:style>
                            <a:lnRef idx="1">
                              <a:schemeClr val="accent1"/>
                            </a:lnRef>
                            <a:fillRef idx="3">
                              <a:schemeClr val="accent1"/>
                            </a:fillRef>
                            <a:effectRef idx="2">
                              <a:schemeClr val="accent1"/>
                            </a:effectRef>
                            <a:fontRef idx="minor">
                              <a:schemeClr val="lt1"/>
                            </a:fontRef>
                          </wps:style>
                          <wps:bodyPr/>
                        </wps:wsp>
                        <wps:wsp>
                          <wps:cNvPr id="113" name="5-Point Star 113"/>
                          <wps:cNvSpPr/>
                          <wps:spPr>
                            <a:xfrm>
                              <a:off x="571500" y="342900"/>
                              <a:ext cx="228600" cy="228600"/>
                            </a:xfrm>
                            <a:prstGeom prst="star5">
                              <a:avLst/>
                            </a:prstGeom>
                            <a:solidFill>
                              <a:srgbClr val="FFFF00"/>
                            </a:solidFill>
                            <a:ln>
                              <a:solidFill>
                                <a:srgbClr val="FFFF00"/>
                              </a:solidFill>
                            </a:ln>
                          </wps:spPr>
                          <wps:style>
                            <a:lnRef idx="1">
                              <a:schemeClr val="accent1"/>
                            </a:lnRef>
                            <a:fillRef idx="3">
                              <a:schemeClr val="accent1"/>
                            </a:fillRef>
                            <a:effectRef idx="2">
                              <a:schemeClr val="accent1"/>
                            </a:effectRef>
                            <a:fontRef idx="minor">
                              <a:schemeClr val="lt1"/>
                            </a:fontRef>
                          </wps:style>
                          <wps:bodyPr/>
                        </wps:wsp>
                        <wps:wsp>
                          <wps:cNvPr id="114" name="5-Point Star 114"/>
                          <wps:cNvSpPr/>
                          <wps:spPr>
                            <a:xfrm>
                              <a:off x="3086100" y="2057400"/>
                              <a:ext cx="228600" cy="228600"/>
                            </a:xfrm>
                            <a:prstGeom prst="star5">
                              <a:avLst/>
                            </a:prstGeom>
                            <a:solidFill>
                              <a:srgbClr val="FFFF00"/>
                            </a:solidFill>
                            <a:ln>
                              <a:solidFill>
                                <a:srgbClr val="FFFF00"/>
                              </a:solidFill>
                            </a:ln>
                          </wps:spPr>
                          <wps:style>
                            <a:lnRef idx="1">
                              <a:schemeClr val="accent1"/>
                            </a:lnRef>
                            <a:fillRef idx="3">
                              <a:schemeClr val="accent1"/>
                            </a:fillRef>
                            <a:effectRef idx="2">
                              <a:schemeClr val="accent1"/>
                            </a:effectRef>
                            <a:fontRef idx="minor">
                              <a:schemeClr val="lt1"/>
                            </a:fontRef>
                          </wps:style>
                          <wps:bodyPr/>
                        </wps:wsp>
                        <wps:wsp>
                          <wps:cNvPr id="115" name="5-Point Star 115"/>
                          <wps:cNvSpPr/>
                          <wps:spPr>
                            <a:xfrm>
                              <a:off x="2628900" y="3086100"/>
                              <a:ext cx="228600" cy="228600"/>
                            </a:xfrm>
                            <a:prstGeom prst="star5">
                              <a:avLst/>
                            </a:prstGeom>
                            <a:solidFill>
                              <a:srgbClr val="FFFF00"/>
                            </a:solidFill>
                            <a:ln>
                              <a:solidFill>
                                <a:srgbClr val="FFFF00"/>
                              </a:solidFill>
                            </a:ln>
                          </wps:spPr>
                          <wps:style>
                            <a:lnRef idx="1">
                              <a:schemeClr val="accent1"/>
                            </a:lnRef>
                            <a:fillRef idx="3">
                              <a:schemeClr val="accent1"/>
                            </a:fillRef>
                            <a:effectRef idx="2">
                              <a:schemeClr val="accent1"/>
                            </a:effectRef>
                            <a:fontRef idx="minor">
                              <a:schemeClr val="lt1"/>
                            </a:fontRef>
                          </wps:style>
                          <wps:bodyPr/>
                        </wps:wsp>
                        <wps:wsp>
                          <wps:cNvPr id="116" name="Text Box 116"/>
                          <wps:cNvSpPr txBox="1"/>
                          <wps:spPr>
                            <a:xfrm>
                              <a:off x="2171700" y="3314700"/>
                              <a:ext cx="685800" cy="3429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48FFE3FE" w14:textId="77777777" w:rsidR="007E349F" w:rsidRPr="0029769E" w:rsidRDefault="007E349F" w:rsidP="003D428D">
                                <w:pPr>
                                  <w:rPr>
                                    <w:color w:val="FFFFFF" w:themeColor="background1"/>
                                  </w:rPr>
                                </w:pPr>
                                <w:r w:rsidRPr="0029769E">
                                  <w:rPr>
                                    <w:color w:val="FFFFFF" w:themeColor="background1"/>
                                  </w:rPr>
                                  <w:t>RP01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7" name="Text Box 117"/>
                          <wps:cNvSpPr txBox="1"/>
                          <wps:spPr>
                            <a:xfrm>
                              <a:off x="3086100" y="2286000"/>
                              <a:ext cx="685800" cy="3429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21FABC29" w14:textId="77777777" w:rsidR="007E349F" w:rsidRPr="0029769E" w:rsidRDefault="007E349F" w:rsidP="003D428D">
                                <w:pPr>
                                  <w:rPr>
                                    <w:color w:val="FFFFFF" w:themeColor="background1"/>
                                  </w:rPr>
                                </w:pPr>
                                <w:r>
                                  <w:rPr>
                                    <w:color w:val="FFFFFF" w:themeColor="background1"/>
                                  </w:rPr>
                                  <w:t>PS01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8" name="Text Box 118"/>
                          <wps:cNvSpPr txBox="1"/>
                          <wps:spPr>
                            <a:xfrm>
                              <a:off x="0" y="342900"/>
                              <a:ext cx="685800" cy="3429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4DEC0851" w14:textId="77777777" w:rsidR="007E349F" w:rsidRPr="0029769E" w:rsidRDefault="007E349F" w:rsidP="003D428D">
                                <w:pPr>
                                  <w:rPr>
                                    <w:color w:val="FFFFFF" w:themeColor="background1"/>
                                  </w:rPr>
                                </w:pPr>
                                <w:r>
                                  <w:rPr>
                                    <w:color w:val="FFFFFF" w:themeColor="background1"/>
                                  </w:rPr>
                                  <w:t>CB01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9" name="Text Box 119"/>
                          <wps:cNvSpPr txBox="1"/>
                          <wps:spPr>
                            <a:xfrm>
                              <a:off x="0" y="0"/>
                              <a:ext cx="685800" cy="3429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13D8D203" w14:textId="77777777" w:rsidR="007E349F" w:rsidRDefault="007E349F" w:rsidP="003D428D">
                                <w:pPr>
                                  <w:rPr>
                                    <w:color w:val="FFFFFF" w:themeColor="background1"/>
                                  </w:rPr>
                                </w:pPr>
                                <w:r>
                                  <w:rPr>
                                    <w:color w:val="FFFFFF" w:themeColor="background1"/>
                                  </w:rPr>
                                  <w:t>SC01</w:t>
                                </w:r>
                              </w:p>
                              <w:p w14:paraId="7FFD7B0D" w14:textId="77777777" w:rsidR="007E349F" w:rsidRPr="0029769E" w:rsidRDefault="007E349F" w:rsidP="003D428D">
                                <w:pPr>
                                  <w:rPr>
                                    <w:color w:val="FFFFFF" w:themeColor="background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anchor>
            </w:drawing>
          </mc:Choice>
          <mc:Fallback>
            <w:pict>
              <v:group w14:anchorId="37565290" id="Group 109" o:spid="_x0000_s1030" style="position:absolute;margin-left:0;margin-top:22.1pt;width:459pt;height:380.7pt;z-index:251676672" coordsize="58293,48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">
                <v:shape id="Text Box 110" o:spid="_x0000_s1031" type="#_x0000_t202" style="position:absolute;width:58293;height:483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mJPcQA&#10;AADcAAAADwAAAGRycy9kb3ducmV2LnhtbESPQWvCQBCF70L/wzIFb7qrqLTRVUql0JPF2ArehuyY&#10;BLOzIbs16b/vHAq9zfDevPfNZjf4Rt2pi3VgC7OpAUVcBFdzaeHz9DZ5AhUTssMmMFn4oQi77cNo&#10;g5kLPR/pnqdSSQjHDC1UKbWZ1rGoyGOchpZYtGvoPCZZu1K7DnsJ942eG7PSHmuWhgpbeq2ouOXf&#10;3sLX4Xo5L8xHuffLtg+D0eyftbXjx+FlDSrRkP7Nf9fvTvBngi/PyAR6+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JiT3EAAAA3AAAAA8AAAAAAAAAAAAAAAAAmAIAAGRycy9k&#10;b3ducmV2LnhtbFBLBQYAAAAABAAEAPUAAACJAwAAAAA=&#10;" filled="f" stroked="f">
                  <v:textbox>
                    <w:txbxContent>
                      <w:p w14:paraId="70DCDD34" w14:textId="77777777" w:rsidR="007E349F" w:rsidRDefault="007E349F" w:rsidP="003D428D">
                        <w:r>
                          <w:rPr>
                            <w:noProof/>
                          </w:rPr>
                          <w:drawing>
                            <wp:inline distT="0" distB="0" distL="0" distR="0" wp14:anchorId="641EF6F2" wp14:editId="12F480DA">
                              <wp:extent cx="5486400" cy="4674613"/>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86400" cy="4674613"/>
                                      </a:xfrm>
                                      <a:prstGeom prst="rect">
                                        <a:avLst/>
                                      </a:prstGeom>
                                      <a:noFill/>
                                      <a:ln>
                                        <a:noFill/>
                                      </a:ln>
                                    </pic:spPr>
                                  </pic:pic>
                                </a:graphicData>
                              </a:graphic>
                            </wp:inline>
                          </w:drawing>
                        </w:r>
                      </w:p>
                    </w:txbxContent>
                  </v:textbox>
                </v:shape>
                <v:group id="Group 111" o:spid="_x0000_s1032" style="position:absolute;left:19431;top:2286;width:37719;height:36576" coordsize="37719,3657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FRqRrCAAAA3AAAAA8A&#10;AAAAAAAAAAAAAAAAqgIAAGRycy9kb3ducmV2LnhtbFBLBQYAAAAABAAEAPoAAACZAwAAAAA=&#10;">
                  <v:shape id="5-Point Star 112" o:spid="_x0000_s1033" style="position:absolute;left:5715;width:2286;height:2286;visibility:visible;mso-wrap-style:square;v-text-anchor:top" coordsize="22860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guUsAA&#10;AADcAAAADwAAAGRycy9kb3ducmV2LnhtbERPS4vCMBC+L/gfwgje1tQeRKpRfFB2QS/rLp6HZmyK&#10;zaQ06cN/bxYW9jYf33M2u9HWoqfWV44VLOYJCOLC6YpLBT/f+fsKhA/IGmvHpOBJHnbbydsGM+0G&#10;/qL+GkoRQ9hnqMCE0GRS+sKQRT93DXHk7q61GCJsS6lbHGK4rWWaJEtpseLYYLCho6Hice2sgkNn&#10;VgWfL8e893z6oOZ2vvibUrPpuF+DCDSGf/Gf+1PH+YsUfp+JF8jt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gguUsAAAADcAAAADwAAAAAAAAAAAAAAAACYAgAAZHJzL2Rvd25y&#10;ZXYueG1sUEsFBgAAAAAEAAQA9QAAAIUDAAAAAA==&#10;" path="m,87317r87318,1l114300,r26982,87318l228600,87317r-70642,53965l184941,228599,114300,174634,43659,228599,70642,141282,,87317xe" fillcolor="yellow" strokecolor="yellow">
                    <v:shadow on="t" color="black" opacity="22937f" origin=",.5" offset="0,.63889mm"/>
                    <v:path arrowok="t" o:connecttype="custom" o:connectlocs="0,87317;87318,87318;114300,0;141282,87318;228600,87317;157958,141282;184941,228599;114300,174634;43659,228599;70642,141282;0,87317" o:connectangles="0,0,0,0,0,0,0,0,0,0,0"/>
                  </v:shape>
                  <v:shape id="5-Point Star 113" o:spid="_x0000_s1034" style="position:absolute;left:5715;top:3429;width:2286;height:2286;visibility:visible;mso-wrap-style:square;v-text-anchor:top" coordsize="22860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SLycAA&#10;AADcAAAADwAAAGRycy9kb3ducmV2LnhtbERPS4vCMBC+L/gfwgje1tQVRKpp8YGsoJdV8Tw0Y1Ns&#10;JqWJtf57s7Cwt/n4nrPMe1uLjlpfOVYwGScgiAunKy4VXM67zzkIH5A11o5JwYs85NngY4mpdk/+&#10;oe4UShFD2KeowITQpFL6wpBFP3YNceRurrUYImxLqVt8xnBby68kmUmLFccGgw1tDBX308MqWD/M&#10;vODDcbPrPG+/qbkejv6q1GjYrxYgAvXhX/zn3us4fzKF32fiBTJ7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USLycAAAADcAAAADwAAAAAAAAAAAAAAAACYAgAAZHJzL2Rvd25y&#10;ZXYueG1sUEsFBgAAAAAEAAQA9QAAAIUDAAAAAA==&#10;" path="m,87317r87318,1l114300,r26982,87318l228600,87317r-70642,53965l184941,228599,114300,174634,43659,228599,70642,141282,,87317xe" fillcolor="yellow" strokecolor="yellow">
                    <v:shadow on="t" color="black" opacity="22937f" origin=",.5" offset="0,.63889mm"/>
                    <v:path arrowok="t" o:connecttype="custom" o:connectlocs="0,87317;87318,87318;114300,0;141282,87318;228600,87317;157958,141282;184941,228599;114300,174634;43659,228599;70642,141282;0,87317" o:connectangles="0,0,0,0,0,0,0,0,0,0,0"/>
                  </v:shape>
                  <v:shape id="5-Point Star 114" o:spid="_x0000_s1035" style="position:absolute;left:30861;top:20574;width:2286;height:2286;visibility:visible;mso-wrap-style:square;v-text-anchor:top" coordsize="22860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0TvcAA&#10;AADcAAAADwAAAGRycy9kb3ducmV2LnhtbERPS4vCMBC+L/gfwgje1tRFRKpp8YGsoJdV8Tw0Y1Ns&#10;JqWJtf57s7Cwt/n4nrPMe1uLjlpfOVYwGScgiAunKy4VXM67zzkIH5A11o5JwYs85NngY4mpdk/+&#10;oe4UShFD2KeowITQpFL6wpBFP3YNceRurrUYImxLqVt8xnBby68kmUmLFccGgw1tDBX308MqWD/M&#10;vODDcbPrPG+/qbkejv6q1GjYrxYgAvXhX/zn3us4fzKF32fiBTJ7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q0TvcAAAADcAAAADwAAAAAAAAAAAAAAAACYAgAAZHJzL2Rvd25y&#10;ZXYueG1sUEsFBgAAAAAEAAQA9QAAAIUDAAAAAA==&#10;" path="m,87317r87318,1l114300,r26982,87318l228600,87317r-70642,53965l184941,228599,114300,174634,43659,228599,70642,141282,,87317xe" fillcolor="yellow" strokecolor="yellow">
                    <v:shadow on="t" color="black" opacity="22937f" origin=",.5" offset="0,.63889mm"/>
                    <v:path arrowok="t" o:connecttype="custom" o:connectlocs="0,87317;87318,87318;114300,0;141282,87318;228600,87317;157958,141282;184941,228599;114300,174634;43659,228599;70642,141282;0,87317" o:connectangles="0,0,0,0,0,0,0,0,0,0,0"/>
                  </v:shape>
                  <v:shape id="5-Point Star 115" o:spid="_x0000_s1036" style="position:absolute;left:26289;top:30861;width:2286;height:2286;visibility:visible;mso-wrap-style:square;v-text-anchor:top" coordsize="22860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G2JsAA&#10;AADcAAAADwAAAGRycy9kb3ducmV2LnhtbERPS4vCMBC+L/gfwgje1tQFRapp8YGsoJdV8Tw0Y1Ns&#10;JqWJtf57s7Cwt/n4nrPMe1uLjlpfOVYwGScgiAunKy4VXM67zzkIH5A11o5JwYs85NngY4mpdk/+&#10;oe4UShFD2KeowITQpFL6wpBFP3YNceRurrUYImxLqVt8xnBby68kmUmLFccGgw1tDBX308MqWD/M&#10;vODDcbPrPG+/qbkejv6q1GjYrxYgAvXhX/zn3us4fzKF32fiBTJ7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eG2JsAAAADcAAAADwAAAAAAAAAAAAAAAACYAgAAZHJzL2Rvd25y&#10;ZXYueG1sUEsFBgAAAAAEAAQA9QAAAIUDAAAAAA==&#10;" path="m,87317r87318,1l114300,r26982,87318l228600,87317r-70642,53965l184941,228599,114300,174634,43659,228599,70642,141282,,87317xe" fillcolor="yellow" strokecolor="yellow">
                    <v:shadow on="t" color="black" opacity="22937f" origin=",.5" offset="0,.63889mm"/>
                    <v:path arrowok="t" o:connecttype="custom" o:connectlocs="0,87317;87318,87318;114300,0;141282,87318;228600,87317;157958,141282;184941,228599;114300,174634;43659,228599;70642,141282;0,87317" o:connectangles="0,0,0,0,0,0,0,0,0,0,0"/>
                  </v:shape>
                  <v:shape id="Text Box 116" o:spid="_x0000_s1037" type="#_x0000_t202" style="position:absolute;left:21717;top:33147;width:6858;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y00sIA&#10;AADcAAAADwAAAGRycy9kb3ducmV2LnhtbERPTWvCQBC9C/0Pywi9md1IK5pmDcVS6KmitkJvQ3ZM&#10;gtnZkN2a9N93BcHbPN7n5MVoW3Gh3jeONaSJAkFcOtNwpeHr8D5bgvAB2WDrmDT8kYdi/TDJMTNu&#10;4B1d9qESMYR9hhrqELpMSl/WZNEnriOO3Mn1FkOEfSVNj0MMt62cK7WQFhuODTV2tKmpPO9/rYbv&#10;z9PP8Ultqzf73A1uVJLtSmr9OB1fX0AEGsNdfHN/mDg/XcD1mXiB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LLTSwgAAANwAAAAPAAAAAAAAAAAAAAAAAJgCAABkcnMvZG93&#10;bnJldi54bWxQSwUGAAAAAAQABAD1AAAAhwMAAAAA&#10;" filled="f" stroked="f">
                    <v:textbox>
                      <w:txbxContent>
                        <w:p w14:paraId="48FFE3FE" w14:textId="77777777" w:rsidR="007E349F" w:rsidRPr="0029769E" w:rsidRDefault="007E349F" w:rsidP="003D428D">
                          <w:pPr>
                            <w:rPr>
                              <w:color w:val="FFFFFF" w:themeColor="background1"/>
                            </w:rPr>
                          </w:pPr>
                          <w:r w:rsidRPr="0029769E">
                            <w:rPr>
                              <w:color w:val="FFFFFF" w:themeColor="background1"/>
                            </w:rPr>
                            <w:t>RP01</w:t>
                          </w:r>
                        </w:p>
                      </w:txbxContent>
                    </v:textbox>
                  </v:shape>
                  <v:shape id="Text Box 117" o:spid="_x0000_s1038" type="#_x0000_t202" style="position:absolute;left:30861;top:22860;width:6858;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ARScEA&#10;AADcAAAADwAAAGRycy9kb3ducmV2LnhtbERPTYvCMBC9C/6HMIK3NXFRd7caZVEET4ruKuxtaMa2&#10;2ExKE23990ZY8DaP9zmzRWtLcaPaF441DAcKBHHqTMGZht+f9dsnCB+QDZaOScOdPCzm3c4ME+Ma&#10;3tPtEDIRQ9gnqCEPoUqk9GlOFv3AVcSRO7vaYoiwzqSpsYnhtpTvSk2kxYJjQ44VLXNKL4er1XDc&#10;nv9OI7XLVnZcNa5Vku2X1Lrfa7+nIAK14SX+d29MnD/8gOcz8QI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ZgEUnBAAAA3AAAAA8AAAAAAAAAAAAAAAAAmAIAAGRycy9kb3du&#10;cmV2LnhtbFBLBQYAAAAABAAEAPUAAACGAwAAAAA=&#10;" filled="f" stroked="f">
                    <v:textbox>
                      <w:txbxContent>
                        <w:p w14:paraId="21FABC29" w14:textId="77777777" w:rsidR="007E349F" w:rsidRPr="0029769E" w:rsidRDefault="007E349F" w:rsidP="003D428D">
                          <w:pPr>
                            <w:rPr>
                              <w:color w:val="FFFFFF" w:themeColor="background1"/>
                            </w:rPr>
                          </w:pPr>
                          <w:r>
                            <w:rPr>
                              <w:color w:val="FFFFFF" w:themeColor="background1"/>
                            </w:rPr>
                            <w:t>PS01</w:t>
                          </w:r>
                        </w:p>
                      </w:txbxContent>
                    </v:textbox>
                  </v:shape>
                  <v:shape id="Text Box 118" o:spid="_x0000_s1039" type="#_x0000_t202" style="position:absolute;top:3429;width:6858;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O8QA&#10;AADcAAAADwAAAGRycy9kb3ducmV2LnhtbESPQWvCQBCF70L/wzIFb7qrqLTRVUql0JPF2ArehuyY&#10;BLOzIbs16b/vHAq9zfDevPfNZjf4Rt2pi3VgC7OpAUVcBFdzaeHz9DZ5AhUTssMmMFn4oQi77cNo&#10;g5kLPR/pnqdSSQjHDC1UKbWZ1rGoyGOchpZYtGvoPCZZu1K7DnsJ942eG7PSHmuWhgpbeq2ouOXf&#10;3sLX4Xo5L8xHuffLtg+D0eyftbXjx+FlDSrRkP7Nf9fvTvBnQivPyAR6+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hTvEAAAA3AAAAA8AAAAAAAAAAAAAAAAAmAIAAGRycy9k&#10;b3ducmV2LnhtbFBLBQYAAAAABAAEAPUAAACJAwAAAAA=&#10;" filled="f" stroked="f">
                    <v:textbox>
                      <w:txbxContent>
                        <w:p w14:paraId="4DEC0851" w14:textId="77777777" w:rsidR="007E349F" w:rsidRPr="0029769E" w:rsidRDefault="007E349F" w:rsidP="003D428D">
                          <w:pPr>
                            <w:rPr>
                              <w:color w:val="FFFFFF" w:themeColor="background1"/>
                            </w:rPr>
                          </w:pPr>
                          <w:r>
                            <w:rPr>
                              <w:color w:val="FFFFFF" w:themeColor="background1"/>
                            </w:rPr>
                            <w:t>CB01</w:t>
                          </w:r>
                        </w:p>
                      </w:txbxContent>
                    </v:textbox>
                  </v:shape>
                  <v:shape id="Text Box 119" o:spid="_x0000_s1040" type="#_x0000_t202" style="position:absolute;width:6858;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goMAA&#10;AADcAAAADwAAAGRycy9kb3ducmV2LnhtbERPS4vCMBC+L/gfwgh7WxNlV7QaRRRhTys+wdvQjG2x&#10;mZQm2u6/N4LgbT6+50znrS3FnWpfONbQ7ykQxKkzBWcaDvv11wiED8gGS8ek4Z88zGedjykmxjW8&#10;pfsuZCKGsE9QQx5ClUjp05ws+p6riCN3cbXFEGGdSVNjE8NtKQdKDaXFgmNDjhUtc0qvu5vVcPy7&#10;nE/fapOt7E/VuFZJtmOp9We3XUxABGrDW/xy/5o4vz+G5zPxAjl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MgoMAAAADcAAAADwAAAAAAAAAAAAAAAACYAgAAZHJzL2Rvd25y&#10;ZXYueG1sUEsFBgAAAAAEAAQA9QAAAIUDAAAAAA==&#10;" filled="f" stroked="f">
                    <v:textbox>
                      <w:txbxContent>
                        <w:p w14:paraId="13D8D203" w14:textId="77777777" w:rsidR="007E349F" w:rsidRDefault="007E349F" w:rsidP="003D428D">
                          <w:pPr>
                            <w:rPr>
                              <w:color w:val="FFFFFF" w:themeColor="background1"/>
                            </w:rPr>
                          </w:pPr>
                          <w:r>
                            <w:rPr>
                              <w:color w:val="FFFFFF" w:themeColor="background1"/>
                            </w:rPr>
                            <w:t>SC01</w:t>
                          </w:r>
                        </w:p>
                        <w:p w14:paraId="7FFD7B0D" w14:textId="77777777" w:rsidR="007E349F" w:rsidRPr="0029769E" w:rsidRDefault="007E349F" w:rsidP="003D428D">
                          <w:pPr>
                            <w:rPr>
                              <w:color w:val="FFFFFF" w:themeColor="background1"/>
                            </w:rPr>
                          </w:pPr>
                        </w:p>
                      </w:txbxContent>
                    </v:textbox>
                  </v:shape>
                </v:group>
                <w10:wrap type="through"/>
              </v:group>
            </w:pict>
          </mc:Fallback>
        </mc:AlternateContent>
      </w:r>
    </w:p>
    <w:p w14:paraId="607FF899" w14:textId="1651154C" w:rsidR="003D428D" w:rsidRPr="00BE5E5B" w:rsidRDefault="00C5460E" w:rsidP="003D428D">
      <w:pPr>
        <w:rPr>
          <w:rFonts w:ascii="Times New Roman" w:hAnsi="Times New Roman" w:cs="Times New Roman"/>
          <w:sz w:val="24"/>
          <w:szCs w:val="24"/>
        </w:rPr>
      </w:pPr>
      <w:r>
        <w:rPr>
          <w:rFonts w:ascii="Times New Roman" w:eastAsia="Times New Roman" w:hAnsi="Times New Roman" w:cs="Times New Roman"/>
          <w:b/>
          <w:sz w:val="24"/>
          <w:szCs w:val="24"/>
        </w:rPr>
        <w:t>Fig. 2</w:t>
      </w:r>
      <w:r w:rsidR="003D428D">
        <w:rPr>
          <w:rFonts w:ascii="Times New Roman" w:eastAsia="Times New Roman" w:hAnsi="Times New Roman" w:cs="Times New Roman"/>
          <w:b/>
          <w:sz w:val="24"/>
          <w:szCs w:val="24"/>
        </w:rPr>
        <w:t xml:space="preserve">. </w:t>
      </w:r>
      <w:r w:rsidR="003D428D">
        <w:rPr>
          <w:rFonts w:ascii="Times New Roman" w:eastAsia="Times New Roman" w:hAnsi="Times New Roman" w:cs="Times New Roman"/>
          <w:sz w:val="24"/>
          <w:szCs w:val="24"/>
        </w:rPr>
        <w:t>Map of sampling locations off of Vancouver Island (CB01 and SC01) and</w:t>
      </w:r>
      <w:r w:rsidR="003D428D" w:rsidRPr="00374614">
        <w:rPr>
          <w:rFonts w:ascii="Times New Roman" w:eastAsia="Times New Roman" w:hAnsi="Times New Roman" w:cs="Times New Roman"/>
          <w:sz w:val="24"/>
          <w:szCs w:val="24"/>
        </w:rPr>
        <w:t xml:space="preserve"> </w:t>
      </w:r>
      <w:r w:rsidR="003D428D">
        <w:rPr>
          <w:rFonts w:ascii="Times New Roman" w:eastAsia="Times New Roman" w:hAnsi="Times New Roman" w:cs="Times New Roman"/>
          <w:sz w:val="24"/>
          <w:szCs w:val="24"/>
        </w:rPr>
        <w:t>in Puget Sound (PS01 and RP01.)  CB01 is a metal mine station</w:t>
      </w:r>
      <w:r w:rsidR="003D428D" w:rsidRPr="007A1B57">
        <w:rPr>
          <w:rFonts w:ascii="Times New Roman" w:eastAsia="Times New Roman" w:hAnsi="Times New Roman" w:cs="Times New Roman"/>
          <w:sz w:val="24"/>
          <w:szCs w:val="24"/>
        </w:rPr>
        <w:t xml:space="preserve"> located at </w:t>
      </w:r>
      <w:r w:rsidR="003D428D" w:rsidRPr="007A1B57">
        <w:rPr>
          <w:rFonts w:ascii="Times New Roman" w:eastAsia="Times New Roman" w:hAnsi="Times New Roman" w:cs="Times New Roman"/>
          <w:color w:val="000000"/>
          <w:sz w:val="24"/>
          <w:szCs w:val="24"/>
        </w:rPr>
        <w:t>48</w:t>
      </w:r>
      <w:r w:rsidR="003D428D">
        <w:rPr>
          <w:rFonts w:ascii="Times New Roman" w:eastAsia="Times New Roman" w:hAnsi="Times New Roman" w:cs="Times New Roman"/>
          <w:color w:val="000000"/>
          <w:sz w:val="24"/>
          <w:szCs w:val="24"/>
        </w:rPr>
        <w:t>° 44.964’ N/ 123° 37.026’ W and is</w:t>
      </w:r>
      <w:r w:rsidR="003D428D" w:rsidRPr="007A1B57">
        <w:rPr>
          <w:rFonts w:ascii="Times New Roman" w:eastAsia="Times New Roman" w:hAnsi="Times New Roman" w:cs="Times New Roman"/>
          <w:color w:val="000000"/>
          <w:sz w:val="24"/>
          <w:szCs w:val="24"/>
        </w:rPr>
        <w:t xml:space="preserve"> 49m</w:t>
      </w:r>
      <w:r w:rsidR="003D428D">
        <w:rPr>
          <w:rFonts w:ascii="Times New Roman" w:eastAsia="Times New Roman" w:hAnsi="Times New Roman" w:cs="Times New Roman"/>
          <w:color w:val="000000"/>
          <w:sz w:val="24"/>
          <w:szCs w:val="24"/>
        </w:rPr>
        <w:t xml:space="preserve"> deep.</w:t>
      </w:r>
      <w:r w:rsidR="003D428D">
        <w:rPr>
          <w:rFonts w:ascii="Times New Roman" w:eastAsia="Times New Roman" w:hAnsi="Times New Roman" w:cs="Times New Roman"/>
          <w:sz w:val="24"/>
          <w:szCs w:val="24"/>
        </w:rPr>
        <w:t xml:space="preserve">  </w:t>
      </w:r>
      <w:r w:rsidR="003D428D">
        <w:rPr>
          <w:rFonts w:ascii="Times New Roman" w:eastAsia="Times New Roman" w:hAnsi="Times New Roman" w:cs="Times New Roman"/>
          <w:color w:val="000000"/>
          <w:sz w:val="24"/>
          <w:szCs w:val="24"/>
        </w:rPr>
        <w:t>SC01 i</w:t>
      </w:r>
      <w:r w:rsidR="003D428D" w:rsidRPr="007A1B57">
        <w:rPr>
          <w:rFonts w:ascii="Times New Roman" w:eastAsia="Times New Roman" w:hAnsi="Times New Roman" w:cs="Times New Roman"/>
          <w:color w:val="000000"/>
          <w:sz w:val="24"/>
          <w:szCs w:val="24"/>
        </w:rPr>
        <w:t>s</w:t>
      </w:r>
      <w:r w:rsidR="003D428D">
        <w:rPr>
          <w:rFonts w:ascii="Times New Roman" w:eastAsia="Times New Roman" w:hAnsi="Times New Roman" w:cs="Times New Roman"/>
          <w:color w:val="000000"/>
          <w:sz w:val="24"/>
          <w:szCs w:val="24"/>
        </w:rPr>
        <w:t xml:space="preserve"> a metal mine station</w:t>
      </w:r>
      <w:r w:rsidR="003D428D" w:rsidRPr="007A1B57">
        <w:rPr>
          <w:rFonts w:ascii="Times New Roman" w:eastAsia="Times New Roman" w:hAnsi="Times New Roman" w:cs="Times New Roman"/>
          <w:color w:val="000000"/>
          <w:sz w:val="24"/>
          <w:szCs w:val="24"/>
        </w:rPr>
        <w:t xml:space="preserve"> located at 4</w:t>
      </w:r>
      <w:r w:rsidR="003D428D">
        <w:rPr>
          <w:rFonts w:ascii="Times New Roman" w:eastAsia="Times New Roman" w:hAnsi="Times New Roman" w:cs="Times New Roman"/>
          <w:color w:val="000000"/>
          <w:sz w:val="24"/>
          <w:szCs w:val="24"/>
        </w:rPr>
        <w:t>8° 55.542’ N/123° 41.028’ W and is</w:t>
      </w:r>
      <w:r w:rsidR="003D428D" w:rsidRPr="007A1B57">
        <w:rPr>
          <w:rFonts w:ascii="Times New Roman" w:eastAsia="Times New Roman" w:hAnsi="Times New Roman" w:cs="Times New Roman"/>
          <w:color w:val="000000"/>
          <w:sz w:val="24"/>
          <w:szCs w:val="24"/>
        </w:rPr>
        <w:t xml:space="preserve"> 24m</w:t>
      </w:r>
      <w:r w:rsidR="003D428D">
        <w:rPr>
          <w:rFonts w:ascii="Times New Roman" w:eastAsia="Times New Roman" w:hAnsi="Times New Roman" w:cs="Times New Roman"/>
          <w:color w:val="000000"/>
          <w:sz w:val="24"/>
          <w:szCs w:val="24"/>
        </w:rPr>
        <w:t xml:space="preserve"> deep.  PS01 i</w:t>
      </w:r>
      <w:r w:rsidR="003D428D" w:rsidRPr="007A1B57">
        <w:rPr>
          <w:rFonts w:ascii="Times New Roman" w:eastAsia="Times New Roman" w:hAnsi="Times New Roman" w:cs="Times New Roman"/>
          <w:color w:val="000000"/>
          <w:sz w:val="24"/>
          <w:szCs w:val="24"/>
        </w:rPr>
        <w:t>s</w:t>
      </w:r>
      <w:r w:rsidR="003D428D">
        <w:rPr>
          <w:rFonts w:ascii="Times New Roman" w:eastAsia="Times New Roman" w:hAnsi="Times New Roman" w:cs="Times New Roman"/>
          <w:color w:val="000000"/>
          <w:sz w:val="24"/>
          <w:szCs w:val="24"/>
        </w:rPr>
        <w:t xml:space="preserve"> a metal mine station</w:t>
      </w:r>
      <w:r w:rsidR="003D428D" w:rsidRPr="007A1B57">
        <w:rPr>
          <w:rFonts w:ascii="Times New Roman" w:eastAsia="Times New Roman" w:hAnsi="Times New Roman" w:cs="Times New Roman"/>
          <w:color w:val="000000"/>
          <w:sz w:val="24"/>
          <w:szCs w:val="24"/>
        </w:rPr>
        <w:t xml:space="preserve"> located at 48° 01.7820' N/122° 16.6592' W and </w:t>
      </w:r>
      <w:r w:rsidR="003D428D">
        <w:rPr>
          <w:rFonts w:ascii="Times New Roman" w:eastAsia="Times New Roman" w:hAnsi="Times New Roman" w:cs="Times New Roman"/>
          <w:color w:val="000000"/>
          <w:sz w:val="24"/>
          <w:szCs w:val="24"/>
        </w:rPr>
        <w:t>is</w:t>
      </w:r>
      <w:r w:rsidR="003D428D" w:rsidRPr="007A1B57">
        <w:rPr>
          <w:rFonts w:ascii="Times New Roman" w:eastAsia="Times New Roman" w:hAnsi="Times New Roman" w:cs="Times New Roman"/>
          <w:color w:val="000000"/>
          <w:sz w:val="24"/>
          <w:szCs w:val="24"/>
        </w:rPr>
        <w:t xml:space="preserve"> 20m</w:t>
      </w:r>
      <w:r w:rsidR="003D428D">
        <w:rPr>
          <w:rFonts w:ascii="Times New Roman" w:eastAsia="Times New Roman" w:hAnsi="Times New Roman" w:cs="Times New Roman"/>
          <w:color w:val="000000"/>
          <w:sz w:val="24"/>
          <w:szCs w:val="24"/>
        </w:rPr>
        <w:t xml:space="preserve"> deep.  RP01 i</w:t>
      </w:r>
      <w:r w:rsidR="003D428D" w:rsidRPr="007A1B57">
        <w:rPr>
          <w:rFonts w:ascii="Times New Roman" w:eastAsia="Times New Roman" w:hAnsi="Times New Roman" w:cs="Times New Roman"/>
          <w:color w:val="000000"/>
          <w:sz w:val="24"/>
          <w:szCs w:val="24"/>
        </w:rPr>
        <w:t>s</w:t>
      </w:r>
      <w:r w:rsidR="003D428D">
        <w:rPr>
          <w:rFonts w:ascii="Times New Roman" w:eastAsia="Times New Roman" w:hAnsi="Times New Roman" w:cs="Times New Roman"/>
          <w:color w:val="000000"/>
          <w:sz w:val="24"/>
          <w:szCs w:val="24"/>
        </w:rPr>
        <w:t xml:space="preserve"> a fish farm station</w:t>
      </w:r>
      <w:r w:rsidR="003D428D" w:rsidRPr="007A1B57">
        <w:rPr>
          <w:rFonts w:ascii="Times New Roman" w:eastAsia="Times New Roman" w:hAnsi="Times New Roman" w:cs="Times New Roman"/>
          <w:color w:val="000000"/>
          <w:sz w:val="24"/>
          <w:szCs w:val="24"/>
        </w:rPr>
        <w:t xml:space="preserve"> located at 47° 35.0223' N/122° 31.9416' W and </w:t>
      </w:r>
      <w:r w:rsidR="003D428D">
        <w:rPr>
          <w:rFonts w:ascii="Times New Roman" w:eastAsia="Times New Roman" w:hAnsi="Times New Roman" w:cs="Times New Roman"/>
          <w:color w:val="000000"/>
          <w:sz w:val="24"/>
          <w:szCs w:val="24"/>
        </w:rPr>
        <w:t>is</w:t>
      </w:r>
      <w:r w:rsidR="003D428D" w:rsidRPr="007A1B57">
        <w:rPr>
          <w:rFonts w:ascii="Times New Roman" w:eastAsia="Times New Roman" w:hAnsi="Times New Roman" w:cs="Times New Roman"/>
          <w:color w:val="000000"/>
          <w:sz w:val="24"/>
          <w:szCs w:val="24"/>
        </w:rPr>
        <w:t xml:space="preserve"> 22m</w:t>
      </w:r>
      <w:r w:rsidR="003D428D">
        <w:rPr>
          <w:rFonts w:ascii="Times New Roman" w:eastAsia="Times New Roman" w:hAnsi="Times New Roman" w:cs="Times New Roman"/>
          <w:color w:val="000000"/>
          <w:sz w:val="24"/>
          <w:szCs w:val="24"/>
        </w:rPr>
        <w:t xml:space="preserve"> deep.</w:t>
      </w:r>
      <w:r w:rsidR="003D428D">
        <w:rPr>
          <w:rFonts w:ascii="Times New Roman" w:eastAsia="Times New Roman" w:hAnsi="Times New Roman" w:cs="Times New Roman"/>
          <w:sz w:val="24"/>
          <w:szCs w:val="24"/>
        </w:rPr>
        <w:t xml:space="preserve">  </w:t>
      </w:r>
    </w:p>
    <w:p w14:paraId="6DA38F14" w14:textId="77777777" w:rsidR="003D428D" w:rsidRDefault="003D428D">
      <w:pPr>
        <w:rPr>
          <w:rFonts w:ascii="Times New Roman" w:hAnsi="Times New Roman" w:cs="Times New Roman"/>
          <w:sz w:val="24"/>
          <w:szCs w:val="24"/>
        </w:rPr>
      </w:pPr>
    </w:p>
    <w:p w14:paraId="36B4DD0A" w14:textId="77777777" w:rsidR="003D428D" w:rsidRDefault="003D428D">
      <w:pPr>
        <w:rPr>
          <w:rFonts w:ascii="Times New Roman" w:hAnsi="Times New Roman" w:cs="Times New Roman"/>
          <w:sz w:val="24"/>
          <w:szCs w:val="24"/>
        </w:rPr>
      </w:pPr>
    </w:p>
    <w:p w14:paraId="53909C54" w14:textId="7F2D7099" w:rsidR="003D428D" w:rsidRDefault="003D428D">
      <w:pPr>
        <w:rPr>
          <w:rFonts w:ascii="Times New Roman" w:hAnsi="Times New Roman" w:cs="Times New Roman"/>
          <w:sz w:val="24"/>
          <w:szCs w:val="24"/>
        </w:rPr>
      </w:pPr>
    </w:p>
    <w:p w14:paraId="26763486" w14:textId="77777777" w:rsidR="006F718B" w:rsidRDefault="006F718B" w:rsidP="007C479C">
      <w:pPr>
        <w:rPr>
          <w:rFonts w:ascii="Times New Roman" w:hAnsi="Times New Roman" w:cs="Times New Roman"/>
          <w:b/>
          <w:sz w:val="24"/>
          <w:szCs w:val="24"/>
        </w:rPr>
      </w:pPr>
    </w:p>
    <w:p w14:paraId="1FC9BFB7" w14:textId="77777777" w:rsidR="006F718B" w:rsidRDefault="006F718B" w:rsidP="007C479C">
      <w:pPr>
        <w:rPr>
          <w:rFonts w:ascii="Times New Roman" w:hAnsi="Times New Roman" w:cs="Times New Roman"/>
          <w:b/>
          <w:sz w:val="24"/>
          <w:szCs w:val="24"/>
        </w:rPr>
      </w:pPr>
    </w:p>
    <w:p w14:paraId="19CC8A74" w14:textId="77777777" w:rsidR="006F718B" w:rsidRDefault="006F718B" w:rsidP="007C479C">
      <w:pPr>
        <w:rPr>
          <w:rFonts w:ascii="Times New Roman" w:hAnsi="Times New Roman" w:cs="Times New Roman"/>
          <w:b/>
          <w:sz w:val="24"/>
          <w:szCs w:val="24"/>
        </w:rPr>
      </w:pPr>
    </w:p>
    <w:p w14:paraId="56E835BE" w14:textId="77777777" w:rsidR="006F718B" w:rsidRDefault="006F718B" w:rsidP="007C479C">
      <w:pPr>
        <w:rPr>
          <w:rFonts w:ascii="Times New Roman" w:hAnsi="Times New Roman" w:cs="Times New Roman"/>
          <w:b/>
          <w:sz w:val="24"/>
          <w:szCs w:val="24"/>
        </w:rPr>
      </w:pPr>
    </w:p>
    <w:p w14:paraId="06A16CBD" w14:textId="513BC210" w:rsidR="007C479C" w:rsidRPr="006F718B" w:rsidRDefault="006F718B" w:rsidP="007C479C">
      <w:pPr>
        <w:rPr>
          <w:rFonts w:ascii="Times New Roman" w:hAnsi="Times New Roman" w:cs="Times New Roman"/>
          <w:b/>
          <w:sz w:val="24"/>
          <w:szCs w:val="24"/>
        </w:rPr>
      </w:pPr>
      <w:r>
        <w:rPr>
          <w:rFonts w:ascii="Times New Roman" w:hAnsi="Times New Roman" w:cs="Times New Roman"/>
          <w:b/>
          <w:noProof/>
          <w:sz w:val="24"/>
          <w:szCs w:val="24"/>
        </w:rPr>
        <w:lastRenderedPageBreak/>
        <mc:AlternateContent>
          <mc:Choice Requires="wps">
            <w:drawing>
              <wp:anchor distT="0" distB="0" distL="114300" distR="114300" simplePos="0" relativeHeight="251680768" behindDoc="0" locked="0" layoutInCell="1" allowOverlap="1" wp14:anchorId="57EBCE0F" wp14:editId="6D7219A4">
                <wp:simplePos x="0" y="0"/>
                <wp:positionH relativeFrom="column">
                  <wp:posOffset>-114300</wp:posOffset>
                </wp:positionH>
                <wp:positionV relativeFrom="paragraph">
                  <wp:posOffset>0</wp:posOffset>
                </wp:positionV>
                <wp:extent cx="6172200" cy="4000500"/>
                <wp:effectExtent l="0" t="0" r="0" b="12700"/>
                <wp:wrapSquare wrapText="bothSides"/>
                <wp:docPr id="161" name="Text Box 161"/>
                <wp:cNvGraphicFramePr/>
                <a:graphic xmlns:a="http://schemas.openxmlformats.org/drawingml/2006/main">
                  <a:graphicData uri="http://schemas.microsoft.com/office/word/2010/wordprocessingShape">
                    <wps:wsp>
                      <wps:cNvSpPr txBox="1"/>
                      <wps:spPr>
                        <a:xfrm>
                          <a:off x="0" y="0"/>
                          <a:ext cx="6172200" cy="40005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694238FC" w14:textId="77777777" w:rsidR="007E349F" w:rsidRDefault="007E349F" w:rsidP="006F718B">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C911741" wp14:editId="5535EE2E">
                                  <wp:extent cx="5943600" cy="3728085"/>
                                  <wp:effectExtent l="0" t="0" r="0" b="5715"/>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diment EFs.png"/>
                                          <pic:cNvPicPr/>
                                        </pic:nvPicPr>
                                        <pic:blipFill>
                                          <a:blip r:embed="rId15">
                                            <a:extLst>
                                              <a:ext uri="{28A0092B-C50C-407E-A947-70E740481C1C}">
                                                <a14:useLocalDpi xmlns:a14="http://schemas.microsoft.com/office/drawing/2010/main" val="0"/>
                                              </a:ext>
                                            </a:extLst>
                                          </a:blip>
                                          <a:stretch>
                                            <a:fillRect/>
                                          </a:stretch>
                                        </pic:blipFill>
                                        <pic:spPr>
                                          <a:xfrm>
                                            <a:off x="0" y="0"/>
                                            <a:ext cx="5943600" cy="3728085"/>
                                          </a:xfrm>
                                          <a:prstGeom prst="rect">
                                            <a:avLst/>
                                          </a:prstGeom>
                                        </pic:spPr>
                                      </pic:pic>
                                    </a:graphicData>
                                  </a:graphic>
                                </wp:inline>
                              </w:drawing>
                            </w:r>
                          </w:p>
                          <w:p w14:paraId="7DAD2540" w14:textId="77777777" w:rsidR="007E349F" w:rsidRDefault="007E349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EBCE0F" id="Text Box 161" o:spid="_x0000_s1041" type="#_x0000_t202" style="position:absolute;margin-left:-9pt;margin-top:0;width:486pt;height:3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" filled="f" stroked="f">
                <v:textbox>
                  <w:txbxContent>
                    <w:p w14:paraId="694238FC" w14:textId="77777777" w:rsidR="007E349F" w:rsidRDefault="007E349F" w:rsidP="006F718B">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C911741" wp14:editId="5535EE2E">
                            <wp:extent cx="5943600" cy="3728085"/>
                            <wp:effectExtent l="0" t="0" r="0" b="5715"/>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diment EFs.png"/>
                                    <pic:cNvPicPr/>
                                  </pic:nvPicPr>
                                  <pic:blipFill>
                                    <a:blip r:embed="rId15">
                                      <a:extLst>
                                        <a:ext uri="{28A0092B-C50C-407E-A947-70E740481C1C}">
                                          <a14:useLocalDpi xmlns:a14="http://schemas.microsoft.com/office/drawing/2010/main" val="0"/>
                                        </a:ext>
                                      </a:extLst>
                                    </a:blip>
                                    <a:stretch>
                                      <a:fillRect/>
                                    </a:stretch>
                                  </pic:blipFill>
                                  <pic:spPr>
                                    <a:xfrm>
                                      <a:off x="0" y="0"/>
                                      <a:ext cx="5943600" cy="3728085"/>
                                    </a:xfrm>
                                    <a:prstGeom prst="rect">
                                      <a:avLst/>
                                    </a:prstGeom>
                                  </pic:spPr>
                                </pic:pic>
                              </a:graphicData>
                            </a:graphic>
                          </wp:inline>
                        </w:drawing>
                      </w:r>
                    </w:p>
                    <w:p w14:paraId="7DAD2540" w14:textId="77777777" w:rsidR="007E349F" w:rsidRDefault="007E349F"/>
                  </w:txbxContent>
                </v:textbox>
                <w10:wrap type="square"/>
              </v:shape>
            </w:pict>
          </mc:Fallback>
        </mc:AlternateContent>
      </w:r>
      <w:r w:rsidR="00BC5604">
        <w:rPr>
          <w:rFonts w:ascii="Times New Roman" w:hAnsi="Times New Roman" w:cs="Times New Roman"/>
          <w:b/>
          <w:sz w:val="24"/>
          <w:szCs w:val="24"/>
        </w:rPr>
        <w:t>Figure 3</w:t>
      </w:r>
      <w:r w:rsidR="007C479C" w:rsidRPr="00BD4325">
        <w:rPr>
          <w:rFonts w:ascii="Times New Roman" w:hAnsi="Times New Roman" w:cs="Times New Roman"/>
          <w:b/>
          <w:sz w:val="24"/>
          <w:szCs w:val="24"/>
        </w:rPr>
        <w:t>:</w:t>
      </w:r>
      <w:r w:rsidR="007C479C" w:rsidRPr="00BD4325">
        <w:rPr>
          <w:rFonts w:ascii="Times New Roman" w:hAnsi="Times New Roman" w:cs="Times New Roman"/>
          <w:sz w:val="24"/>
          <w:szCs w:val="24"/>
        </w:rPr>
        <w:t xml:space="preserve"> Enrichment factors of metals in the surface sediments at each station, calculated using the average values in shale (Turekian and Wedepohl 1961; Brumsack et al. 2006.)  The y-axis is on a logarithmic scale.</w:t>
      </w:r>
      <w:r w:rsidR="00B67D39" w:rsidRPr="00BD4325">
        <w:rPr>
          <w:rFonts w:ascii="Times New Roman" w:hAnsi="Times New Roman" w:cs="Times New Roman"/>
          <w:sz w:val="24"/>
          <w:szCs w:val="24"/>
        </w:rPr>
        <w:t xml:space="preserve">  Only those elements that occurred above the quantitative detection limit at two or more locations are shown.  The following elements occurred at</w:t>
      </w:r>
      <w:r w:rsidR="009F6037">
        <w:rPr>
          <w:rFonts w:ascii="Times New Roman" w:hAnsi="Times New Roman" w:cs="Times New Roman"/>
          <w:sz w:val="24"/>
          <w:szCs w:val="24"/>
        </w:rPr>
        <w:t xml:space="preserve"> </w:t>
      </w:r>
      <w:r w:rsidR="00001532">
        <w:rPr>
          <w:rFonts w:ascii="Times New Roman" w:hAnsi="Times New Roman" w:cs="Times New Roman"/>
          <w:sz w:val="24"/>
          <w:szCs w:val="24"/>
        </w:rPr>
        <w:t xml:space="preserve">ND levels: Ag and </w:t>
      </w:r>
      <w:r w:rsidR="00AA695F" w:rsidRPr="00BD4325">
        <w:rPr>
          <w:rFonts w:ascii="Times New Roman" w:hAnsi="Times New Roman" w:cs="Times New Roman"/>
          <w:sz w:val="24"/>
          <w:szCs w:val="24"/>
        </w:rPr>
        <w:t>Pb.</w:t>
      </w:r>
    </w:p>
    <w:p w14:paraId="50122B07" w14:textId="77777777" w:rsidR="00426513" w:rsidRDefault="00426513">
      <w:pPr>
        <w:rPr>
          <w:rFonts w:ascii="Times New Roman" w:hAnsi="Times New Roman" w:cs="Times New Roman"/>
          <w:sz w:val="24"/>
          <w:szCs w:val="24"/>
        </w:rPr>
      </w:pPr>
    </w:p>
    <w:p w14:paraId="64097F63" w14:textId="77777777" w:rsidR="00426513" w:rsidRDefault="00426513">
      <w:pPr>
        <w:rPr>
          <w:rFonts w:ascii="Times New Roman" w:hAnsi="Times New Roman" w:cs="Times New Roman"/>
          <w:sz w:val="24"/>
          <w:szCs w:val="24"/>
        </w:rPr>
      </w:pPr>
    </w:p>
    <w:p w14:paraId="5B68DC9E" w14:textId="77777777" w:rsidR="00426513" w:rsidRDefault="00426513">
      <w:pPr>
        <w:rPr>
          <w:rFonts w:ascii="Times New Roman" w:hAnsi="Times New Roman" w:cs="Times New Roman"/>
          <w:sz w:val="24"/>
          <w:szCs w:val="24"/>
        </w:rPr>
      </w:pPr>
    </w:p>
    <w:p w14:paraId="60E48990" w14:textId="77777777" w:rsidR="00426513" w:rsidRDefault="00426513">
      <w:pPr>
        <w:rPr>
          <w:rFonts w:ascii="Times New Roman" w:hAnsi="Times New Roman" w:cs="Times New Roman"/>
          <w:sz w:val="24"/>
          <w:szCs w:val="24"/>
        </w:rPr>
      </w:pPr>
    </w:p>
    <w:p w14:paraId="3A7E564B" w14:textId="77777777" w:rsidR="00426513" w:rsidRDefault="00426513">
      <w:pPr>
        <w:rPr>
          <w:rFonts w:ascii="Times New Roman" w:hAnsi="Times New Roman" w:cs="Times New Roman"/>
          <w:sz w:val="24"/>
          <w:szCs w:val="24"/>
        </w:rPr>
      </w:pPr>
    </w:p>
    <w:p w14:paraId="1BC15430" w14:textId="77777777" w:rsidR="00426513" w:rsidRDefault="00426513">
      <w:pPr>
        <w:rPr>
          <w:rFonts w:ascii="Times New Roman" w:hAnsi="Times New Roman" w:cs="Times New Roman"/>
          <w:sz w:val="24"/>
          <w:szCs w:val="24"/>
        </w:rPr>
      </w:pPr>
    </w:p>
    <w:p w14:paraId="62C78037" w14:textId="77777777" w:rsidR="00426513" w:rsidRDefault="00426513">
      <w:pPr>
        <w:rPr>
          <w:rFonts w:ascii="Times New Roman" w:hAnsi="Times New Roman" w:cs="Times New Roman"/>
          <w:sz w:val="24"/>
          <w:szCs w:val="24"/>
        </w:rPr>
      </w:pPr>
    </w:p>
    <w:p w14:paraId="1A8EA276" w14:textId="77777777" w:rsidR="00426513" w:rsidRDefault="00426513">
      <w:pPr>
        <w:rPr>
          <w:rFonts w:ascii="Times New Roman" w:hAnsi="Times New Roman" w:cs="Times New Roman"/>
          <w:sz w:val="24"/>
          <w:szCs w:val="24"/>
        </w:rPr>
      </w:pPr>
    </w:p>
    <w:p w14:paraId="6CFB5298" w14:textId="77777777" w:rsidR="00426513" w:rsidRDefault="00426513">
      <w:pPr>
        <w:rPr>
          <w:rFonts w:ascii="Times New Roman" w:hAnsi="Times New Roman" w:cs="Times New Roman"/>
          <w:sz w:val="24"/>
          <w:szCs w:val="24"/>
        </w:rPr>
      </w:pPr>
    </w:p>
    <w:p w14:paraId="542A3C1C" w14:textId="57EFA4AD" w:rsidR="00695D8D" w:rsidRDefault="00426513">
      <w:pPr>
        <w:rPr>
          <w:rFonts w:ascii="Times New Roman" w:hAnsi="Times New Roman" w:cs="Times New Roman"/>
          <w:sz w:val="24"/>
          <w:szCs w:val="24"/>
        </w:rPr>
      </w:pPr>
      <w:r w:rsidRPr="00BD4325">
        <w:rPr>
          <w:rFonts w:ascii="Times New Roman" w:hAnsi="Times New Roman" w:cs="Times New Roman"/>
          <w:noProof/>
          <w:sz w:val="24"/>
          <w:szCs w:val="24"/>
        </w:rPr>
        <w:lastRenderedPageBreak/>
        <mc:AlternateContent>
          <mc:Choice Requires="wps">
            <w:drawing>
              <wp:anchor distT="0" distB="0" distL="114300" distR="114300" simplePos="0" relativeHeight="251664384" behindDoc="0" locked="0" layoutInCell="1" allowOverlap="1" wp14:anchorId="62825113" wp14:editId="569B9450">
                <wp:simplePos x="0" y="0"/>
                <wp:positionH relativeFrom="column">
                  <wp:posOffset>-114300</wp:posOffset>
                </wp:positionH>
                <wp:positionV relativeFrom="paragraph">
                  <wp:posOffset>-114300</wp:posOffset>
                </wp:positionV>
                <wp:extent cx="6286500" cy="3657600"/>
                <wp:effectExtent l="0" t="0" r="0" b="0"/>
                <wp:wrapSquare wrapText="bothSides"/>
                <wp:docPr id="7" name="Text Box 7"/>
                <wp:cNvGraphicFramePr/>
                <a:graphic xmlns:a="http://schemas.openxmlformats.org/drawingml/2006/main">
                  <a:graphicData uri="http://schemas.microsoft.com/office/word/2010/wordprocessingShape">
                    <wps:wsp>
                      <wps:cNvSpPr txBox="1"/>
                      <wps:spPr>
                        <a:xfrm>
                          <a:off x="0" y="0"/>
                          <a:ext cx="6286500" cy="36576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045921B9" w14:textId="161659AE" w:rsidR="007E349F" w:rsidRDefault="007E349F" w:rsidP="00426513">
                            <w:r>
                              <w:rPr>
                                <w:noProof/>
                              </w:rPr>
                              <w:drawing>
                                <wp:inline distT="0" distB="0" distL="0" distR="0" wp14:anchorId="727B2832" wp14:editId="791177D8">
                                  <wp:extent cx="5974715" cy="3566160"/>
                                  <wp:effectExtent l="0" t="0" r="0" b="0"/>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ota EFs.png"/>
                                          <pic:cNvPicPr/>
                                        </pic:nvPicPr>
                                        <pic:blipFill>
                                          <a:blip r:embed="rId16">
                                            <a:extLst>
                                              <a:ext uri="{28A0092B-C50C-407E-A947-70E740481C1C}">
                                                <a14:useLocalDpi xmlns:a14="http://schemas.microsoft.com/office/drawing/2010/main" val="0"/>
                                              </a:ext>
                                            </a:extLst>
                                          </a:blip>
                                          <a:stretch>
                                            <a:fillRect/>
                                          </a:stretch>
                                        </pic:blipFill>
                                        <pic:spPr>
                                          <a:xfrm>
                                            <a:off x="0" y="0"/>
                                            <a:ext cx="5974715" cy="356616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825113" id="Text Box 7" o:spid="_x0000_s1042" type="#_x0000_t202" style="position:absolute;margin-left:-9pt;margin-top:-9pt;width:495pt;height:4in;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" filled="f" stroked="f">
                <v:textbox>
                  <w:txbxContent>
                    <w:p w14:paraId="045921B9" w14:textId="161659AE" w:rsidR="007E349F" w:rsidRDefault="007E349F" w:rsidP="00426513">
                      <w:r>
                        <w:rPr>
                          <w:noProof/>
                        </w:rPr>
                        <w:drawing>
                          <wp:inline distT="0" distB="0" distL="0" distR="0" wp14:anchorId="727B2832" wp14:editId="791177D8">
                            <wp:extent cx="5974715" cy="3566160"/>
                            <wp:effectExtent l="0" t="0" r="0" b="0"/>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ota EFs.png"/>
                                    <pic:cNvPicPr/>
                                  </pic:nvPicPr>
                                  <pic:blipFill>
                                    <a:blip r:embed="rId16">
                                      <a:extLst>
                                        <a:ext uri="{28A0092B-C50C-407E-A947-70E740481C1C}">
                                          <a14:useLocalDpi xmlns:a14="http://schemas.microsoft.com/office/drawing/2010/main" val="0"/>
                                        </a:ext>
                                      </a:extLst>
                                    </a:blip>
                                    <a:stretch>
                                      <a:fillRect/>
                                    </a:stretch>
                                  </pic:blipFill>
                                  <pic:spPr>
                                    <a:xfrm>
                                      <a:off x="0" y="0"/>
                                      <a:ext cx="5974715" cy="3566160"/>
                                    </a:xfrm>
                                    <a:prstGeom prst="rect">
                                      <a:avLst/>
                                    </a:prstGeom>
                                  </pic:spPr>
                                </pic:pic>
                              </a:graphicData>
                            </a:graphic>
                          </wp:inline>
                        </w:drawing>
                      </w:r>
                    </w:p>
                  </w:txbxContent>
                </v:textbox>
                <w10:wrap type="square"/>
              </v:shape>
            </w:pict>
          </mc:Fallback>
        </mc:AlternateContent>
      </w:r>
      <w:r w:rsidR="00BC5604">
        <w:rPr>
          <w:rFonts w:ascii="Times New Roman" w:hAnsi="Times New Roman" w:cs="Times New Roman"/>
          <w:b/>
          <w:sz w:val="24"/>
          <w:szCs w:val="24"/>
        </w:rPr>
        <w:t>Figure 4</w:t>
      </w:r>
      <w:r w:rsidR="00912976" w:rsidRPr="00BD4325">
        <w:rPr>
          <w:rFonts w:ascii="Times New Roman" w:hAnsi="Times New Roman" w:cs="Times New Roman"/>
          <w:b/>
          <w:sz w:val="24"/>
          <w:szCs w:val="24"/>
        </w:rPr>
        <w:t xml:space="preserve">: </w:t>
      </w:r>
      <w:r w:rsidR="00912976" w:rsidRPr="00BD4325">
        <w:rPr>
          <w:rFonts w:ascii="Times New Roman" w:hAnsi="Times New Roman" w:cs="Times New Roman"/>
          <w:sz w:val="24"/>
          <w:szCs w:val="24"/>
        </w:rPr>
        <w:t>Enrichment factors of metals within the biota at the two northernmost stations (CB01 and SC01), calculated using the average values in shale (Turekian and Wedepohl 1961; Brumsack et al. 2006.)  Biota samples include both zooplankton samples (Z) and invertebrate samples (I.)  The y-axis is on a logarithmic scale.</w:t>
      </w:r>
      <w:r w:rsidR="0028577D" w:rsidRPr="00BD4325">
        <w:rPr>
          <w:rFonts w:ascii="Times New Roman" w:hAnsi="Times New Roman" w:cs="Times New Roman"/>
          <w:sz w:val="24"/>
          <w:szCs w:val="24"/>
        </w:rPr>
        <w:t xml:space="preserve"> Only those elements that occurred above the quantitative detection limit at two or more locations are show</w:t>
      </w:r>
      <w:r w:rsidR="00FE0786" w:rsidRPr="00BD4325">
        <w:rPr>
          <w:rFonts w:ascii="Times New Roman" w:hAnsi="Times New Roman" w:cs="Times New Roman"/>
          <w:sz w:val="24"/>
          <w:szCs w:val="24"/>
        </w:rPr>
        <w:t xml:space="preserve">n.  </w:t>
      </w:r>
    </w:p>
    <w:p w14:paraId="0D3BC5DB" w14:textId="77777777" w:rsidR="00092AAE" w:rsidRDefault="00092AAE">
      <w:pPr>
        <w:rPr>
          <w:rFonts w:ascii="Times New Roman" w:hAnsi="Times New Roman" w:cs="Times New Roman"/>
          <w:sz w:val="24"/>
          <w:szCs w:val="24"/>
        </w:rPr>
      </w:pPr>
    </w:p>
    <w:p w14:paraId="49220C38" w14:textId="77777777" w:rsidR="00092AAE" w:rsidRDefault="00092AAE">
      <w:pPr>
        <w:rPr>
          <w:rFonts w:ascii="Times New Roman" w:hAnsi="Times New Roman" w:cs="Times New Roman"/>
          <w:sz w:val="24"/>
          <w:szCs w:val="24"/>
        </w:rPr>
      </w:pPr>
    </w:p>
    <w:p w14:paraId="3A3B99E2" w14:textId="77777777" w:rsidR="00092AAE" w:rsidRPr="00BD4325" w:rsidRDefault="00092AAE">
      <w:pPr>
        <w:rPr>
          <w:rFonts w:ascii="Times New Roman" w:hAnsi="Times New Roman" w:cs="Times New Roman"/>
          <w:sz w:val="24"/>
          <w:szCs w:val="24"/>
        </w:rPr>
      </w:pPr>
    </w:p>
    <w:p w14:paraId="7779F6BD" w14:textId="77777777" w:rsidR="0028577D" w:rsidRDefault="0028577D"/>
    <w:p w14:paraId="2BC9CA6F" w14:textId="1ED88200" w:rsidR="0028577D" w:rsidRDefault="0028577D">
      <w:pPr>
        <w:rPr>
          <w:noProof/>
        </w:rPr>
      </w:pPr>
    </w:p>
    <w:p w14:paraId="72FFFAE3" w14:textId="77777777" w:rsidR="00DF4468" w:rsidRDefault="00DF4468">
      <w:pPr>
        <w:rPr>
          <w:noProof/>
        </w:rPr>
      </w:pPr>
    </w:p>
    <w:p w14:paraId="6148BBD7" w14:textId="77777777" w:rsidR="00DF4468" w:rsidRDefault="00DF4468">
      <w:pPr>
        <w:rPr>
          <w:noProof/>
        </w:rPr>
      </w:pPr>
    </w:p>
    <w:p w14:paraId="3E5B1E2B" w14:textId="77777777" w:rsidR="00DF4468" w:rsidRDefault="00DF4468">
      <w:pPr>
        <w:rPr>
          <w:noProof/>
        </w:rPr>
      </w:pPr>
    </w:p>
    <w:p w14:paraId="48A12326" w14:textId="77777777" w:rsidR="00DF4468" w:rsidRDefault="00DF4468">
      <w:pPr>
        <w:rPr>
          <w:noProof/>
        </w:rPr>
      </w:pPr>
    </w:p>
    <w:p w14:paraId="68CE463D" w14:textId="77777777" w:rsidR="00DF4468" w:rsidRDefault="00DF4468">
      <w:pPr>
        <w:rPr>
          <w:noProof/>
        </w:rPr>
      </w:pPr>
    </w:p>
    <w:p w14:paraId="4C697F68" w14:textId="77777777" w:rsidR="00DF4468" w:rsidRDefault="00DF4468">
      <w:pPr>
        <w:rPr>
          <w:noProof/>
        </w:rPr>
      </w:pPr>
    </w:p>
    <w:p w14:paraId="06498C2E" w14:textId="77777777" w:rsidR="00DF4468" w:rsidRDefault="00DF4468">
      <w:pPr>
        <w:rPr>
          <w:noProof/>
        </w:rPr>
      </w:pPr>
    </w:p>
    <w:p w14:paraId="4E937A8E" w14:textId="77777777" w:rsidR="00DF4468" w:rsidRDefault="00DF4468">
      <w:pPr>
        <w:rPr>
          <w:noProof/>
        </w:rPr>
      </w:pPr>
    </w:p>
    <w:p w14:paraId="1E8DA1BB" w14:textId="1E3E05DF" w:rsidR="00DF4468" w:rsidRDefault="00DF4468">
      <w:pPr>
        <w:rPr>
          <w:noProof/>
        </w:rPr>
      </w:pPr>
      <w:r>
        <w:rPr>
          <w:noProof/>
        </w:rPr>
        <w:lastRenderedPageBreak/>
        <mc:AlternateContent>
          <mc:Choice Requires="wps">
            <w:drawing>
              <wp:anchor distT="0" distB="0" distL="114300" distR="114300" simplePos="0" relativeHeight="251681792" behindDoc="0" locked="0" layoutInCell="1" allowOverlap="1" wp14:anchorId="5C730A54" wp14:editId="670127A3">
                <wp:simplePos x="0" y="0"/>
                <wp:positionH relativeFrom="column">
                  <wp:posOffset>-342900</wp:posOffset>
                </wp:positionH>
                <wp:positionV relativeFrom="paragraph">
                  <wp:posOffset>0</wp:posOffset>
                </wp:positionV>
                <wp:extent cx="6172200" cy="3200400"/>
                <wp:effectExtent l="0" t="0" r="0" b="0"/>
                <wp:wrapSquare wrapText="bothSides"/>
                <wp:docPr id="163" name="Text Box 163"/>
                <wp:cNvGraphicFramePr/>
                <a:graphic xmlns:a="http://schemas.openxmlformats.org/drawingml/2006/main">
                  <a:graphicData uri="http://schemas.microsoft.com/office/word/2010/wordprocessingShape">
                    <wps:wsp>
                      <wps:cNvSpPr txBox="1"/>
                      <wps:spPr>
                        <a:xfrm>
                          <a:off x="0" y="0"/>
                          <a:ext cx="6172200" cy="3200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3598B420" w14:textId="3A8AE440" w:rsidR="007E349F" w:rsidRDefault="007E349F">
                            <w:r>
                              <w:rPr>
                                <w:noProof/>
                              </w:rPr>
                              <w:drawing>
                                <wp:inline distT="0" distB="0" distL="0" distR="0" wp14:anchorId="7D633593" wp14:editId="57C43BFC">
                                  <wp:extent cx="5989320" cy="3034665"/>
                                  <wp:effectExtent l="0" t="0" r="5080" b="0"/>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al per OC Standardization.png"/>
                                          <pic:cNvPicPr/>
                                        </pic:nvPicPr>
                                        <pic:blipFill>
                                          <a:blip r:embed="rId17">
                                            <a:extLst>
                                              <a:ext uri="{28A0092B-C50C-407E-A947-70E740481C1C}">
                                                <a14:useLocalDpi xmlns:a14="http://schemas.microsoft.com/office/drawing/2010/main" val="0"/>
                                              </a:ext>
                                            </a:extLst>
                                          </a:blip>
                                          <a:stretch>
                                            <a:fillRect/>
                                          </a:stretch>
                                        </pic:blipFill>
                                        <pic:spPr>
                                          <a:xfrm>
                                            <a:off x="0" y="0"/>
                                            <a:ext cx="5989320" cy="303466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C730A54" id="Text Box 163" o:spid="_x0000_s1043" type="#_x0000_t202" style="position:absolute;margin-left:-27pt;margin-top:0;width:486pt;height:252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" filled="f" stroked="f">
                <v:textbox>
                  <w:txbxContent>
                    <w:p w14:paraId="3598B420" w14:textId="3A8AE440" w:rsidR="007E349F" w:rsidRDefault="007E349F">
                      <w:r>
                        <w:rPr>
                          <w:noProof/>
                        </w:rPr>
                        <w:drawing>
                          <wp:inline distT="0" distB="0" distL="0" distR="0" wp14:anchorId="7D633593" wp14:editId="57C43BFC">
                            <wp:extent cx="5989320" cy="3034665"/>
                            <wp:effectExtent l="0" t="0" r="5080" b="0"/>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al per OC Standardization.png"/>
                                    <pic:cNvPicPr/>
                                  </pic:nvPicPr>
                                  <pic:blipFill>
                                    <a:blip r:embed="rId17">
                                      <a:extLst>
                                        <a:ext uri="{28A0092B-C50C-407E-A947-70E740481C1C}">
                                          <a14:useLocalDpi xmlns:a14="http://schemas.microsoft.com/office/drawing/2010/main" val="0"/>
                                        </a:ext>
                                      </a:extLst>
                                    </a:blip>
                                    <a:stretch>
                                      <a:fillRect/>
                                    </a:stretch>
                                  </pic:blipFill>
                                  <pic:spPr>
                                    <a:xfrm>
                                      <a:off x="0" y="0"/>
                                      <a:ext cx="5989320" cy="3034665"/>
                                    </a:xfrm>
                                    <a:prstGeom prst="rect">
                                      <a:avLst/>
                                    </a:prstGeom>
                                  </pic:spPr>
                                </pic:pic>
                              </a:graphicData>
                            </a:graphic>
                          </wp:inline>
                        </w:drawing>
                      </w:r>
                    </w:p>
                  </w:txbxContent>
                </v:textbox>
                <w10:wrap type="square"/>
              </v:shape>
            </w:pict>
          </mc:Fallback>
        </mc:AlternateContent>
      </w:r>
    </w:p>
    <w:p w14:paraId="77EC264B" w14:textId="0BAC3152" w:rsidR="0028577D" w:rsidRPr="00BD4325" w:rsidRDefault="00BC5604" w:rsidP="0028577D">
      <w:pPr>
        <w:rPr>
          <w:rFonts w:ascii="Times New Roman" w:hAnsi="Times New Roman" w:cs="Times New Roman"/>
          <w:sz w:val="24"/>
          <w:szCs w:val="24"/>
        </w:rPr>
      </w:pPr>
      <w:r>
        <w:rPr>
          <w:rFonts w:ascii="Times New Roman" w:hAnsi="Times New Roman" w:cs="Times New Roman"/>
          <w:b/>
          <w:sz w:val="24"/>
          <w:szCs w:val="24"/>
        </w:rPr>
        <w:t>Figure 5</w:t>
      </w:r>
      <w:r w:rsidR="0028577D" w:rsidRPr="00BD4325">
        <w:rPr>
          <w:rFonts w:ascii="Times New Roman" w:hAnsi="Times New Roman" w:cs="Times New Roman"/>
          <w:b/>
          <w:sz w:val="24"/>
          <w:szCs w:val="24"/>
        </w:rPr>
        <w:t xml:space="preserve">:  </w:t>
      </w:r>
      <w:r w:rsidR="0028577D" w:rsidRPr="00BD4325">
        <w:rPr>
          <w:rFonts w:ascii="Times New Roman" w:hAnsi="Times New Roman" w:cs="Times New Roman"/>
          <w:sz w:val="24"/>
          <w:szCs w:val="24"/>
        </w:rPr>
        <w:t>Amount of metal measured in the biological samples standardized to the amount of organic carbon measured within the same respective sample.  The y-axis is on a logarithmic scale.</w:t>
      </w:r>
    </w:p>
    <w:p w14:paraId="19E17EF5" w14:textId="77777777" w:rsidR="0028577D" w:rsidRDefault="0028577D"/>
    <w:p w14:paraId="7AD03A38" w14:textId="77777777" w:rsidR="0028577D" w:rsidRDefault="0028577D"/>
    <w:p w14:paraId="7767BF5D" w14:textId="77777777" w:rsidR="0028577D" w:rsidRDefault="0028577D"/>
    <w:p w14:paraId="62255815" w14:textId="77777777" w:rsidR="0028577D" w:rsidRDefault="0028577D"/>
    <w:p w14:paraId="4DB0FCDD" w14:textId="77777777" w:rsidR="0028577D" w:rsidRPr="0028577D" w:rsidRDefault="0028577D"/>
    <w:p w14:paraId="0AB2A62F" w14:textId="04404B8C" w:rsidR="005D49AF" w:rsidRPr="0088191F" w:rsidRDefault="008A14B1" w:rsidP="005D49AF">
      <w:pPr>
        <w:rPr>
          <w:rFonts w:ascii="Times New Roman" w:hAnsi="Times New Roman" w:cs="Times New Roman"/>
          <w:b/>
          <w:sz w:val="24"/>
          <w:szCs w:val="24"/>
        </w:rPr>
      </w:pPr>
      <w:r>
        <w:rPr>
          <w:noProof/>
        </w:rPr>
        <w:lastRenderedPageBreak/>
        <mc:AlternateContent>
          <mc:Choice Requires="wpg">
            <w:drawing>
              <wp:inline distT="0" distB="0" distL="0" distR="0" wp14:anchorId="6AA955C7" wp14:editId="076E2BA6">
                <wp:extent cx="5943600" cy="4338320"/>
                <wp:effectExtent l="0" t="0" r="25400" b="30480"/>
                <wp:docPr id="153" name="Group 6"/>
                <wp:cNvGraphicFramePr/>
                <a:graphic xmlns:a="http://schemas.openxmlformats.org/drawingml/2006/main">
                  <a:graphicData uri="http://schemas.microsoft.com/office/word/2010/wordprocessingGroup">
                    <wpg:wgp>
                      <wpg:cNvGrpSpPr/>
                      <wpg:grpSpPr>
                        <a:xfrm>
                          <a:off x="0" y="0"/>
                          <a:ext cx="5943600" cy="4338320"/>
                          <a:chOff x="0" y="0"/>
                          <a:chExt cx="5943600" cy="4338320"/>
                        </a:xfrm>
                      </wpg:grpSpPr>
                      <wpg:graphicFrame>
                        <wpg:cNvPr id="154" name="Chart 154"/>
                        <wpg:cNvFrPr/>
                        <wpg:xfrm>
                          <a:off x="0" y="0"/>
                          <a:ext cx="2976880" cy="2062480"/>
                        </wpg:xfrm>
                        <a:graphic>
                          <a:graphicData uri="http://schemas.openxmlformats.org/drawingml/2006/chart">
                            <c:chart xmlns:c="http://schemas.openxmlformats.org/drawingml/2006/chart" xmlns:r="http://schemas.openxmlformats.org/officeDocument/2006/relationships" r:id="rId18"/>
                          </a:graphicData>
                        </a:graphic>
                      </wpg:graphicFrame>
                      <wpg:graphicFrame>
                        <wpg:cNvPr id="155" name="Chart 155"/>
                        <wpg:cNvFrPr>
                          <a:graphicFrameLocks/>
                        </wpg:cNvFrPr>
                        <wpg:xfrm>
                          <a:off x="2987040" y="0"/>
                          <a:ext cx="2956560" cy="2092960"/>
                        </wpg:xfrm>
                        <a:graphic>
                          <a:graphicData uri="http://schemas.openxmlformats.org/drawingml/2006/chart">
                            <c:chart xmlns:c="http://schemas.openxmlformats.org/drawingml/2006/chart" xmlns:r="http://schemas.openxmlformats.org/officeDocument/2006/relationships" r:id="rId19"/>
                          </a:graphicData>
                        </a:graphic>
                      </wpg:graphicFrame>
                      <wpg:graphicFrame>
                        <wpg:cNvPr id="156" name="Chart 156"/>
                        <wpg:cNvFrPr>
                          <a:graphicFrameLocks/>
                        </wpg:cNvFrPr>
                        <wpg:xfrm>
                          <a:off x="0" y="2062480"/>
                          <a:ext cx="2987040" cy="2265680"/>
                        </wpg:xfrm>
                        <a:graphic>
                          <a:graphicData uri="http://schemas.openxmlformats.org/drawingml/2006/chart">
                            <c:chart xmlns:c="http://schemas.openxmlformats.org/drawingml/2006/chart" xmlns:r="http://schemas.openxmlformats.org/officeDocument/2006/relationships" r:id="rId20"/>
                          </a:graphicData>
                        </a:graphic>
                      </wpg:graphicFrame>
                      <wpg:graphicFrame>
                        <wpg:cNvPr id="157" name="Chart 157"/>
                        <wpg:cNvFrPr>
                          <a:graphicFrameLocks/>
                        </wpg:cNvFrPr>
                        <wpg:xfrm>
                          <a:off x="2987040" y="2062480"/>
                          <a:ext cx="2956560" cy="2275840"/>
                        </wpg:xfrm>
                        <a:graphic>
                          <a:graphicData uri="http://schemas.openxmlformats.org/drawingml/2006/chart">
                            <c:chart xmlns:c="http://schemas.openxmlformats.org/drawingml/2006/chart" xmlns:r="http://schemas.openxmlformats.org/officeDocument/2006/relationships" r:id="rId21"/>
                          </a:graphicData>
                        </a:graphic>
                      </wpg:graphicFrame>
                    </wpg:wgp>
                  </a:graphicData>
                </a:graphic>
              </wp:inline>
            </w:drawing>
          </mc:Choice>
          <mc:Fallback>
            <w:pict>
              <v:group w14:anchorId="054759E9" id="Group 6" o:spid="_x0000_s1026" style="width:468pt;height:341.6pt;mso-position-horizontal-relative:char;mso-position-vertical-relative:line" coordsize="59436,43383" o:gfxdata="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hart 154" o:spid="_x0000_s1027" type="#_x0000_t75" style="position:absolute;left:-60;top:-60;width:29869;height:2072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">
                  <v:imagedata r:id="rId22" o:title=""/>
                  <o:lock v:ext="edit" aspectratio="f"/>
                </v:shape>
                <v:shape id="Chart 155" o:spid="_x0000_s1028" type="#_x0000_t75" style="position:absolute;left:29809;top:-60;width:29687;height:2103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">
                  <v:imagedata r:id="rId23" o:title=""/>
                  <o:lock v:ext="edit" aspectratio="f"/>
                </v:shape>
                <v:shape id="Chart 156" o:spid="_x0000_s1029" type="#_x0000_t75" style="position:absolute;left:-60;top:20543;width:29991;height:22799;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">
                  <v:imagedata r:id="rId24" o:title=""/>
                  <o:lock v:ext="edit" aspectratio="f"/>
                </v:shape>
                <v:shape id="Chart 157" o:spid="_x0000_s1030" type="#_x0000_t75" style="position:absolute;left:29809;top:20543;width:29687;height:2292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">
                  <v:imagedata r:id="rId25" o:title=""/>
                  <o:lock v:ext="edit" aspectratio="f"/>
                </v:shape>
                <w10:anchorlock/>
              </v:group>
            </w:pict>
          </mc:Fallback>
        </mc:AlternateContent>
      </w:r>
      <w:r w:rsidR="00BC5604">
        <w:rPr>
          <w:rFonts w:ascii="Times New Roman" w:hAnsi="Times New Roman" w:cs="Times New Roman"/>
          <w:b/>
          <w:sz w:val="24"/>
          <w:szCs w:val="24"/>
        </w:rPr>
        <w:t>Figure 6</w:t>
      </w:r>
      <w:r w:rsidR="005D49AF" w:rsidRPr="0088191F">
        <w:rPr>
          <w:rFonts w:ascii="Times New Roman" w:hAnsi="Times New Roman" w:cs="Times New Roman"/>
          <w:b/>
          <w:sz w:val="24"/>
          <w:szCs w:val="24"/>
        </w:rPr>
        <w:t xml:space="preserve">: </w:t>
      </w:r>
      <w:r w:rsidR="005D49AF" w:rsidRPr="0088191F">
        <w:rPr>
          <w:rFonts w:ascii="Times New Roman" w:hAnsi="Times New Roman" w:cs="Times New Roman"/>
          <w:sz w:val="24"/>
          <w:szCs w:val="24"/>
        </w:rPr>
        <w:t>Percentages of various grain-sizes within the surface sediment samples at all four stations.</w:t>
      </w:r>
      <w:r w:rsidR="005D49AF" w:rsidRPr="0088191F">
        <w:rPr>
          <w:rFonts w:ascii="Times New Roman" w:hAnsi="Times New Roman" w:cs="Times New Roman"/>
          <w:b/>
          <w:sz w:val="24"/>
          <w:szCs w:val="24"/>
        </w:rPr>
        <w:t xml:space="preserve">  </w:t>
      </w:r>
    </w:p>
    <w:p w14:paraId="6E0214D5" w14:textId="77777777" w:rsidR="00E604AD" w:rsidRDefault="00E604AD" w:rsidP="005D49AF">
      <w:pPr>
        <w:rPr>
          <w:b/>
        </w:rPr>
      </w:pPr>
    </w:p>
    <w:p w14:paraId="60E60FA9" w14:textId="4FAC9248" w:rsidR="00E604AD" w:rsidRDefault="00E604AD" w:rsidP="005D49AF">
      <w:pPr>
        <w:rPr>
          <w:b/>
        </w:rPr>
      </w:pPr>
    </w:p>
    <w:p w14:paraId="74F3AFF7" w14:textId="77777777" w:rsidR="00E604AD" w:rsidRDefault="00E604AD" w:rsidP="005D49AF">
      <w:pPr>
        <w:rPr>
          <w:b/>
        </w:rPr>
      </w:pPr>
    </w:p>
    <w:p w14:paraId="153E3EE8" w14:textId="77777777" w:rsidR="00E604AD" w:rsidRDefault="00E604AD" w:rsidP="005D49AF">
      <w:pPr>
        <w:rPr>
          <w:b/>
        </w:rPr>
      </w:pPr>
    </w:p>
    <w:p w14:paraId="288D3687" w14:textId="77777777" w:rsidR="008A14B1" w:rsidRDefault="008A14B1" w:rsidP="005D49AF">
      <w:pPr>
        <w:rPr>
          <w:b/>
        </w:rPr>
      </w:pPr>
    </w:p>
    <w:p w14:paraId="10000E8B" w14:textId="77777777" w:rsidR="00E604AD" w:rsidRDefault="00E604AD" w:rsidP="005D49AF">
      <w:pPr>
        <w:rPr>
          <w:b/>
        </w:rPr>
      </w:pPr>
    </w:p>
    <w:p w14:paraId="6D3AB02D" w14:textId="77777777" w:rsidR="00E604AD" w:rsidRDefault="00E604AD" w:rsidP="005D49AF">
      <w:pPr>
        <w:rPr>
          <w:b/>
        </w:rPr>
      </w:pPr>
    </w:p>
    <w:p w14:paraId="7F85ABB3" w14:textId="77777777" w:rsidR="00E604AD" w:rsidRDefault="00E604AD" w:rsidP="005D49AF">
      <w:pPr>
        <w:rPr>
          <w:b/>
        </w:rPr>
      </w:pPr>
    </w:p>
    <w:p w14:paraId="4618EDE2" w14:textId="77777777" w:rsidR="00E604AD" w:rsidRDefault="00E604AD" w:rsidP="005D49AF">
      <w:pPr>
        <w:rPr>
          <w:b/>
        </w:rPr>
      </w:pPr>
    </w:p>
    <w:p w14:paraId="456ADAAE" w14:textId="77777777" w:rsidR="00E604AD" w:rsidRDefault="00E604AD" w:rsidP="005D49AF">
      <w:pPr>
        <w:rPr>
          <w:b/>
        </w:rPr>
      </w:pPr>
    </w:p>
    <w:p w14:paraId="43B2944F" w14:textId="77777777" w:rsidR="00E604AD" w:rsidRDefault="00E604AD" w:rsidP="005D49AF">
      <w:pPr>
        <w:rPr>
          <w:b/>
        </w:rPr>
      </w:pPr>
    </w:p>
    <w:p w14:paraId="5622EF2C" w14:textId="77777777" w:rsidR="00E604AD" w:rsidRPr="005D49AF" w:rsidRDefault="00E604AD" w:rsidP="005D49AF">
      <w:pPr>
        <w:rPr>
          <w:rFonts w:ascii="Times New Roman" w:hAnsi="Times New Roman" w:cs="Times New Roman"/>
          <w:sz w:val="24"/>
          <w:szCs w:val="24"/>
        </w:rPr>
      </w:pPr>
    </w:p>
    <w:p w14:paraId="26E4CF9E" w14:textId="275D0C1D" w:rsidR="004D3479" w:rsidRDefault="00E604AD">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5B7A609B" wp14:editId="3E73A46E">
                <wp:simplePos x="0" y="0"/>
                <wp:positionH relativeFrom="column">
                  <wp:posOffset>114300</wp:posOffset>
                </wp:positionH>
                <wp:positionV relativeFrom="paragraph">
                  <wp:posOffset>103505</wp:posOffset>
                </wp:positionV>
                <wp:extent cx="5143500" cy="3086100"/>
                <wp:effectExtent l="0" t="0" r="0" b="12700"/>
                <wp:wrapSquare wrapText="bothSides"/>
                <wp:docPr id="17" name="Text Box 17"/>
                <wp:cNvGraphicFramePr/>
                <a:graphic xmlns:a="http://schemas.openxmlformats.org/drawingml/2006/main">
                  <a:graphicData uri="http://schemas.microsoft.com/office/word/2010/wordprocessingShape">
                    <wps:wsp>
                      <wps:cNvSpPr txBox="1"/>
                      <wps:spPr>
                        <a:xfrm>
                          <a:off x="0" y="0"/>
                          <a:ext cx="5143500" cy="30861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1EC79FB8" w14:textId="7F7B1233" w:rsidR="007E349F" w:rsidRDefault="007E349F">
                            <w:r>
                              <w:rPr>
                                <w:noProof/>
                              </w:rPr>
                              <w:drawing>
                                <wp:inline distT="0" distB="0" distL="0" distR="0" wp14:anchorId="2F761A20" wp14:editId="2EA05C34">
                                  <wp:extent cx="4960620" cy="3106703"/>
                                  <wp:effectExtent l="0" t="0" r="17780" b="1778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7A609B" id="Text Box 17" o:spid="_x0000_s1044" type="#_x0000_t202" style="position:absolute;margin-left:9pt;margin-top:8.15pt;width:405pt;height:24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" filled="f" stroked="f">
                <v:textbox>
                  <w:txbxContent>
                    <w:p w14:paraId="1EC79FB8" w14:textId="7F7B1233" w:rsidR="007E349F" w:rsidRDefault="007E349F">
                      <w:r>
                        <w:rPr>
                          <w:noProof/>
                        </w:rPr>
                        <w:drawing>
                          <wp:inline distT="0" distB="0" distL="0" distR="0" wp14:anchorId="2F761A20" wp14:editId="2EA05C34">
                            <wp:extent cx="4960620" cy="3106703"/>
                            <wp:effectExtent l="0" t="0" r="17780" b="1778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xbxContent>
                </v:textbox>
                <w10:wrap type="square"/>
              </v:shape>
            </w:pict>
          </mc:Fallback>
        </mc:AlternateContent>
      </w:r>
    </w:p>
    <w:p w14:paraId="32FDA748" w14:textId="2AC17C54" w:rsidR="004D3479" w:rsidRDefault="004D3479">
      <w:pPr>
        <w:rPr>
          <w:rFonts w:ascii="Times New Roman" w:hAnsi="Times New Roman" w:cs="Times New Roman"/>
          <w:sz w:val="24"/>
          <w:szCs w:val="24"/>
        </w:rPr>
      </w:pPr>
    </w:p>
    <w:p w14:paraId="4807488D" w14:textId="77777777" w:rsidR="004D3479" w:rsidRDefault="004D3479">
      <w:pPr>
        <w:rPr>
          <w:rFonts w:ascii="Times New Roman" w:hAnsi="Times New Roman" w:cs="Times New Roman"/>
          <w:sz w:val="24"/>
          <w:szCs w:val="24"/>
        </w:rPr>
      </w:pPr>
    </w:p>
    <w:p w14:paraId="287D437E" w14:textId="77777777" w:rsidR="004D3479" w:rsidRDefault="004D3479">
      <w:pPr>
        <w:rPr>
          <w:rFonts w:ascii="Times New Roman" w:hAnsi="Times New Roman" w:cs="Times New Roman"/>
          <w:sz w:val="24"/>
          <w:szCs w:val="24"/>
        </w:rPr>
      </w:pPr>
    </w:p>
    <w:p w14:paraId="63490FB5" w14:textId="77777777" w:rsidR="00E604AD" w:rsidRDefault="00E604AD">
      <w:pPr>
        <w:rPr>
          <w:rFonts w:ascii="Times New Roman" w:hAnsi="Times New Roman" w:cs="Times New Roman"/>
          <w:sz w:val="24"/>
          <w:szCs w:val="24"/>
        </w:rPr>
      </w:pPr>
    </w:p>
    <w:p w14:paraId="04EC864C" w14:textId="77777777" w:rsidR="00E604AD" w:rsidRDefault="00E604AD">
      <w:pPr>
        <w:rPr>
          <w:rFonts w:ascii="Times New Roman" w:hAnsi="Times New Roman" w:cs="Times New Roman"/>
          <w:sz w:val="24"/>
          <w:szCs w:val="24"/>
        </w:rPr>
      </w:pPr>
    </w:p>
    <w:p w14:paraId="00E8C889" w14:textId="77777777" w:rsidR="00E604AD" w:rsidRDefault="00E604AD">
      <w:pPr>
        <w:rPr>
          <w:rFonts w:ascii="Times New Roman" w:hAnsi="Times New Roman" w:cs="Times New Roman"/>
          <w:sz w:val="24"/>
          <w:szCs w:val="24"/>
        </w:rPr>
      </w:pPr>
    </w:p>
    <w:p w14:paraId="7D61E8B6" w14:textId="77777777" w:rsidR="00E604AD" w:rsidRDefault="00E604AD">
      <w:pPr>
        <w:rPr>
          <w:rFonts w:ascii="Times New Roman" w:hAnsi="Times New Roman" w:cs="Times New Roman"/>
          <w:sz w:val="24"/>
          <w:szCs w:val="24"/>
        </w:rPr>
      </w:pPr>
    </w:p>
    <w:p w14:paraId="3029901F" w14:textId="77777777" w:rsidR="00E604AD" w:rsidRDefault="00E604AD">
      <w:pPr>
        <w:rPr>
          <w:rFonts w:ascii="Times New Roman" w:hAnsi="Times New Roman" w:cs="Times New Roman"/>
          <w:sz w:val="24"/>
          <w:szCs w:val="24"/>
        </w:rPr>
      </w:pPr>
    </w:p>
    <w:p w14:paraId="458AB9F9" w14:textId="77777777" w:rsidR="00E604AD" w:rsidRDefault="00E604AD">
      <w:pPr>
        <w:rPr>
          <w:rFonts w:ascii="Times New Roman" w:hAnsi="Times New Roman" w:cs="Times New Roman"/>
          <w:sz w:val="24"/>
          <w:szCs w:val="24"/>
        </w:rPr>
      </w:pPr>
    </w:p>
    <w:p w14:paraId="760D4E96" w14:textId="77777777" w:rsidR="00E604AD" w:rsidRDefault="00E604AD">
      <w:pPr>
        <w:rPr>
          <w:rFonts w:ascii="Times New Roman" w:hAnsi="Times New Roman" w:cs="Times New Roman"/>
          <w:sz w:val="24"/>
          <w:szCs w:val="24"/>
        </w:rPr>
      </w:pPr>
    </w:p>
    <w:p w14:paraId="778CB51E" w14:textId="77777777" w:rsidR="00E604AD" w:rsidRDefault="00E604AD" w:rsidP="00E604AD">
      <w:pPr>
        <w:jc w:val="both"/>
        <w:rPr>
          <w:rFonts w:ascii="Times New Roman" w:hAnsi="Times New Roman" w:cs="Times New Roman"/>
          <w:sz w:val="24"/>
          <w:szCs w:val="24"/>
        </w:rPr>
      </w:pPr>
    </w:p>
    <w:p w14:paraId="53E352AA" w14:textId="3B1A75DC" w:rsidR="00E604AD" w:rsidRPr="0088191F" w:rsidRDefault="00BC5604" w:rsidP="00E604AD">
      <w:pPr>
        <w:rPr>
          <w:rFonts w:ascii="Times New Roman" w:hAnsi="Times New Roman" w:cs="Times New Roman"/>
          <w:sz w:val="24"/>
          <w:szCs w:val="24"/>
        </w:rPr>
      </w:pPr>
      <w:r>
        <w:rPr>
          <w:rFonts w:ascii="Times New Roman" w:hAnsi="Times New Roman" w:cs="Times New Roman"/>
          <w:b/>
          <w:sz w:val="24"/>
          <w:szCs w:val="24"/>
        </w:rPr>
        <w:t>Figure 7</w:t>
      </w:r>
      <w:r w:rsidR="00E604AD" w:rsidRPr="0088191F">
        <w:rPr>
          <w:rFonts w:ascii="Times New Roman" w:hAnsi="Times New Roman" w:cs="Times New Roman"/>
          <w:b/>
          <w:sz w:val="24"/>
          <w:szCs w:val="24"/>
        </w:rPr>
        <w:t xml:space="preserve">: </w:t>
      </w:r>
      <w:r w:rsidR="00E604AD" w:rsidRPr="0088191F">
        <w:rPr>
          <w:rFonts w:ascii="Times New Roman" w:hAnsi="Times New Roman" w:cs="Times New Roman"/>
          <w:sz w:val="24"/>
          <w:szCs w:val="24"/>
        </w:rPr>
        <w:t>The graphical result of the sediment Principal Component Analysis (PCA) plotted on Axis 1 and Axis 2.  This PCA considered the D50 values from the grain-size analysis, as well as the EFs of elements found within the surface sediments, excluding Pb and Ag.  Any elements with ND as a concentration were assigned an EF value of 0.001, below all detection limits listed in Table III.  Any elements with TR as a concentration were assigned an EF value that was the midpoint between the detection and quantitative limits for that respective element, as shown in Table III.   The concentrations assigned to Pb and Ag had no variation between sites, and could therefore not be run in the PCA.</w:t>
      </w:r>
    </w:p>
    <w:p w14:paraId="0D086A3D" w14:textId="77777777" w:rsidR="00C74868" w:rsidRDefault="00C74868" w:rsidP="00E604AD"/>
    <w:p w14:paraId="16E06FA1" w14:textId="77777777" w:rsidR="00C74868" w:rsidRDefault="00C74868" w:rsidP="00E604AD"/>
    <w:p w14:paraId="550D8EE4" w14:textId="77777777" w:rsidR="00C74868" w:rsidRDefault="00C74868" w:rsidP="00E604AD"/>
    <w:p w14:paraId="042FAEC0" w14:textId="77777777" w:rsidR="00C74868" w:rsidRDefault="00C74868" w:rsidP="00E604AD"/>
    <w:p w14:paraId="344FC122" w14:textId="77777777" w:rsidR="00C74868" w:rsidRDefault="00C74868" w:rsidP="00E604AD"/>
    <w:p w14:paraId="72B116D5" w14:textId="77777777" w:rsidR="00C74868" w:rsidRDefault="00C74868" w:rsidP="00E604AD"/>
    <w:p w14:paraId="0EC5CF49" w14:textId="77777777" w:rsidR="00C74868" w:rsidRDefault="00C74868" w:rsidP="00E604AD"/>
    <w:p w14:paraId="55ADD831" w14:textId="77777777" w:rsidR="00C74868" w:rsidRDefault="00C74868" w:rsidP="00E604AD"/>
    <w:p w14:paraId="094BC43E" w14:textId="77777777" w:rsidR="00C74868" w:rsidRDefault="00C74868" w:rsidP="00E604AD"/>
    <w:p w14:paraId="1BED4756" w14:textId="77777777" w:rsidR="00C74868" w:rsidRDefault="00C74868" w:rsidP="00E604AD"/>
    <w:p w14:paraId="6B7FABC3" w14:textId="77777777" w:rsidR="00C74868" w:rsidRPr="00E12935" w:rsidRDefault="00C74868" w:rsidP="00E604AD"/>
    <w:p w14:paraId="6C0D3E00" w14:textId="455FFF57" w:rsidR="00E604AD" w:rsidRDefault="00C74868">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0ED374EA" wp14:editId="6178C340">
                <wp:simplePos x="0" y="0"/>
                <wp:positionH relativeFrom="column">
                  <wp:posOffset>0</wp:posOffset>
                </wp:positionH>
                <wp:positionV relativeFrom="paragraph">
                  <wp:posOffset>253365</wp:posOffset>
                </wp:positionV>
                <wp:extent cx="5486400" cy="3518535"/>
                <wp:effectExtent l="0" t="0" r="0" b="12065"/>
                <wp:wrapSquare wrapText="bothSides"/>
                <wp:docPr id="19" name="Text Box 19"/>
                <wp:cNvGraphicFramePr/>
                <a:graphic xmlns:a="http://schemas.openxmlformats.org/drawingml/2006/main">
                  <a:graphicData uri="http://schemas.microsoft.com/office/word/2010/wordprocessingShape">
                    <wps:wsp>
                      <wps:cNvSpPr txBox="1"/>
                      <wps:spPr>
                        <a:xfrm>
                          <a:off x="0" y="0"/>
                          <a:ext cx="5486400" cy="3518535"/>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058C9C62" w14:textId="5A26A1AD" w:rsidR="007E349F" w:rsidRDefault="007E349F">
                            <w:r>
                              <w:rPr>
                                <w:noProof/>
                              </w:rPr>
                              <w:drawing>
                                <wp:inline distT="0" distB="0" distL="0" distR="0" wp14:anchorId="171551C7" wp14:editId="44D1FB7A">
                                  <wp:extent cx="5303520" cy="3321452"/>
                                  <wp:effectExtent l="0" t="0" r="30480" b="31750"/>
                                  <wp:docPr id="158" name="Chart 15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ED374EA" id="Text Box 19" o:spid="_x0000_s1045" type="#_x0000_t202" style="position:absolute;margin-left:0;margin-top:19.95pt;width:6in;height:277.0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" filled="f" stroked="f">
                <v:textbox>
                  <w:txbxContent>
                    <w:p w14:paraId="058C9C62" w14:textId="5A26A1AD" w:rsidR="007E349F" w:rsidRDefault="007E349F">
                      <w:r>
                        <w:rPr>
                          <w:noProof/>
                        </w:rPr>
                        <w:drawing>
                          <wp:inline distT="0" distB="0" distL="0" distR="0" wp14:anchorId="171551C7" wp14:editId="44D1FB7A">
                            <wp:extent cx="5303520" cy="3321452"/>
                            <wp:effectExtent l="0" t="0" r="30480" b="31750"/>
                            <wp:docPr id="158" name="Chart 15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xbxContent>
                </v:textbox>
                <w10:wrap type="square"/>
              </v:shape>
            </w:pict>
          </mc:Fallback>
        </mc:AlternateContent>
      </w:r>
    </w:p>
    <w:p w14:paraId="53107AD0" w14:textId="77777777" w:rsidR="00E604AD" w:rsidRDefault="00E604AD">
      <w:pPr>
        <w:rPr>
          <w:rFonts w:ascii="Times New Roman" w:hAnsi="Times New Roman" w:cs="Times New Roman"/>
          <w:sz w:val="24"/>
          <w:szCs w:val="24"/>
        </w:rPr>
      </w:pPr>
    </w:p>
    <w:p w14:paraId="3A445E4C" w14:textId="77777777" w:rsidR="00E604AD" w:rsidRDefault="00E604AD">
      <w:pPr>
        <w:rPr>
          <w:rFonts w:ascii="Times New Roman" w:hAnsi="Times New Roman" w:cs="Times New Roman"/>
          <w:sz w:val="24"/>
          <w:szCs w:val="24"/>
        </w:rPr>
      </w:pPr>
    </w:p>
    <w:p w14:paraId="6BE25031" w14:textId="77777777" w:rsidR="00E604AD" w:rsidRDefault="00E604AD">
      <w:pPr>
        <w:rPr>
          <w:rFonts w:ascii="Times New Roman" w:hAnsi="Times New Roman" w:cs="Times New Roman"/>
          <w:sz w:val="24"/>
          <w:szCs w:val="24"/>
        </w:rPr>
      </w:pPr>
    </w:p>
    <w:p w14:paraId="68930D24" w14:textId="77777777" w:rsidR="004D3479" w:rsidRDefault="004D3479">
      <w:pPr>
        <w:rPr>
          <w:rFonts w:ascii="Times New Roman" w:hAnsi="Times New Roman" w:cs="Times New Roman"/>
          <w:sz w:val="24"/>
          <w:szCs w:val="24"/>
        </w:rPr>
      </w:pPr>
    </w:p>
    <w:p w14:paraId="6C6C0C25" w14:textId="77777777" w:rsidR="004D3479" w:rsidRDefault="004D3479">
      <w:pPr>
        <w:rPr>
          <w:rFonts w:ascii="Times New Roman" w:hAnsi="Times New Roman" w:cs="Times New Roman"/>
          <w:sz w:val="24"/>
          <w:szCs w:val="24"/>
        </w:rPr>
      </w:pPr>
    </w:p>
    <w:p w14:paraId="081AE121" w14:textId="77777777" w:rsidR="004D3479" w:rsidRDefault="004D3479">
      <w:pPr>
        <w:rPr>
          <w:rFonts w:ascii="Times New Roman" w:hAnsi="Times New Roman" w:cs="Times New Roman"/>
          <w:sz w:val="24"/>
          <w:szCs w:val="24"/>
        </w:rPr>
      </w:pPr>
    </w:p>
    <w:p w14:paraId="0A3B61DE" w14:textId="77777777" w:rsidR="004D3479" w:rsidRDefault="004D3479">
      <w:pPr>
        <w:rPr>
          <w:rFonts w:ascii="Times New Roman" w:hAnsi="Times New Roman" w:cs="Times New Roman"/>
          <w:sz w:val="24"/>
          <w:szCs w:val="24"/>
        </w:rPr>
      </w:pPr>
    </w:p>
    <w:p w14:paraId="3AB43C57" w14:textId="77777777" w:rsidR="00C74868" w:rsidRDefault="00C74868">
      <w:pPr>
        <w:rPr>
          <w:rFonts w:ascii="Times New Roman" w:hAnsi="Times New Roman" w:cs="Times New Roman"/>
          <w:b/>
          <w:sz w:val="24"/>
          <w:szCs w:val="24"/>
        </w:rPr>
      </w:pPr>
    </w:p>
    <w:p w14:paraId="2F7BA9D4" w14:textId="77777777" w:rsidR="00C74868" w:rsidRDefault="00C74868">
      <w:pPr>
        <w:rPr>
          <w:rFonts w:ascii="Times New Roman" w:hAnsi="Times New Roman" w:cs="Times New Roman"/>
          <w:b/>
          <w:sz w:val="24"/>
          <w:szCs w:val="24"/>
        </w:rPr>
      </w:pPr>
    </w:p>
    <w:p w14:paraId="362EE3C9" w14:textId="77777777" w:rsidR="00C74868" w:rsidRDefault="00C74868">
      <w:pPr>
        <w:rPr>
          <w:rFonts w:ascii="Times New Roman" w:hAnsi="Times New Roman" w:cs="Times New Roman"/>
          <w:b/>
          <w:sz w:val="24"/>
          <w:szCs w:val="24"/>
        </w:rPr>
      </w:pPr>
    </w:p>
    <w:p w14:paraId="3FE57195" w14:textId="77777777" w:rsidR="00C74868" w:rsidRDefault="00C74868">
      <w:pPr>
        <w:rPr>
          <w:rFonts w:ascii="Times New Roman" w:hAnsi="Times New Roman" w:cs="Times New Roman"/>
          <w:b/>
          <w:sz w:val="24"/>
          <w:szCs w:val="24"/>
        </w:rPr>
      </w:pPr>
    </w:p>
    <w:p w14:paraId="40F1D286" w14:textId="77777777" w:rsidR="00F411F6" w:rsidRDefault="00F411F6" w:rsidP="00A934EE">
      <w:pPr>
        <w:rPr>
          <w:rFonts w:ascii="Times New Roman" w:hAnsi="Times New Roman" w:cs="Times New Roman"/>
          <w:b/>
          <w:sz w:val="24"/>
          <w:szCs w:val="24"/>
        </w:rPr>
      </w:pPr>
    </w:p>
    <w:p w14:paraId="182634A0" w14:textId="77777777" w:rsidR="00F411F6" w:rsidRDefault="00F411F6" w:rsidP="00A934EE">
      <w:pPr>
        <w:rPr>
          <w:rFonts w:ascii="Times New Roman" w:hAnsi="Times New Roman" w:cs="Times New Roman"/>
          <w:b/>
          <w:sz w:val="24"/>
          <w:szCs w:val="24"/>
        </w:rPr>
      </w:pPr>
    </w:p>
    <w:p w14:paraId="514EE281" w14:textId="03075400" w:rsidR="00A934EE" w:rsidRPr="0088191F" w:rsidRDefault="00A934EE" w:rsidP="00A934EE">
      <w:pPr>
        <w:rPr>
          <w:rFonts w:ascii="Times New Roman" w:hAnsi="Times New Roman" w:cs="Times New Roman"/>
          <w:sz w:val="24"/>
          <w:szCs w:val="24"/>
        </w:rPr>
      </w:pPr>
      <w:r w:rsidRPr="0088191F">
        <w:rPr>
          <w:rFonts w:ascii="Times New Roman" w:hAnsi="Times New Roman" w:cs="Times New Roman"/>
          <w:b/>
          <w:sz w:val="24"/>
          <w:szCs w:val="24"/>
        </w:rPr>
        <w:t>Fi</w:t>
      </w:r>
      <w:r w:rsidR="00BC5604">
        <w:rPr>
          <w:rFonts w:ascii="Times New Roman" w:hAnsi="Times New Roman" w:cs="Times New Roman"/>
          <w:b/>
          <w:sz w:val="24"/>
          <w:szCs w:val="24"/>
        </w:rPr>
        <w:t>gure 8</w:t>
      </w:r>
      <w:r w:rsidRPr="0088191F">
        <w:rPr>
          <w:rFonts w:ascii="Times New Roman" w:hAnsi="Times New Roman" w:cs="Times New Roman"/>
          <w:b/>
          <w:sz w:val="24"/>
          <w:szCs w:val="24"/>
        </w:rPr>
        <w:t xml:space="preserve">: </w:t>
      </w:r>
      <w:r w:rsidRPr="0088191F">
        <w:rPr>
          <w:rFonts w:ascii="Times New Roman" w:hAnsi="Times New Roman" w:cs="Times New Roman"/>
          <w:sz w:val="24"/>
          <w:szCs w:val="24"/>
        </w:rPr>
        <w:t xml:space="preserve">The graphical result of the biota PCA plotted on Axis 1 and Axis 2.  This PCA considered the %Organic carbon (OC) within the biota as well as the EFs of elements found within the biological tissues, including zooplankton tissue and invertebrate tissue.  Any elements with ND as a concentration were assigned an EF value of 0.001, below all detection limits listed in Table III.  Any elements with TR as a concentration were assigned an EF value that was the midpoint between the detection and quantitative limits for that respective element, as shown in Table III.   </w:t>
      </w:r>
    </w:p>
    <w:p w14:paraId="233B7F90" w14:textId="77777777" w:rsidR="00C74868" w:rsidRDefault="00C74868">
      <w:pPr>
        <w:rPr>
          <w:rFonts w:ascii="Times New Roman" w:hAnsi="Times New Roman" w:cs="Times New Roman"/>
          <w:b/>
          <w:sz w:val="24"/>
          <w:szCs w:val="24"/>
        </w:rPr>
      </w:pPr>
    </w:p>
    <w:p w14:paraId="3C997ECB" w14:textId="77777777" w:rsidR="00C74868" w:rsidRDefault="00C74868">
      <w:pPr>
        <w:rPr>
          <w:rFonts w:ascii="Times New Roman" w:hAnsi="Times New Roman" w:cs="Times New Roman"/>
          <w:b/>
          <w:sz w:val="24"/>
          <w:szCs w:val="24"/>
        </w:rPr>
      </w:pPr>
    </w:p>
    <w:p w14:paraId="67A21686" w14:textId="77777777" w:rsidR="00C74868" w:rsidRDefault="00C74868">
      <w:pPr>
        <w:rPr>
          <w:rFonts w:ascii="Times New Roman" w:hAnsi="Times New Roman" w:cs="Times New Roman"/>
          <w:b/>
          <w:sz w:val="24"/>
          <w:szCs w:val="24"/>
        </w:rPr>
      </w:pPr>
    </w:p>
    <w:p w14:paraId="5046F848" w14:textId="77777777" w:rsidR="00C74868" w:rsidRDefault="00C74868">
      <w:pPr>
        <w:rPr>
          <w:rFonts w:ascii="Times New Roman" w:hAnsi="Times New Roman" w:cs="Times New Roman"/>
          <w:b/>
          <w:sz w:val="24"/>
          <w:szCs w:val="24"/>
        </w:rPr>
      </w:pPr>
    </w:p>
    <w:p w14:paraId="4DAFC7AF" w14:textId="77777777" w:rsidR="00C74868" w:rsidRDefault="00C74868">
      <w:pPr>
        <w:rPr>
          <w:rFonts w:ascii="Times New Roman" w:hAnsi="Times New Roman" w:cs="Times New Roman"/>
          <w:b/>
          <w:sz w:val="24"/>
          <w:szCs w:val="24"/>
        </w:rPr>
      </w:pPr>
    </w:p>
    <w:p w14:paraId="35FA3B54" w14:textId="77777777" w:rsidR="004A51D6" w:rsidRDefault="004A51D6">
      <w:pPr>
        <w:rPr>
          <w:rFonts w:ascii="Times New Roman" w:hAnsi="Times New Roman" w:cs="Times New Roman"/>
          <w:sz w:val="24"/>
          <w:szCs w:val="24"/>
        </w:rPr>
      </w:pPr>
    </w:p>
    <w:p w14:paraId="189906E4" w14:textId="34E30FC8" w:rsidR="004A51D6" w:rsidRPr="00067EBA" w:rsidRDefault="007169B6" w:rsidP="004A51D6">
      <w:pPr>
        <w:rPr>
          <w:rFonts w:ascii="Times New Roman" w:hAnsi="Times New Roman" w:cs="Times New Roman"/>
          <w:sz w:val="24"/>
          <w:szCs w:val="24"/>
        </w:rPr>
      </w:pPr>
      <w:r w:rsidRPr="00067EBA">
        <w:rPr>
          <w:noProof/>
          <w:sz w:val="24"/>
          <w:szCs w:val="24"/>
        </w:rPr>
        <mc:AlternateContent>
          <mc:Choice Requires="wpg">
            <w:drawing>
              <wp:anchor distT="0" distB="0" distL="114300" distR="114300" simplePos="0" relativeHeight="251674624" behindDoc="0" locked="0" layoutInCell="1" allowOverlap="1" wp14:anchorId="700E576D" wp14:editId="713CDFB7">
                <wp:simplePos x="0" y="0"/>
                <wp:positionH relativeFrom="column">
                  <wp:posOffset>-685800</wp:posOffset>
                </wp:positionH>
                <wp:positionV relativeFrom="paragraph">
                  <wp:posOffset>0</wp:posOffset>
                </wp:positionV>
                <wp:extent cx="7429500" cy="4000500"/>
                <wp:effectExtent l="0" t="0" r="0" b="12700"/>
                <wp:wrapThrough wrapText="bothSides">
                  <wp:wrapPolygon edited="0">
                    <wp:start x="1108" y="0"/>
                    <wp:lineTo x="222" y="960"/>
                    <wp:lineTo x="74" y="1234"/>
                    <wp:lineTo x="74" y="21531"/>
                    <wp:lineTo x="10782" y="21531"/>
                    <wp:lineTo x="21489" y="20846"/>
                    <wp:lineTo x="21342" y="11109"/>
                    <wp:lineTo x="20751" y="11109"/>
                    <wp:lineTo x="20898" y="1097"/>
                    <wp:lineTo x="20308" y="960"/>
                    <wp:lineTo x="12480" y="0"/>
                    <wp:lineTo x="1108" y="0"/>
                  </wp:wrapPolygon>
                </wp:wrapThrough>
                <wp:docPr id="43" name="Group 43"/>
                <wp:cNvGraphicFramePr/>
                <a:graphic xmlns:a="http://schemas.openxmlformats.org/drawingml/2006/main">
                  <a:graphicData uri="http://schemas.microsoft.com/office/word/2010/wordprocessingGroup">
                    <wpg:wgp>
                      <wpg:cNvGrpSpPr/>
                      <wpg:grpSpPr>
                        <a:xfrm>
                          <a:off x="0" y="0"/>
                          <a:ext cx="7429500" cy="4000500"/>
                          <a:chOff x="0" y="0"/>
                          <a:chExt cx="7429500" cy="4000500"/>
                        </a:xfrm>
                      </wpg:grpSpPr>
                      <wpg:grpSp>
                        <wpg:cNvPr id="44" name="Group 44"/>
                        <wpg:cNvGrpSpPr/>
                        <wpg:grpSpPr>
                          <a:xfrm>
                            <a:off x="0" y="0"/>
                            <a:ext cx="7429500" cy="4000500"/>
                            <a:chOff x="0" y="0"/>
                            <a:chExt cx="7429500" cy="4000500"/>
                          </a:xfrm>
                        </wpg:grpSpPr>
                        <wps:wsp>
                          <wps:cNvPr id="45" name="Text Box 45"/>
                          <wps:cNvSpPr txBox="1"/>
                          <wps:spPr>
                            <a:xfrm>
                              <a:off x="0" y="178435"/>
                              <a:ext cx="3771900" cy="2057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7A7DE792" w14:textId="77777777" w:rsidR="007E349F" w:rsidRDefault="007E349F" w:rsidP="007169B6">
                                <w:r>
                                  <w:rPr>
                                    <w:noProof/>
                                  </w:rPr>
                                  <w:drawing>
                                    <wp:inline distT="0" distB="0" distL="0" distR="0" wp14:anchorId="4B29D190" wp14:editId="1E594F2A">
                                      <wp:extent cx="3558151" cy="1672167"/>
                                      <wp:effectExtent l="0" t="0" r="0" b="4445"/>
                                      <wp:docPr id="1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559399" cy="1672753"/>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6" name="Text Box 46"/>
                          <wps:cNvSpPr txBox="1"/>
                          <wps:spPr>
                            <a:xfrm>
                              <a:off x="3771900" y="178435"/>
                              <a:ext cx="3429000" cy="1993265"/>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633ECD88" w14:textId="77777777" w:rsidR="007E349F" w:rsidRDefault="007E349F" w:rsidP="007169B6">
                                <w:r>
                                  <w:rPr>
                                    <w:noProof/>
                                  </w:rPr>
                                  <w:drawing>
                                    <wp:inline distT="0" distB="0" distL="0" distR="0" wp14:anchorId="7B5FBAFC" wp14:editId="22955AEC">
                                      <wp:extent cx="3340100" cy="1675456"/>
                                      <wp:effectExtent l="0" t="0" r="0" b="1270"/>
                                      <wp:docPr id="1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340100" cy="167545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 name="Text Box 47"/>
                          <wps:cNvSpPr txBox="1"/>
                          <wps:spPr>
                            <a:xfrm>
                              <a:off x="0" y="2171700"/>
                              <a:ext cx="3771900" cy="18288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56CDCF7F" w14:textId="77777777" w:rsidR="007E349F" w:rsidRDefault="007E349F" w:rsidP="007169B6">
                                <w:r>
                                  <w:rPr>
                                    <w:noProof/>
                                  </w:rPr>
                                  <w:drawing>
                                    <wp:inline distT="0" distB="0" distL="0" distR="0" wp14:anchorId="309E2B15" wp14:editId="3EE78657">
                                      <wp:extent cx="3568700" cy="1580802"/>
                                      <wp:effectExtent l="0" t="0" r="0" b="0"/>
                                      <wp:docPr id="14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568700" cy="1580802"/>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 name="Text Box 48"/>
                          <wps:cNvSpPr txBox="1"/>
                          <wps:spPr>
                            <a:xfrm>
                              <a:off x="3657600" y="2057400"/>
                              <a:ext cx="3771900" cy="18288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53199CE8" w14:textId="77777777" w:rsidR="007E349F" w:rsidRDefault="007E349F" w:rsidP="007169B6">
                                <w:r>
                                  <w:rPr>
                                    <w:noProof/>
                                  </w:rPr>
                                  <w:drawing>
                                    <wp:inline distT="0" distB="0" distL="0" distR="0" wp14:anchorId="18A5604D" wp14:editId="1B6C32A8">
                                      <wp:extent cx="3602807" cy="1672167"/>
                                      <wp:effectExtent l="0" t="0" r="4445" b="4445"/>
                                      <wp:docPr id="14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2807" cy="167216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 name="Text Box 49"/>
                          <wps:cNvSpPr txBox="1"/>
                          <wps:spPr>
                            <a:xfrm>
                              <a:off x="342900" y="0"/>
                              <a:ext cx="342900" cy="2286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20E011DA" w14:textId="77777777" w:rsidR="007E349F" w:rsidRPr="004303E5" w:rsidRDefault="007E349F" w:rsidP="007169B6">
                                <w:pPr>
                                  <w:rPr>
                                    <w:b/>
                                  </w:rPr>
                                </w:pPr>
                                <w:r w:rsidRPr="004303E5">
                                  <w:rPr>
                                    <w:b/>
                                  </w:rPr>
                                  <w:t xml:space="preserve">A </w:t>
                                </w:r>
                                <w:r w:rsidRPr="004303E5">
                                  <w:rPr>
                                    <w:b/>
                                    <w:noProof/>
                                  </w:rPr>
                                  <w:drawing>
                                    <wp:inline distT="0" distB="0" distL="0" distR="0" wp14:anchorId="4F19A239" wp14:editId="2571503B">
                                      <wp:extent cx="160020" cy="74270"/>
                                      <wp:effectExtent l="0" t="0" r="0" b="2540"/>
                                      <wp:docPr id="14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60020" cy="742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0" name="Text Box 50"/>
                          <wps:cNvSpPr txBox="1"/>
                          <wps:spPr>
                            <a:xfrm>
                              <a:off x="228600" y="2057400"/>
                              <a:ext cx="342900" cy="2286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071FB404" w14:textId="77777777" w:rsidR="007E349F" w:rsidRPr="004303E5" w:rsidRDefault="007E349F" w:rsidP="007169B6">
                                <w:pPr>
                                  <w:rPr>
                                    <w:b/>
                                  </w:rPr>
                                </w:pPr>
                                <w:r w:rsidRPr="004303E5">
                                  <w:rPr>
                                    <w:b/>
                                  </w:rPr>
                                  <w:t>B</w:t>
                                </w:r>
                                <w:r w:rsidRPr="004303E5">
                                  <w:rPr>
                                    <w:b/>
                                    <w:noProof/>
                                  </w:rPr>
                                  <w:drawing>
                                    <wp:inline distT="0" distB="0" distL="0" distR="0" wp14:anchorId="31FEC430" wp14:editId="15B93E15">
                                      <wp:extent cx="160020" cy="240030"/>
                                      <wp:effectExtent l="0" t="0" r="0" b="0"/>
                                      <wp:docPr id="1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60020" cy="240030"/>
                                              </a:xfrm>
                                              <a:prstGeom prst="rect">
                                                <a:avLst/>
                                              </a:prstGeom>
                                              <a:noFill/>
                                              <a:ln>
                                                <a:noFill/>
                                              </a:ln>
                                            </pic:spPr>
                                          </pic:pic>
                                        </a:graphicData>
                                      </a:graphic>
                                    </wp:inline>
                                  </w:drawing>
                                </w:r>
                              </w:p>
                              <w:p w14:paraId="6649A2FD" w14:textId="77777777" w:rsidR="007E349F" w:rsidRPr="004303E5" w:rsidRDefault="007E349F" w:rsidP="007169B6">
                                <w:pPr>
                                  <w:rPr>
                                    <w:b/>
                                  </w:rPr>
                                </w:pPr>
                                <w:r w:rsidRPr="004303E5">
                                  <w:rPr>
                                    <w:b/>
                                  </w:rPr>
                                  <w:t xml:space="preserve"> </w:t>
                                </w:r>
                                <w:r w:rsidRPr="004303E5">
                                  <w:rPr>
                                    <w:b/>
                                    <w:noProof/>
                                  </w:rPr>
                                  <w:drawing>
                                    <wp:inline distT="0" distB="0" distL="0" distR="0" wp14:anchorId="7E8F5A88" wp14:editId="5C91085E">
                                      <wp:extent cx="160020" cy="74270"/>
                                      <wp:effectExtent l="0" t="0" r="0" b="2540"/>
                                      <wp:docPr id="14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60020" cy="742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 name="Text Box 51"/>
                          <wps:cNvSpPr txBox="1"/>
                          <wps:spPr>
                            <a:xfrm>
                              <a:off x="4000500" y="0"/>
                              <a:ext cx="342900" cy="2286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42FAECD1" w14:textId="77777777" w:rsidR="007E349F" w:rsidRPr="004303E5" w:rsidRDefault="007E349F" w:rsidP="007169B6">
                                <w:pPr>
                                  <w:rPr>
                                    <w:b/>
                                  </w:rPr>
                                </w:pPr>
                                <w:r w:rsidRPr="004303E5">
                                  <w:rPr>
                                    <w:b/>
                                  </w:rPr>
                                  <w:t>C</w:t>
                                </w:r>
                                <w:r w:rsidRPr="004303E5">
                                  <w:rPr>
                                    <w:b/>
                                    <w:noProof/>
                                  </w:rPr>
                                  <w:drawing>
                                    <wp:inline distT="0" distB="0" distL="0" distR="0" wp14:anchorId="7577E91F" wp14:editId="143733EA">
                                      <wp:extent cx="160020" cy="240030"/>
                                      <wp:effectExtent l="0" t="0" r="0" b="0"/>
                                      <wp:docPr id="14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60020" cy="240030"/>
                                              </a:xfrm>
                                              <a:prstGeom prst="rect">
                                                <a:avLst/>
                                              </a:prstGeom>
                                              <a:noFill/>
                                              <a:ln>
                                                <a:noFill/>
                                              </a:ln>
                                            </pic:spPr>
                                          </pic:pic>
                                        </a:graphicData>
                                      </a:graphic>
                                    </wp:inline>
                                  </w:drawing>
                                </w:r>
                              </w:p>
                              <w:p w14:paraId="2F5BF2A1" w14:textId="77777777" w:rsidR="007E349F" w:rsidRPr="004303E5" w:rsidRDefault="007E349F" w:rsidP="007169B6">
                                <w:pPr>
                                  <w:rPr>
                                    <w:b/>
                                  </w:rPr>
                                </w:pPr>
                                <w:r w:rsidRPr="004303E5">
                                  <w:rPr>
                                    <w:b/>
                                  </w:rPr>
                                  <w:t xml:space="preserve"> </w:t>
                                </w:r>
                                <w:r w:rsidRPr="004303E5">
                                  <w:rPr>
                                    <w:b/>
                                    <w:noProof/>
                                  </w:rPr>
                                  <w:drawing>
                                    <wp:inline distT="0" distB="0" distL="0" distR="0" wp14:anchorId="24CF4FFB" wp14:editId="403C1DF6">
                                      <wp:extent cx="160020" cy="74270"/>
                                      <wp:effectExtent l="0" t="0" r="0" b="2540"/>
                                      <wp:docPr id="14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60020" cy="742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 name="Text Box 52"/>
                          <wps:cNvSpPr txBox="1"/>
                          <wps:spPr>
                            <a:xfrm>
                              <a:off x="4000500" y="2057400"/>
                              <a:ext cx="342900" cy="2286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5D562EAC" w14:textId="77777777" w:rsidR="007E349F" w:rsidRPr="004303E5" w:rsidRDefault="007E349F" w:rsidP="007169B6">
                                <w:pPr>
                                  <w:rPr>
                                    <w:b/>
                                  </w:rPr>
                                </w:pPr>
                                <w:r w:rsidRPr="004303E5">
                                  <w:rPr>
                                    <w:b/>
                                  </w:rPr>
                                  <w:t>D</w:t>
                                </w:r>
                              </w:p>
                              <w:p w14:paraId="4E496130" w14:textId="77777777" w:rsidR="007E349F" w:rsidRPr="004303E5" w:rsidRDefault="007E349F" w:rsidP="007169B6">
                                <w:pPr>
                                  <w:rPr>
                                    <w:b/>
                                  </w:rPr>
                                </w:pPr>
                                <w:r w:rsidRPr="004303E5">
                                  <w:rPr>
                                    <w:b/>
                                    <w:noProof/>
                                  </w:rPr>
                                  <w:drawing>
                                    <wp:inline distT="0" distB="0" distL="0" distR="0" wp14:anchorId="6EF3952F" wp14:editId="11AF30C6">
                                      <wp:extent cx="160020" cy="240030"/>
                                      <wp:effectExtent l="0" t="0" r="0" b="0"/>
                                      <wp:docPr id="14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60020" cy="240030"/>
                                              </a:xfrm>
                                              <a:prstGeom prst="rect">
                                                <a:avLst/>
                                              </a:prstGeom>
                                              <a:noFill/>
                                              <a:ln>
                                                <a:noFill/>
                                              </a:ln>
                                            </pic:spPr>
                                          </pic:pic>
                                        </a:graphicData>
                                      </a:graphic>
                                    </wp:inline>
                                  </w:drawing>
                                </w:r>
                              </w:p>
                              <w:p w14:paraId="70224D12" w14:textId="77777777" w:rsidR="007E349F" w:rsidRPr="004303E5" w:rsidRDefault="007E349F" w:rsidP="007169B6">
                                <w:pPr>
                                  <w:rPr>
                                    <w:b/>
                                  </w:rPr>
                                </w:pPr>
                                <w:r w:rsidRPr="004303E5">
                                  <w:rPr>
                                    <w:b/>
                                  </w:rPr>
                                  <w:t xml:space="preserve"> </w:t>
                                </w:r>
                                <w:r w:rsidRPr="004303E5">
                                  <w:rPr>
                                    <w:b/>
                                    <w:noProof/>
                                  </w:rPr>
                                  <w:drawing>
                                    <wp:inline distT="0" distB="0" distL="0" distR="0" wp14:anchorId="08EEE9C9" wp14:editId="508B6CEE">
                                      <wp:extent cx="160020" cy="74270"/>
                                      <wp:effectExtent l="0" t="0" r="0" b="2540"/>
                                      <wp:docPr id="14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60020" cy="742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53" name="Text Box 53"/>
                        <wps:cNvSpPr txBox="1"/>
                        <wps:spPr>
                          <a:xfrm>
                            <a:off x="5372100" y="800100"/>
                            <a:ext cx="342900" cy="3429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0FDEC70C" w14:textId="77777777" w:rsidR="007E349F" w:rsidRDefault="007E349F" w:rsidP="007169B6">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700E576D" id="Group 43" o:spid="_x0000_s1046" style="position:absolute;margin-left:-54pt;margin-top:0;width:585pt;height:315pt;z-index:251674624" coordsize="74295,40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">
                <v:group id="Group 44" o:spid="_x0000_s1047" style="position:absolute;width:74295;height:40005" coordsize="74295,400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bXrBMUAAADbAAAADwAAAGRycy9kb3ducmV2LnhtbESPT2vCQBTE70K/w/IK&#10;vdVN2rRIdBWRtvQgBZOCeHtkn0kw+zZkt/nz7V2h4HGYmd8wq81oGtFT52rLCuJ5BIK4sLrmUsFv&#10;/vm8AOE8ssbGMimYyMFm/TBbYartwAfqM1+KAGGXooLK+zaV0hUVGXRz2xIH72w7gz7IrpS6wyHA&#10;TSNfouhdGqw5LFTY0q6i4pL9GQVfAw7b1/ij31/Ou+mUv/0c9zEp9fQ4bpcgPI3+Hv5vf2sFS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G16wTFAAAA2wAA&#10;AA8AAAAAAAAAAAAAAAAAqgIAAGRycy9kb3ducmV2LnhtbFBLBQYAAAAABAAEAPoAAACcAwAAAAA=&#10;">
                  <v:shape id="Text Box 45" o:spid="_x0000_s1048" type="#_x0000_t202" style="position:absolute;top:1784;width:37719;height:205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RZfMMA&#10;AADbAAAADwAAAGRycy9kb3ducmV2LnhtbESPQWvCQBSE74L/YXmCN7NrMVLTrFJaCp5atK3Q2yP7&#10;TILZtyG7TdJ/3xUEj8PMfMPku9E2oqfO1441LBMFgrhwpuZSw9fn2+IRhA/IBhvHpOGPPOy200mO&#10;mXEDH6g/hlJECPsMNVQhtJmUvqjIok9cSxy9s+sshii7UpoOhwi3jXxQai0t1hwXKmzppaLicvy1&#10;Gr7fzz+nlfooX23aDm5Uku1Gaj2fjc9PIAKN4R6+tfdGwyqF65f4A+T2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0RZfMMAAADbAAAADwAAAAAAAAAAAAAAAACYAgAAZHJzL2Rv&#10;d25yZXYueG1sUEsFBgAAAAAEAAQA9QAAAIgDAAAAAA==&#10;" filled="f" stroked="f">
                    <v:textbox>
                      <w:txbxContent>
                        <w:p w14:paraId="7A7DE792" w14:textId="77777777" w:rsidR="007E349F" w:rsidRDefault="007E349F" w:rsidP="007169B6">
                          <w:r>
                            <w:rPr>
                              <w:noProof/>
                            </w:rPr>
                            <w:drawing>
                              <wp:inline distT="0" distB="0" distL="0" distR="0" wp14:anchorId="4B29D190" wp14:editId="1E594F2A">
                                <wp:extent cx="3558151" cy="1672167"/>
                                <wp:effectExtent l="0" t="0" r="0" b="4445"/>
                                <wp:docPr id="1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559399" cy="1672753"/>
                                        </a:xfrm>
                                        <a:prstGeom prst="rect">
                                          <a:avLst/>
                                        </a:prstGeom>
                                        <a:noFill/>
                                        <a:ln>
                                          <a:noFill/>
                                        </a:ln>
                                      </pic:spPr>
                                    </pic:pic>
                                  </a:graphicData>
                                </a:graphic>
                              </wp:inline>
                            </w:drawing>
                          </w:r>
                        </w:p>
                      </w:txbxContent>
                    </v:textbox>
                  </v:shape>
                  <v:shape id="Text Box 46" o:spid="_x0000_s1049" type="#_x0000_t202" style="position:absolute;left:37719;top:1784;width:34290;height:199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bHC8IA&#10;AADbAAAADwAAAGRycy9kb3ducmV2LnhtbESPT4vCMBTE7wt+h/CEva2Ji4pWo4iLsCdl/QfeHs2z&#10;LTYvpYm2fnsjLHgcZuY3zGzR2lLcqfaFYw39ngJBnDpTcKbhsF9/jUH4gGywdEwaHuRhMe98zDAx&#10;ruE/uu9CJiKEfYIa8hCqREqf5mTR91xFHL2Lqy2GKOtMmhqbCLel/FZqJC0WHBdyrGiVU3rd3ayG&#10;4+ZyPg3UNvuxw6pxrZJsJ1Lrz267nIII1IZ3+L/9azQMRvD6En+A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lscLwgAAANsAAAAPAAAAAAAAAAAAAAAAAJgCAABkcnMvZG93&#10;bnJldi54bWxQSwUGAAAAAAQABAD1AAAAhwMAAAAA&#10;" filled="f" stroked="f">
                    <v:textbox>
                      <w:txbxContent>
                        <w:p w14:paraId="633ECD88" w14:textId="77777777" w:rsidR="007E349F" w:rsidRDefault="007E349F" w:rsidP="007169B6">
                          <w:r>
                            <w:rPr>
                              <w:noProof/>
                            </w:rPr>
                            <w:drawing>
                              <wp:inline distT="0" distB="0" distL="0" distR="0" wp14:anchorId="7B5FBAFC" wp14:editId="22955AEC">
                                <wp:extent cx="3340100" cy="1675456"/>
                                <wp:effectExtent l="0" t="0" r="0" b="1270"/>
                                <wp:docPr id="1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340100" cy="1675456"/>
                                        </a:xfrm>
                                        <a:prstGeom prst="rect">
                                          <a:avLst/>
                                        </a:prstGeom>
                                        <a:noFill/>
                                        <a:ln>
                                          <a:noFill/>
                                        </a:ln>
                                      </pic:spPr>
                                    </pic:pic>
                                  </a:graphicData>
                                </a:graphic>
                              </wp:inline>
                            </w:drawing>
                          </w:r>
                        </w:p>
                      </w:txbxContent>
                    </v:textbox>
                  </v:shape>
                  <v:shape id="Text Box 47" o:spid="_x0000_s1050" type="#_x0000_t202" style="position:absolute;top:21717;width:37719;height:18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pikMQA&#10;AADbAAAADwAAAGRycy9kb3ducmV2LnhtbESPQWvCQBSE7wX/w/IEb7qr2FbTbESUQk8tpip4e2Sf&#10;SWj2bchuTfrvuwWhx2FmvmHSzWAbcaPO1441zGcKBHHhTM2lhuPn63QFwgdkg41j0vBDHjbZ6CHF&#10;xLieD3TLQykihH2CGqoQ2kRKX1Rk0c9cSxy9q+sshii7UpoO+wi3jVwo9SQt1hwXKmxpV1HxlX9b&#10;Daf36+W8VB/l3j62vRuUZLuWWk/Gw/YFRKAh/Ifv7TejYfkM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aYpDEAAAA2wAAAA8AAAAAAAAAAAAAAAAAmAIAAGRycy9k&#10;b3ducmV2LnhtbFBLBQYAAAAABAAEAPUAAACJAwAAAAA=&#10;" filled="f" stroked="f">
                    <v:textbox>
                      <w:txbxContent>
                        <w:p w14:paraId="56CDCF7F" w14:textId="77777777" w:rsidR="007E349F" w:rsidRDefault="007E349F" w:rsidP="007169B6">
                          <w:r>
                            <w:rPr>
                              <w:noProof/>
                            </w:rPr>
                            <w:drawing>
                              <wp:inline distT="0" distB="0" distL="0" distR="0" wp14:anchorId="309E2B15" wp14:editId="3EE78657">
                                <wp:extent cx="3568700" cy="1580802"/>
                                <wp:effectExtent l="0" t="0" r="0" b="0"/>
                                <wp:docPr id="14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568700" cy="1580802"/>
                                        </a:xfrm>
                                        <a:prstGeom prst="rect">
                                          <a:avLst/>
                                        </a:prstGeom>
                                        <a:noFill/>
                                        <a:ln>
                                          <a:noFill/>
                                        </a:ln>
                                      </pic:spPr>
                                    </pic:pic>
                                  </a:graphicData>
                                </a:graphic>
                              </wp:inline>
                            </w:drawing>
                          </w:r>
                        </w:p>
                      </w:txbxContent>
                    </v:textbox>
                  </v:shape>
                  <v:shape id="Text Box 48" o:spid="_x0000_s1051" type="#_x0000_t202" style="position:absolute;left:36576;top:20574;width:37719;height:18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X24r4A&#10;AADbAAAADwAAAGRycy9kb3ducmV2LnhtbERPy4rCMBTdC/5DuII7TRxUtBpFRoRZOfgEd5fm2hab&#10;m9JE2/n7yUJweTjv5bq1pXhR7QvHGkZDBYI4dabgTMP5tBvMQPiAbLB0TBr+yMN61e0sMTGu4QO9&#10;jiETMYR9ghryEKpESp/mZNEPXUUcuburLYYI60yaGpsYbkv5pdRUWiw4NuRY0XdO6eP4tBou+/vt&#10;Ola/2dZOqsa1SrKdS637vXazABGoDR/x2/1jNIzj2Pgl/gC5+g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FF9uK+AAAA2wAAAA8AAAAAAAAAAAAAAAAAmAIAAGRycy9kb3ducmV2&#10;LnhtbFBLBQYAAAAABAAEAPUAAACDAwAAAAA=&#10;" filled="f" stroked="f">
                    <v:textbox>
                      <w:txbxContent>
                        <w:p w14:paraId="53199CE8" w14:textId="77777777" w:rsidR="007E349F" w:rsidRDefault="007E349F" w:rsidP="007169B6">
                          <w:r>
                            <w:rPr>
                              <w:noProof/>
                            </w:rPr>
                            <w:drawing>
                              <wp:inline distT="0" distB="0" distL="0" distR="0" wp14:anchorId="18A5604D" wp14:editId="1B6C32A8">
                                <wp:extent cx="3602807" cy="1672167"/>
                                <wp:effectExtent l="0" t="0" r="4445" b="4445"/>
                                <wp:docPr id="14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2807" cy="1672167"/>
                                        </a:xfrm>
                                        <a:prstGeom prst="rect">
                                          <a:avLst/>
                                        </a:prstGeom>
                                        <a:noFill/>
                                        <a:ln>
                                          <a:noFill/>
                                        </a:ln>
                                      </pic:spPr>
                                    </pic:pic>
                                  </a:graphicData>
                                </a:graphic>
                              </wp:inline>
                            </w:drawing>
                          </w:r>
                        </w:p>
                      </w:txbxContent>
                    </v:textbox>
                  </v:shape>
                  <v:shape id="Text Box 49" o:spid="_x0000_s1052" type="#_x0000_t202" style="position:absolute;left:3429;width:3429;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lTecMA&#10;AADbAAAADwAAAGRycy9kb3ducmV2LnhtbESPzWrDMBCE74W8g9hAbrWUkpbYiWxCS6CnluYPclus&#10;jW1irYylxu7bV4VCjsPMfMOsi9G24ka9bxxrmCcKBHHpTMOVhsN++7gE4QOywdYxafghD0U+eVhj&#10;ZtzAX3TbhUpECPsMNdQhdJmUvqzJok9cRxy9i+sthij7Spoehwi3rXxS6kVabDgu1NjRa03ldfdt&#10;NRw/LufTQn1Wb/a5G9yoJNtUaj2bjpsViEBjuIf/2+9GwyKF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glTecMAAADbAAAADwAAAAAAAAAAAAAAAACYAgAAZHJzL2Rv&#10;d25yZXYueG1sUEsFBgAAAAAEAAQA9QAAAIgDAAAAAA==&#10;" filled="f" stroked="f">
                    <v:textbox>
                      <w:txbxContent>
                        <w:p w14:paraId="20E011DA" w14:textId="77777777" w:rsidR="007E349F" w:rsidRPr="004303E5" w:rsidRDefault="007E349F" w:rsidP="007169B6">
                          <w:pPr>
                            <w:rPr>
                              <w:b/>
                            </w:rPr>
                          </w:pPr>
                          <w:r w:rsidRPr="004303E5">
                            <w:rPr>
                              <w:b/>
                            </w:rPr>
                            <w:t xml:space="preserve">A </w:t>
                          </w:r>
                          <w:r w:rsidRPr="004303E5">
                            <w:rPr>
                              <w:b/>
                              <w:noProof/>
                            </w:rPr>
                            <w:drawing>
                              <wp:inline distT="0" distB="0" distL="0" distR="0" wp14:anchorId="4F19A239" wp14:editId="2571503B">
                                <wp:extent cx="160020" cy="74270"/>
                                <wp:effectExtent l="0" t="0" r="0" b="2540"/>
                                <wp:docPr id="14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60020" cy="74270"/>
                                        </a:xfrm>
                                        <a:prstGeom prst="rect">
                                          <a:avLst/>
                                        </a:prstGeom>
                                        <a:noFill/>
                                        <a:ln>
                                          <a:noFill/>
                                        </a:ln>
                                      </pic:spPr>
                                    </pic:pic>
                                  </a:graphicData>
                                </a:graphic>
                              </wp:inline>
                            </w:drawing>
                          </w:r>
                        </w:p>
                      </w:txbxContent>
                    </v:textbox>
                  </v:shape>
                  <v:shape id="Text Box 50" o:spid="_x0000_s1053" type="#_x0000_t202" style="position:absolute;left:2286;top:20574;width:3429;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psOb4A&#10;AADbAAAADwAAAGRycy9kb3ducmV2LnhtbERPy4rCMBTdD/gP4QqzGxNFRatRRBFmNeIT3F2aa1ts&#10;bkoTbefvzUJweTjv+bK1pXhS7QvHGvo9BYI4dabgTMPpuP2ZgPAB2WDpmDT8k4flovM1x8S4hvf0&#10;PIRMxBD2CWrIQ6gSKX2ak0XfcxVx5G6uthgirDNpamxiuC3lQKmxtFhwbMixonVO6f3wsBrOf7fr&#10;Zah22caOqsa1SrKdSq2/u+1qBiJQGz7it/vXaBjF9fFL/AFy8Q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rqbDm+AAAA2wAAAA8AAAAAAAAAAAAAAAAAmAIAAGRycy9kb3ducmV2&#10;LnhtbFBLBQYAAAAABAAEAPUAAACDAwAAAAA=&#10;" filled="f" stroked="f">
                    <v:textbox>
                      <w:txbxContent>
                        <w:p w14:paraId="071FB404" w14:textId="77777777" w:rsidR="007E349F" w:rsidRPr="004303E5" w:rsidRDefault="007E349F" w:rsidP="007169B6">
                          <w:pPr>
                            <w:rPr>
                              <w:b/>
                            </w:rPr>
                          </w:pPr>
                          <w:r w:rsidRPr="004303E5">
                            <w:rPr>
                              <w:b/>
                            </w:rPr>
                            <w:t>B</w:t>
                          </w:r>
                          <w:r w:rsidRPr="004303E5">
                            <w:rPr>
                              <w:b/>
                              <w:noProof/>
                            </w:rPr>
                            <w:drawing>
                              <wp:inline distT="0" distB="0" distL="0" distR="0" wp14:anchorId="31FEC430" wp14:editId="15B93E15">
                                <wp:extent cx="160020" cy="240030"/>
                                <wp:effectExtent l="0" t="0" r="0" b="0"/>
                                <wp:docPr id="1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60020" cy="240030"/>
                                        </a:xfrm>
                                        <a:prstGeom prst="rect">
                                          <a:avLst/>
                                        </a:prstGeom>
                                        <a:noFill/>
                                        <a:ln>
                                          <a:noFill/>
                                        </a:ln>
                                      </pic:spPr>
                                    </pic:pic>
                                  </a:graphicData>
                                </a:graphic>
                              </wp:inline>
                            </w:drawing>
                          </w:r>
                        </w:p>
                        <w:p w14:paraId="6649A2FD" w14:textId="77777777" w:rsidR="007E349F" w:rsidRPr="004303E5" w:rsidRDefault="007E349F" w:rsidP="007169B6">
                          <w:pPr>
                            <w:rPr>
                              <w:b/>
                            </w:rPr>
                          </w:pPr>
                          <w:r w:rsidRPr="004303E5">
                            <w:rPr>
                              <w:b/>
                            </w:rPr>
                            <w:t xml:space="preserve"> </w:t>
                          </w:r>
                          <w:r w:rsidRPr="004303E5">
                            <w:rPr>
                              <w:b/>
                              <w:noProof/>
                            </w:rPr>
                            <w:drawing>
                              <wp:inline distT="0" distB="0" distL="0" distR="0" wp14:anchorId="7E8F5A88" wp14:editId="5C91085E">
                                <wp:extent cx="160020" cy="74270"/>
                                <wp:effectExtent l="0" t="0" r="0" b="2540"/>
                                <wp:docPr id="14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60020" cy="74270"/>
                                        </a:xfrm>
                                        <a:prstGeom prst="rect">
                                          <a:avLst/>
                                        </a:prstGeom>
                                        <a:noFill/>
                                        <a:ln>
                                          <a:noFill/>
                                        </a:ln>
                                      </pic:spPr>
                                    </pic:pic>
                                  </a:graphicData>
                                </a:graphic>
                              </wp:inline>
                            </w:drawing>
                          </w:r>
                        </w:p>
                      </w:txbxContent>
                    </v:textbox>
                  </v:shape>
                  <v:shape id="Text Box 51" o:spid="_x0000_s1054" type="#_x0000_t202" style="position:absolute;left:40005;width:3429;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bJosMA&#10;AADbAAAADwAAAGRycy9kb3ducmV2LnhtbESPzWrDMBCE74W8g9hAb7XkkpTEsWJCS6CnluYPclus&#10;jW1irYylxu7bV4VCjsPMfMPkxWhbcaPeN441pIkCQVw603Cl4bDfPi1A+IBssHVMGn7IQ7GePOSY&#10;GTfwF912oRIRwj5DDXUIXSalL2uy6BPXEUfv4nqLIcq+kqbHIcJtK5+VepEWG44LNXb0WlN53X1b&#10;DcePy/k0U5/Vm513gxuVZLuUWj9Ox80KRKAx3MP/7XejYZ7C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bJosMAAADbAAAADwAAAAAAAAAAAAAAAACYAgAAZHJzL2Rv&#10;d25yZXYueG1sUEsFBgAAAAAEAAQA9QAAAIgDAAAAAA==&#10;" filled="f" stroked="f">
                    <v:textbox>
                      <w:txbxContent>
                        <w:p w14:paraId="42FAECD1" w14:textId="77777777" w:rsidR="007E349F" w:rsidRPr="004303E5" w:rsidRDefault="007E349F" w:rsidP="007169B6">
                          <w:pPr>
                            <w:rPr>
                              <w:b/>
                            </w:rPr>
                          </w:pPr>
                          <w:r w:rsidRPr="004303E5">
                            <w:rPr>
                              <w:b/>
                            </w:rPr>
                            <w:t>C</w:t>
                          </w:r>
                          <w:r w:rsidRPr="004303E5">
                            <w:rPr>
                              <w:b/>
                              <w:noProof/>
                            </w:rPr>
                            <w:drawing>
                              <wp:inline distT="0" distB="0" distL="0" distR="0" wp14:anchorId="7577E91F" wp14:editId="143733EA">
                                <wp:extent cx="160020" cy="240030"/>
                                <wp:effectExtent l="0" t="0" r="0" b="0"/>
                                <wp:docPr id="14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60020" cy="240030"/>
                                        </a:xfrm>
                                        <a:prstGeom prst="rect">
                                          <a:avLst/>
                                        </a:prstGeom>
                                        <a:noFill/>
                                        <a:ln>
                                          <a:noFill/>
                                        </a:ln>
                                      </pic:spPr>
                                    </pic:pic>
                                  </a:graphicData>
                                </a:graphic>
                              </wp:inline>
                            </w:drawing>
                          </w:r>
                        </w:p>
                        <w:p w14:paraId="2F5BF2A1" w14:textId="77777777" w:rsidR="007E349F" w:rsidRPr="004303E5" w:rsidRDefault="007E349F" w:rsidP="007169B6">
                          <w:pPr>
                            <w:rPr>
                              <w:b/>
                            </w:rPr>
                          </w:pPr>
                          <w:r w:rsidRPr="004303E5">
                            <w:rPr>
                              <w:b/>
                            </w:rPr>
                            <w:t xml:space="preserve"> </w:t>
                          </w:r>
                          <w:r w:rsidRPr="004303E5">
                            <w:rPr>
                              <w:b/>
                              <w:noProof/>
                            </w:rPr>
                            <w:drawing>
                              <wp:inline distT="0" distB="0" distL="0" distR="0" wp14:anchorId="24CF4FFB" wp14:editId="403C1DF6">
                                <wp:extent cx="160020" cy="74270"/>
                                <wp:effectExtent l="0" t="0" r="0" b="2540"/>
                                <wp:docPr id="14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60020" cy="74270"/>
                                        </a:xfrm>
                                        <a:prstGeom prst="rect">
                                          <a:avLst/>
                                        </a:prstGeom>
                                        <a:noFill/>
                                        <a:ln>
                                          <a:noFill/>
                                        </a:ln>
                                      </pic:spPr>
                                    </pic:pic>
                                  </a:graphicData>
                                </a:graphic>
                              </wp:inline>
                            </w:drawing>
                          </w:r>
                        </w:p>
                      </w:txbxContent>
                    </v:textbox>
                  </v:shape>
                  <v:shape id="Text Box 52" o:spid="_x0000_s1055" type="#_x0000_t202" style="position:absolute;left:40005;top:20574;width:3429;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RX1cIA&#10;AADbAAAADwAAAGRycy9kb3ducmV2LnhtbESPQYvCMBSE74L/ITzBmyaKyto1yrIieFJ0d4W9PZpn&#10;W2xeShNt/fdGEDwOM/MNs1i1thQ3qn3hWMNoqEAQp84UnGn4/dkMPkD4gGywdEwa7uRhtex2FpgY&#10;1/CBbseQiQhhn6CGPIQqkdKnOVn0Q1cRR+/saoshyjqTpsYmwm0px0rNpMWC40KOFX3nlF6OV6vh&#10;b3f+P03UPlvbadW4Vkm2c6l1v9d+fYII1IZ3+NXeGg3TM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dFfVwgAAANsAAAAPAAAAAAAAAAAAAAAAAJgCAABkcnMvZG93&#10;bnJldi54bWxQSwUGAAAAAAQABAD1AAAAhwMAAAAA&#10;" filled="f" stroked="f">
                    <v:textbox>
                      <w:txbxContent>
                        <w:p w14:paraId="5D562EAC" w14:textId="77777777" w:rsidR="007E349F" w:rsidRPr="004303E5" w:rsidRDefault="007E349F" w:rsidP="007169B6">
                          <w:pPr>
                            <w:rPr>
                              <w:b/>
                            </w:rPr>
                          </w:pPr>
                          <w:r w:rsidRPr="004303E5">
                            <w:rPr>
                              <w:b/>
                            </w:rPr>
                            <w:t>D</w:t>
                          </w:r>
                        </w:p>
                        <w:p w14:paraId="4E496130" w14:textId="77777777" w:rsidR="007E349F" w:rsidRPr="004303E5" w:rsidRDefault="007E349F" w:rsidP="007169B6">
                          <w:pPr>
                            <w:rPr>
                              <w:b/>
                            </w:rPr>
                          </w:pPr>
                          <w:r w:rsidRPr="004303E5">
                            <w:rPr>
                              <w:b/>
                              <w:noProof/>
                            </w:rPr>
                            <w:drawing>
                              <wp:inline distT="0" distB="0" distL="0" distR="0" wp14:anchorId="6EF3952F" wp14:editId="11AF30C6">
                                <wp:extent cx="160020" cy="240030"/>
                                <wp:effectExtent l="0" t="0" r="0" b="0"/>
                                <wp:docPr id="14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60020" cy="240030"/>
                                        </a:xfrm>
                                        <a:prstGeom prst="rect">
                                          <a:avLst/>
                                        </a:prstGeom>
                                        <a:noFill/>
                                        <a:ln>
                                          <a:noFill/>
                                        </a:ln>
                                      </pic:spPr>
                                    </pic:pic>
                                  </a:graphicData>
                                </a:graphic>
                              </wp:inline>
                            </w:drawing>
                          </w:r>
                        </w:p>
                        <w:p w14:paraId="70224D12" w14:textId="77777777" w:rsidR="007E349F" w:rsidRPr="004303E5" w:rsidRDefault="007E349F" w:rsidP="007169B6">
                          <w:pPr>
                            <w:rPr>
                              <w:b/>
                            </w:rPr>
                          </w:pPr>
                          <w:r w:rsidRPr="004303E5">
                            <w:rPr>
                              <w:b/>
                            </w:rPr>
                            <w:t xml:space="preserve"> </w:t>
                          </w:r>
                          <w:r w:rsidRPr="004303E5">
                            <w:rPr>
                              <w:b/>
                              <w:noProof/>
                            </w:rPr>
                            <w:drawing>
                              <wp:inline distT="0" distB="0" distL="0" distR="0" wp14:anchorId="08EEE9C9" wp14:editId="508B6CEE">
                                <wp:extent cx="160020" cy="74270"/>
                                <wp:effectExtent l="0" t="0" r="0" b="2540"/>
                                <wp:docPr id="14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60020" cy="74270"/>
                                        </a:xfrm>
                                        <a:prstGeom prst="rect">
                                          <a:avLst/>
                                        </a:prstGeom>
                                        <a:noFill/>
                                        <a:ln>
                                          <a:noFill/>
                                        </a:ln>
                                      </pic:spPr>
                                    </pic:pic>
                                  </a:graphicData>
                                </a:graphic>
                              </wp:inline>
                            </w:drawing>
                          </w:r>
                        </w:p>
                      </w:txbxContent>
                    </v:textbox>
                  </v:shape>
                </v:group>
                <v:shape id="Text Box 53" o:spid="_x0000_s1056" type="#_x0000_t202" style="position:absolute;left:53721;top:8001;width:3429;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jyTsMA&#10;AADbAAAADwAAAGRycy9kb3ducmV2LnhtbESPQWvCQBSE74L/YXlCb7prrUVTV5FKoSfFVAVvj+wz&#10;Cc2+DdmtSf+9Kwgeh5n5hlmsOluJKzW+dKxhPFIgiDNnSs41HH6+hjMQPiAbrByThn/ysFr2ewtM&#10;jGt5T9c05CJC2CeooQihTqT0WUEW/cjVxNG7uMZiiLLJpWmwjXBbyVel3qXFkuNCgTV9FpT9pn9W&#10;w3F7OZ/e1C7f2Gnduk5JtnOp9cugW3+ACNSFZ/jR/jYaphO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jjyTsMAAADbAAAADwAAAAAAAAAAAAAAAACYAgAAZHJzL2Rv&#10;d25yZXYueG1sUEsFBgAAAAAEAAQA9QAAAIgDAAAAAA==&#10;" filled="f" stroked="f">
                  <v:textbox>
                    <w:txbxContent>
                      <w:p w14:paraId="0FDEC70C" w14:textId="77777777" w:rsidR="007E349F" w:rsidRDefault="007E349F" w:rsidP="007169B6">
                        <w:r>
                          <w:t>?</w:t>
                        </w:r>
                      </w:p>
                    </w:txbxContent>
                  </v:textbox>
                </v:shape>
                <w10:wrap type="through"/>
              </v:group>
            </w:pict>
          </mc:Fallback>
        </mc:AlternateContent>
      </w:r>
      <w:r w:rsidR="004A51D6" w:rsidRPr="00067EBA">
        <w:rPr>
          <w:rFonts w:ascii="Times New Roman" w:hAnsi="Times New Roman" w:cs="Times New Roman"/>
          <w:b/>
          <w:sz w:val="24"/>
          <w:szCs w:val="24"/>
        </w:rPr>
        <w:t xml:space="preserve">Figure 9:  </w:t>
      </w:r>
      <w:r w:rsidR="004A51D6" w:rsidRPr="00067EBA">
        <w:rPr>
          <w:rFonts w:ascii="Times New Roman" w:hAnsi="Times New Roman" w:cs="Times New Roman"/>
          <w:sz w:val="24"/>
          <w:szCs w:val="24"/>
        </w:rPr>
        <w:t xml:space="preserve">Calculated EFs at stations SC01 (panels A and B) and CB01 (panels C and D) corrected with the relative concentrations of various metals within the shell and within the soft tissue of two species of bivalve mussels, </w:t>
      </w:r>
      <w:r w:rsidR="004A51D6" w:rsidRPr="00067EBA">
        <w:rPr>
          <w:rFonts w:ascii="Times New Roman" w:hAnsi="Times New Roman" w:cs="Times New Roman"/>
          <w:i/>
          <w:sz w:val="24"/>
          <w:szCs w:val="24"/>
        </w:rPr>
        <w:t>Mytilus galloprovincialis</w:t>
      </w:r>
      <w:r w:rsidR="004A51D6" w:rsidRPr="00067EBA">
        <w:rPr>
          <w:rFonts w:ascii="Times New Roman" w:hAnsi="Times New Roman" w:cs="Times New Roman"/>
          <w:sz w:val="24"/>
          <w:szCs w:val="24"/>
        </w:rPr>
        <w:t xml:space="preserve"> and </w:t>
      </w:r>
      <w:r w:rsidR="004A51D6" w:rsidRPr="00067EBA">
        <w:rPr>
          <w:rFonts w:ascii="Times New Roman" w:hAnsi="Times New Roman" w:cs="Times New Roman"/>
          <w:i/>
          <w:sz w:val="24"/>
          <w:szCs w:val="24"/>
        </w:rPr>
        <w:t>Bathymodiolus azoricus</w:t>
      </w:r>
      <w:r w:rsidR="004A51D6" w:rsidRPr="00067EBA">
        <w:rPr>
          <w:rFonts w:ascii="Times New Roman" w:hAnsi="Times New Roman" w:cs="Times New Roman"/>
          <w:sz w:val="24"/>
          <w:szCs w:val="24"/>
        </w:rPr>
        <w:t xml:space="preserve"> (taken from Demina et al. 2016).  Demina et al. (2016) did not calculate levels of Mo within shell vs. soft body, so no correction could be utilized for Mo (note the question mark in panel C.)  Also note that Ag and Se are on a separate scale at both stations (panels B and D,) due to their comparatively higher enrichment than the other metals (panels A and C.)</w:t>
      </w:r>
      <w:r w:rsidR="004A51D6" w:rsidRPr="00067EBA">
        <w:rPr>
          <w:sz w:val="24"/>
          <w:szCs w:val="24"/>
        </w:rPr>
        <w:t xml:space="preserve">  </w:t>
      </w:r>
    </w:p>
    <w:p w14:paraId="27B3DED0" w14:textId="3A7794EC" w:rsidR="007169B6" w:rsidRPr="004A51D6" w:rsidRDefault="007169B6" w:rsidP="004A51D6">
      <w:pPr>
        <w:tabs>
          <w:tab w:val="left" w:pos="947"/>
        </w:tabs>
        <w:rPr>
          <w:rFonts w:ascii="Times New Roman" w:hAnsi="Times New Roman" w:cs="Times New Roman"/>
          <w:sz w:val="24"/>
          <w:szCs w:val="24"/>
        </w:rPr>
      </w:pPr>
    </w:p>
    <w:sectPr w:rsidR="007169B6" w:rsidRPr="004A51D6" w:rsidSect="00A14FE7">
      <w:headerReference w:type="even" r:id="rId34"/>
      <w:headerReference w:type="default" r:id="rId3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F59B53" w14:textId="77777777" w:rsidR="001C5232" w:rsidRDefault="001C5232" w:rsidP="008B017B">
      <w:pPr>
        <w:spacing w:after="0" w:line="240" w:lineRule="auto"/>
      </w:pPr>
      <w:r>
        <w:separator/>
      </w:r>
    </w:p>
  </w:endnote>
  <w:endnote w:type="continuationSeparator" w:id="0">
    <w:p w14:paraId="0B472563" w14:textId="77777777" w:rsidR="001C5232" w:rsidRDefault="001C5232" w:rsidP="008B01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Lucida Grande">
    <w:charset w:val="00"/>
    <w:family w:val="auto"/>
    <w:pitch w:val="variable"/>
    <w:sig w:usb0="E1000AEF" w:usb1="5000A1FF" w:usb2="00000000" w:usb3="00000000" w:csb0="000001BF" w:csb1="00000000"/>
  </w:font>
  <w:font w:name="Calibri">
    <w:panose1 w:val="020F0502020204030204"/>
    <w:charset w:val="00"/>
    <w:family w:val="swiss"/>
    <w:pitch w:val="variable"/>
    <w:sig w:usb0="E00002FF" w:usb1="4000ACFF" w:usb2="00000001" w:usb3="00000000" w:csb0="0000019F" w:csb1="00000000"/>
  </w:font>
  <w:font w:name="Orator Std">
    <w:altName w:val="Consolas"/>
    <w:charset w:val="00"/>
    <w:family w:val="auto"/>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imes">
    <w:altName w:val="Times New Roman"/>
    <w:panose1 w:val="02020603050405020304"/>
    <w:charset w:val="4D"/>
    <w:family w:val="roman"/>
    <w:notTrueType/>
    <w:pitch w:val="variable"/>
    <w:sig w:usb0="00000003" w:usb1="00000000" w:usb2="00000000" w:usb3="00000000" w:csb0="00000001" w:csb1="00000000"/>
  </w:font>
  <w:font w:name="Adobe Arabic">
    <w:altName w:val="Times New Roman"/>
    <w:charset w:val="00"/>
    <w:family w:val="auto"/>
    <w:pitch w:val="variable"/>
    <w:sig w:usb0="00000000" w:usb1="8000A04A" w:usb2="00000008" w:usb3="00000000" w:csb0="00000041"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BAF1F4" w14:textId="77777777" w:rsidR="001C5232" w:rsidRDefault="001C5232" w:rsidP="008B017B">
      <w:pPr>
        <w:spacing w:after="0" w:line="240" w:lineRule="auto"/>
      </w:pPr>
      <w:r>
        <w:separator/>
      </w:r>
    </w:p>
  </w:footnote>
  <w:footnote w:type="continuationSeparator" w:id="0">
    <w:p w14:paraId="328994A6" w14:textId="77777777" w:rsidR="001C5232" w:rsidRDefault="001C5232" w:rsidP="008B017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900962" w14:textId="77777777" w:rsidR="007E349F" w:rsidRDefault="007E349F" w:rsidP="00695D8D">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E9A2526" w14:textId="77777777" w:rsidR="007E349F" w:rsidRDefault="007E349F" w:rsidP="00BC3F3E">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C4C1B3" w14:textId="77777777" w:rsidR="007E349F" w:rsidRDefault="007E349F" w:rsidP="00695D8D">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F3E70">
      <w:rPr>
        <w:rStyle w:val="PageNumber"/>
        <w:noProof/>
      </w:rPr>
      <w:t>1</w:t>
    </w:r>
    <w:r>
      <w:rPr>
        <w:rStyle w:val="PageNumber"/>
      </w:rPr>
      <w:fldChar w:fldCharType="end"/>
    </w:r>
  </w:p>
  <w:p w14:paraId="4F55AEF8" w14:textId="591A9D13" w:rsidR="007E349F" w:rsidRPr="008B017B" w:rsidRDefault="007E349F" w:rsidP="00BC3F3E">
    <w:pPr>
      <w:pStyle w:val="Header"/>
      <w:ind w:right="360"/>
      <w:jc w:val="right"/>
      <w:rPr>
        <w:rFonts w:ascii="Times New Roman" w:hAnsi="Times New Roman" w:cs="Times New Roman"/>
      </w:rPr>
    </w:pPr>
    <w:r w:rsidRPr="008B017B">
      <w:rPr>
        <w:rFonts w:ascii="Times New Roman" w:hAnsi="Times New Roman" w:cs="Times New Roman"/>
      </w:rPr>
      <w:t>Heavy metal contamination</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512B"/>
    <w:rsid w:val="00001532"/>
    <w:rsid w:val="000134FB"/>
    <w:rsid w:val="00014A69"/>
    <w:rsid w:val="00021E87"/>
    <w:rsid w:val="000346AA"/>
    <w:rsid w:val="00060228"/>
    <w:rsid w:val="00067EBA"/>
    <w:rsid w:val="00073677"/>
    <w:rsid w:val="000821AA"/>
    <w:rsid w:val="000838ED"/>
    <w:rsid w:val="00092AAE"/>
    <w:rsid w:val="00094AF8"/>
    <w:rsid w:val="000A2FFB"/>
    <w:rsid w:val="000D3036"/>
    <w:rsid w:val="000D464B"/>
    <w:rsid w:val="000F2489"/>
    <w:rsid w:val="00101FBC"/>
    <w:rsid w:val="00113DD8"/>
    <w:rsid w:val="0013442D"/>
    <w:rsid w:val="0014582D"/>
    <w:rsid w:val="001677C6"/>
    <w:rsid w:val="0017066C"/>
    <w:rsid w:val="00186ACC"/>
    <w:rsid w:val="00190E02"/>
    <w:rsid w:val="00197B1C"/>
    <w:rsid w:val="001A1679"/>
    <w:rsid w:val="001C5232"/>
    <w:rsid w:val="001D29D1"/>
    <w:rsid w:val="001E0BC3"/>
    <w:rsid w:val="001E139C"/>
    <w:rsid w:val="001E4EFE"/>
    <w:rsid w:val="001F65A5"/>
    <w:rsid w:val="00206660"/>
    <w:rsid w:val="002249B5"/>
    <w:rsid w:val="00227652"/>
    <w:rsid w:val="002430E0"/>
    <w:rsid w:val="0027404D"/>
    <w:rsid w:val="0028577D"/>
    <w:rsid w:val="00285FC9"/>
    <w:rsid w:val="00286EBC"/>
    <w:rsid w:val="002B7446"/>
    <w:rsid w:val="002C0001"/>
    <w:rsid w:val="002C21FB"/>
    <w:rsid w:val="002D00FF"/>
    <w:rsid w:val="002D222D"/>
    <w:rsid w:val="002D3293"/>
    <w:rsid w:val="002F1503"/>
    <w:rsid w:val="00302FEE"/>
    <w:rsid w:val="003037C1"/>
    <w:rsid w:val="003069BD"/>
    <w:rsid w:val="00357FAB"/>
    <w:rsid w:val="00373936"/>
    <w:rsid w:val="003739C1"/>
    <w:rsid w:val="00396725"/>
    <w:rsid w:val="003B75E5"/>
    <w:rsid w:val="003C3330"/>
    <w:rsid w:val="003C4836"/>
    <w:rsid w:val="003D1692"/>
    <w:rsid w:val="003D2C38"/>
    <w:rsid w:val="003D40BD"/>
    <w:rsid w:val="003D428D"/>
    <w:rsid w:val="003D512B"/>
    <w:rsid w:val="003E37C3"/>
    <w:rsid w:val="0040235C"/>
    <w:rsid w:val="00411E55"/>
    <w:rsid w:val="00426513"/>
    <w:rsid w:val="00440E91"/>
    <w:rsid w:val="00442723"/>
    <w:rsid w:val="00446715"/>
    <w:rsid w:val="004518A6"/>
    <w:rsid w:val="00466C94"/>
    <w:rsid w:val="004823C1"/>
    <w:rsid w:val="004A51D6"/>
    <w:rsid w:val="004B1437"/>
    <w:rsid w:val="004B7CE0"/>
    <w:rsid w:val="004D2560"/>
    <w:rsid w:val="004D3479"/>
    <w:rsid w:val="004F190C"/>
    <w:rsid w:val="0054308C"/>
    <w:rsid w:val="005527D9"/>
    <w:rsid w:val="00554A46"/>
    <w:rsid w:val="00562847"/>
    <w:rsid w:val="00571BCB"/>
    <w:rsid w:val="00582A0C"/>
    <w:rsid w:val="00582B67"/>
    <w:rsid w:val="005B60A7"/>
    <w:rsid w:val="005C222F"/>
    <w:rsid w:val="005D49AF"/>
    <w:rsid w:val="005E0FED"/>
    <w:rsid w:val="005E5A61"/>
    <w:rsid w:val="005F675E"/>
    <w:rsid w:val="00653B3F"/>
    <w:rsid w:val="00656DA9"/>
    <w:rsid w:val="00657EC2"/>
    <w:rsid w:val="00661CA9"/>
    <w:rsid w:val="006652B3"/>
    <w:rsid w:val="006835C7"/>
    <w:rsid w:val="00692F9D"/>
    <w:rsid w:val="00695D8D"/>
    <w:rsid w:val="006A1812"/>
    <w:rsid w:val="006A38B5"/>
    <w:rsid w:val="006B7801"/>
    <w:rsid w:val="006C5C86"/>
    <w:rsid w:val="006D48A4"/>
    <w:rsid w:val="006E1019"/>
    <w:rsid w:val="006E6CE4"/>
    <w:rsid w:val="006F1ED9"/>
    <w:rsid w:val="006F52F3"/>
    <w:rsid w:val="006F718B"/>
    <w:rsid w:val="00702AE0"/>
    <w:rsid w:val="00705329"/>
    <w:rsid w:val="007169B6"/>
    <w:rsid w:val="0072552A"/>
    <w:rsid w:val="00734A48"/>
    <w:rsid w:val="00751521"/>
    <w:rsid w:val="00761119"/>
    <w:rsid w:val="0077006E"/>
    <w:rsid w:val="00796A1A"/>
    <w:rsid w:val="00796DB9"/>
    <w:rsid w:val="0079745A"/>
    <w:rsid w:val="007A65F5"/>
    <w:rsid w:val="007B22F3"/>
    <w:rsid w:val="007C479C"/>
    <w:rsid w:val="007D5462"/>
    <w:rsid w:val="007E349F"/>
    <w:rsid w:val="007E5B56"/>
    <w:rsid w:val="007F3454"/>
    <w:rsid w:val="007F4266"/>
    <w:rsid w:val="00812551"/>
    <w:rsid w:val="00817261"/>
    <w:rsid w:val="00821F09"/>
    <w:rsid w:val="008228C5"/>
    <w:rsid w:val="00831EF5"/>
    <w:rsid w:val="008379CC"/>
    <w:rsid w:val="00862674"/>
    <w:rsid w:val="00863A60"/>
    <w:rsid w:val="0088191F"/>
    <w:rsid w:val="00881BF2"/>
    <w:rsid w:val="008835DF"/>
    <w:rsid w:val="008837E6"/>
    <w:rsid w:val="00886867"/>
    <w:rsid w:val="008A14B1"/>
    <w:rsid w:val="008B017B"/>
    <w:rsid w:val="008B727B"/>
    <w:rsid w:val="008C4129"/>
    <w:rsid w:val="008C7F8F"/>
    <w:rsid w:val="008D2CEC"/>
    <w:rsid w:val="008E12DE"/>
    <w:rsid w:val="00912976"/>
    <w:rsid w:val="009207EF"/>
    <w:rsid w:val="00931BA9"/>
    <w:rsid w:val="00936825"/>
    <w:rsid w:val="00952F66"/>
    <w:rsid w:val="0096203C"/>
    <w:rsid w:val="0096395F"/>
    <w:rsid w:val="009659FF"/>
    <w:rsid w:val="00976036"/>
    <w:rsid w:val="009A7CAE"/>
    <w:rsid w:val="009C3A0A"/>
    <w:rsid w:val="009C78D4"/>
    <w:rsid w:val="009E4BFF"/>
    <w:rsid w:val="009F1A22"/>
    <w:rsid w:val="009F2B41"/>
    <w:rsid w:val="009F3A59"/>
    <w:rsid w:val="009F3E70"/>
    <w:rsid w:val="009F6037"/>
    <w:rsid w:val="00A009D0"/>
    <w:rsid w:val="00A11BAE"/>
    <w:rsid w:val="00A1395A"/>
    <w:rsid w:val="00A14FE7"/>
    <w:rsid w:val="00A265F1"/>
    <w:rsid w:val="00A26D4E"/>
    <w:rsid w:val="00A70105"/>
    <w:rsid w:val="00A8439C"/>
    <w:rsid w:val="00A87A02"/>
    <w:rsid w:val="00A934EE"/>
    <w:rsid w:val="00A93F6E"/>
    <w:rsid w:val="00AA0752"/>
    <w:rsid w:val="00AA695F"/>
    <w:rsid w:val="00AB75FB"/>
    <w:rsid w:val="00AD2382"/>
    <w:rsid w:val="00AD3678"/>
    <w:rsid w:val="00AF2E93"/>
    <w:rsid w:val="00AF4FFD"/>
    <w:rsid w:val="00B00E75"/>
    <w:rsid w:val="00B028A2"/>
    <w:rsid w:val="00B03E28"/>
    <w:rsid w:val="00B209D7"/>
    <w:rsid w:val="00B26444"/>
    <w:rsid w:val="00B412DB"/>
    <w:rsid w:val="00B629D1"/>
    <w:rsid w:val="00B66097"/>
    <w:rsid w:val="00B67D39"/>
    <w:rsid w:val="00B75ADF"/>
    <w:rsid w:val="00B76A61"/>
    <w:rsid w:val="00B832B6"/>
    <w:rsid w:val="00B84A9C"/>
    <w:rsid w:val="00B86558"/>
    <w:rsid w:val="00B871F0"/>
    <w:rsid w:val="00B9366A"/>
    <w:rsid w:val="00B96232"/>
    <w:rsid w:val="00BB38B6"/>
    <w:rsid w:val="00BC2DC6"/>
    <w:rsid w:val="00BC3F3E"/>
    <w:rsid w:val="00BC5604"/>
    <w:rsid w:val="00BD3991"/>
    <w:rsid w:val="00BD4325"/>
    <w:rsid w:val="00BD7934"/>
    <w:rsid w:val="00BE09F8"/>
    <w:rsid w:val="00BE5E5B"/>
    <w:rsid w:val="00BF2018"/>
    <w:rsid w:val="00C05920"/>
    <w:rsid w:val="00C06599"/>
    <w:rsid w:val="00C22CDA"/>
    <w:rsid w:val="00C339E0"/>
    <w:rsid w:val="00C370E0"/>
    <w:rsid w:val="00C5460E"/>
    <w:rsid w:val="00C62AE9"/>
    <w:rsid w:val="00C647AE"/>
    <w:rsid w:val="00C64C0F"/>
    <w:rsid w:val="00C74868"/>
    <w:rsid w:val="00C830BA"/>
    <w:rsid w:val="00C8456E"/>
    <w:rsid w:val="00C937DF"/>
    <w:rsid w:val="00CB4132"/>
    <w:rsid w:val="00CB4880"/>
    <w:rsid w:val="00CB53FA"/>
    <w:rsid w:val="00CC1131"/>
    <w:rsid w:val="00CC5AB4"/>
    <w:rsid w:val="00CD0023"/>
    <w:rsid w:val="00CD44D4"/>
    <w:rsid w:val="00D00BD6"/>
    <w:rsid w:val="00D035BA"/>
    <w:rsid w:val="00D123CB"/>
    <w:rsid w:val="00D225B6"/>
    <w:rsid w:val="00D33B20"/>
    <w:rsid w:val="00D369BF"/>
    <w:rsid w:val="00D4359A"/>
    <w:rsid w:val="00D5303B"/>
    <w:rsid w:val="00D549FA"/>
    <w:rsid w:val="00D90B88"/>
    <w:rsid w:val="00D93167"/>
    <w:rsid w:val="00D94401"/>
    <w:rsid w:val="00D94C43"/>
    <w:rsid w:val="00D95873"/>
    <w:rsid w:val="00DC2F5A"/>
    <w:rsid w:val="00DD03A7"/>
    <w:rsid w:val="00DD5A6E"/>
    <w:rsid w:val="00DF4468"/>
    <w:rsid w:val="00DF598A"/>
    <w:rsid w:val="00E373C8"/>
    <w:rsid w:val="00E46B9F"/>
    <w:rsid w:val="00E51065"/>
    <w:rsid w:val="00E54198"/>
    <w:rsid w:val="00E54A63"/>
    <w:rsid w:val="00E55C8B"/>
    <w:rsid w:val="00E604AD"/>
    <w:rsid w:val="00E6514A"/>
    <w:rsid w:val="00E71596"/>
    <w:rsid w:val="00E90CE2"/>
    <w:rsid w:val="00EA20B6"/>
    <w:rsid w:val="00EC3514"/>
    <w:rsid w:val="00EE542C"/>
    <w:rsid w:val="00F01388"/>
    <w:rsid w:val="00F34BF9"/>
    <w:rsid w:val="00F36C7F"/>
    <w:rsid w:val="00F411F6"/>
    <w:rsid w:val="00F44326"/>
    <w:rsid w:val="00F4460A"/>
    <w:rsid w:val="00F56ECA"/>
    <w:rsid w:val="00F62E47"/>
    <w:rsid w:val="00F6469A"/>
    <w:rsid w:val="00F865D4"/>
    <w:rsid w:val="00F92C1A"/>
    <w:rsid w:val="00FA65FF"/>
    <w:rsid w:val="00FC3546"/>
    <w:rsid w:val="00FC78DD"/>
    <w:rsid w:val="00FE0786"/>
    <w:rsid w:val="00FE121A"/>
    <w:rsid w:val="00FF720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9C17C1A"/>
  <w14:defaultImageDpi w14:val="300"/>
  <w15:docId w15:val="{3FBEDAD2-F040-4273-92B2-14B78F6927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4FE7"/>
    <w:pPr>
      <w:spacing w:after="160" w:line="259" w:lineRule="auto"/>
    </w:pPr>
    <w:rPr>
      <w:rFonts w:eastAsia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B017B"/>
    <w:rPr>
      <w:color w:val="0000FF"/>
      <w:u w:val="single"/>
    </w:rPr>
  </w:style>
  <w:style w:type="paragraph" w:styleId="Header">
    <w:name w:val="header"/>
    <w:basedOn w:val="Normal"/>
    <w:link w:val="HeaderChar"/>
    <w:uiPriority w:val="99"/>
    <w:unhideWhenUsed/>
    <w:rsid w:val="008B017B"/>
    <w:pPr>
      <w:tabs>
        <w:tab w:val="center" w:pos="4320"/>
        <w:tab w:val="right" w:pos="8640"/>
      </w:tabs>
      <w:spacing w:after="0" w:line="240" w:lineRule="auto"/>
    </w:pPr>
  </w:style>
  <w:style w:type="character" w:customStyle="1" w:styleId="HeaderChar">
    <w:name w:val="Header Char"/>
    <w:basedOn w:val="DefaultParagraphFont"/>
    <w:link w:val="Header"/>
    <w:uiPriority w:val="99"/>
    <w:rsid w:val="008B017B"/>
    <w:rPr>
      <w:rFonts w:eastAsiaTheme="minorHAnsi"/>
      <w:sz w:val="22"/>
      <w:szCs w:val="22"/>
    </w:rPr>
  </w:style>
  <w:style w:type="paragraph" w:styleId="Footer">
    <w:name w:val="footer"/>
    <w:basedOn w:val="Normal"/>
    <w:link w:val="FooterChar"/>
    <w:uiPriority w:val="99"/>
    <w:unhideWhenUsed/>
    <w:rsid w:val="008B017B"/>
    <w:pPr>
      <w:tabs>
        <w:tab w:val="center" w:pos="4320"/>
        <w:tab w:val="right" w:pos="8640"/>
      </w:tabs>
      <w:spacing w:after="0" w:line="240" w:lineRule="auto"/>
    </w:pPr>
  </w:style>
  <w:style w:type="character" w:customStyle="1" w:styleId="FooterChar">
    <w:name w:val="Footer Char"/>
    <w:basedOn w:val="DefaultParagraphFont"/>
    <w:link w:val="Footer"/>
    <w:uiPriority w:val="99"/>
    <w:rsid w:val="008B017B"/>
    <w:rPr>
      <w:rFonts w:eastAsiaTheme="minorHAnsi"/>
      <w:sz w:val="22"/>
      <w:szCs w:val="22"/>
    </w:rPr>
  </w:style>
  <w:style w:type="character" w:styleId="PageNumber">
    <w:name w:val="page number"/>
    <w:basedOn w:val="DefaultParagraphFont"/>
    <w:uiPriority w:val="99"/>
    <w:semiHidden/>
    <w:unhideWhenUsed/>
    <w:rsid w:val="00BC3F3E"/>
  </w:style>
  <w:style w:type="paragraph" w:styleId="BalloonText">
    <w:name w:val="Balloon Text"/>
    <w:basedOn w:val="Normal"/>
    <w:link w:val="BalloonTextChar"/>
    <w:uiPriority w:val="99"/>
    <w:semiHidden/>
    <w:unhideWhenUsed/>
    <w:rsid w:val="00E51065"/>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51065"/>
    <w:rPr>
      <w:rFonts w:ascii="Lucida Grande" w:eastAsiaTheme="minorHAnsi" w:hAnsi="Lucida Grande" w:cs="Lucida Grande"/>
      <w:sz w:val="18"/>
      <w:szCs w:val="18"/>
    </w:rPr>
  </w:style>
  <w:style w:type="character" w:customStyle="1" w:styleId="bkciteavail">
    <w:name w:val="bk_cite_avail"/>
    <w:basedOn w:val="DefaultParagraphFont"/>
    <w:rsid w:val="00C64C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308898">
      <w:bodyDiv w:val="1"/>
      <w:marLeft w:val="0"/>
      <w:marRight w:val="0"/>
      <w:marTop w:val="0"/>
      <w:marBottom w:val="0"/>
      <w:divBdr>
        <w:top w:val="none" w:sz="0" w:space="0" w:color="auto"/>
        <w:left w:val="none" w:sz="0" w:space="0" w:color="auto"/>
        <w:bottom w:val="none" w:sz="0" w:space="0" w:color="auto"/>
        <w:right w:val="none" w:sz="0" w:space="0" w:color="auto"/>
      </w:divBdr>
    </w:div>
    <w:div w:id="447704015">
      <w:bodyDiv w:val="1"/>
      <w:marLeft w:val="0"/>
      <w:marRight w:val="0"/>
      <w:marTop w:val="0"/>
      <w:marBottom w:val="0"/>
      <w:divBdr>
        <w:top w:val="none" w:sz="0" w:space="0" w:color="auto"/>
        <w:left w:val="none" w:sz="0" w:space="0" w:color="auto"/>
        <w:bottom w:val="none" w:sz="0" w:space="0" w:color="auto"/>
        <w:right w:val="none" w:sz="0" w:space="0" w:color="auto"/>
      </w:divBdr>
    </w:div>
    <w:div w:id="873233902">
      <w:bodyDiv w:val="1"/>
      <w:marLeft w:val="0"/>
      <w:marRight w:val="0"/>
      <w:marTop w:val="0"/>
      <w:marBottom w:val="0"/>
      <w:divBdr>
        <w:top w:val="none" w:sz="0" w:space="0" w:color="auto"/>
        <w:left w:val="none" w:sz="0" w:space="0" w:color="auto"/>
        <w:bottom w:val="none" w:sz="0" w:space="0" w:color="auto"/>
        <w:right w:val="none" w:sz="0" w:space="0" w:color="auto"/>
      </w:divBdr>
    </w:div>
    <w:div w:id="1277373225">
      <w:bodyDiv w:val="1"/>
      <w:marLeft w:val="0"/>
      <w:marRight w:val="0"/>
      <w:marTop w:val="0"/>
      <w:marBottom w:val="0"/>
      <w:divBdr>
        <w:top w:val="none" w:sz="0" w:space="0" w:color="auto"/>
        <w:left w:val="none" w:sz="0" w:space="0" w:color="auto"/>
        <w:bottom w:val="none" w:sz="0" w:space="0" w:color="auto"/>
        <w:right w:val="none" w:sz="0" w:space="0" w:color="auto"/>
      </w:divBdr>
    </w:div>
    <w:div w:id="1582252472">
      <w:bodyDiv w:val="1"/>
      <w:marLeft w:val="0"/>
      <w:marRight w:val="0"/>
      <w:marTop w:val="0"/>
      <w:marBottom w:val="0"/>
      <w:divBdr>
        <w:top w:val="none" w:sz="0" w:space="0" w:color="auto"/>
        <w:left w:val="none" w:sz="0" w:space="0" w:color="auto"/>
        <w:bottom w:val="none" w:sz="0" w:space="0" w:color="auto"/>
        <w:right w:val="none" w:sz="0" w:space="0" w:color="auto"/>
      </w:divBdr>
    </w:div>
    <w:div w:id="190660241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chart" Target="charts/chart1.xml"/><Relationship Id="rId26" Type="http://schemas.openxmlformats.org/officeDocument/2006/relationships/chart" Target="charts/chart5.xml"/><Relationship Id="rId21" Type="http://schemas.openxmlformats.org/officeDocument/2006/relationships/chart" Target="charts/chart4.xml"/><Relationship Id="rId34" Type="http://schemas.openxmlformats.org/officeDocument/2006/relationships/header" Target="header1.xml"/><Relationship Id="rId7" Type="http://schemas.openxmlformats.org/officeDocument/2006/relationships/hyperlink" Target="https://www.nickelinstitute.org/Sustainability/EnvironmentalQuality" TargetMode="Externa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0.png"/><Relationship Id="rId33" Type="http://schemas.openxmlformats.org/officeDocument/2006/relationships/image" Target="media/image16.png"/><Relationship Id="rId2" Type="http://schemas.openxmlformats.org/officeDocument/2006/relationships/settings" Target="settings.xml"/><Relationship Id="rId16" Type="http://schemas.openxmlformats.org/officeDocument/2006/relationships/image" Target="media/image5.png"/><Relationship Id="rId20" Type="http://schemas.openxmlformats.org/officeDocument/2006/relationships/chart" Target="charts/chart3.xml"/><Relationship Id="rId29" Type="http://schemas.openxmlformats.org/officeDocument/2006/relationships/image" Target="media/image12.png"/><Relationship Id="rId1" Type="http://schemas.openxmlformats.org/officeDocument/2006/relationships/styles" Target="styles.xml"/><Relationship Id="rId6" Type="http://schemas.openxmlformats.org/officeDocument/2006/relationships/hyperlink" Target="mailto:myesaf@uw.edu" TargetMode="External"/><Relationship Id="rId11" Type="http://schemas.openxmlformats.org/officeDocument/2006/relationships/hyperlink" Target="https://www.ncbi.nlm.nih.gov/books/NBK231025/" TargetMode="External"/><Relationship Id="rId24" Type="http://schemas.openxmlformats.org/officeDocument/2006/relationships/image" Target="media/image9.png"/><Relationship Id="rId32" Type="http://schemas.openxmlformats.org/officeDocument/2006/relationships/image" Target="media/image15.png"/><Relationship Id="rId37"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image" Target="media/image4.png"/><Relationship Id="rId23" Type="http://schemas.openxmlformats.org/officeDocument/2006/relationships/image" Target="media/image8.png"/><Relationship Id="rId28" Type="http://schemas.openxmlformats.org/officeDocument/2006/relationships/image" Target="media/image11.png"/><Relationship Id="rId36" Type="http://schemas.openxmlformats.org/officeDocument/2006/relationships/fontTable" Target="fontTable.xml"/><Relationship Id="rId10" Type="http://schemas.openxmlformats.org/officeDocument/2006/relationships/hyperlink" Target="http://www.empr.gov.bc.ca/Mining/Geoscience/MapPlace/thematicmaps/Pages/HistoricMines.aspx" TargetMode="External"/><Relationship Id="rId19" Type="http://schemas.openxmlformats.org/officeDocument/2006/relationships/chart" Target="charts/chart2.xml"/><Relationship Id="rId31" Type="http://schemas.openxmlformats.org/officeDocument/2006/relationships/image" Target="media/image14.png"/><Relationship Id="rId4" Type="http://schemas.openxmlformats.org/officeDocument/2006/relationships/footnotes" Target="footnotes.xml"/><Relationship Id="rId9" Type="http://schemas.openxmlformats.org/officeDocument/2006/relationships/hyperlink" Target="http://minfile.gov.bc.ca/Summary.aspx?minfilno=092B++001" TargetMode="External"/><Relationship Id="rId14" Type="http://schemas.openxmlformats.org/officeDocument/2006/relationships/image" Target="media/image3.png"/><Relationship Id="rId22" Type="http://schemas.openxmlformats.org/officeDocument/2006/relationships/image" Target="media/image7.png"/><Relationship Id="rId27" Type="http://schemas.openxmlformats.org/officeDocument/2006/relationships/chart" Target="charts/chart6.xml"/><Relationship Id="rId30" Type="http://schemas.openxmlformats.org/officeDocument/2006/relationships/image" Target="media/image13.png"/><Relationship Id="rId35" Type="http://schemas.openxmlformats.org/officeDocument/2006/relationships/header" Target="header2.xml"/><Relationship Id="rId8" Type="http://schemas.openxmlformats.org/officeDocument/2006/relationships/hyperlink" Target="http://www.ghosttownsofwashington.com/" TargetMode="External"/><Relationship Id="rId3"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user:Desktop:5th%20Year:Winter%20Quarter:Thesis%20(444):Datasheets:Grain%20size%20analysis%20dat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Macintosh%20HD:Users:user:Desktop:5th%20Year:Winter%20Quarter:Thesis%20(444):Datasheets:Grain%20size%20analysis%20dat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Macintosh%20HD:Users:user:Desktop:5th%20Year:Winter%20Quarter:Thesis%20(444):Datasheets:Grain%20size%20analysis%20dat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Macintosh%20HD:Users:user:Desktop:5th%20Year:Winter%20Quarter:Thesis%20(444):Datasheets:Grain%20size%20analysis%20dat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Macintosh%20HD:Users:user:Desktop:Spring%20Quarter:Thesis%20(445):Datasheets:PCA%20scores%20compiled.xlsm"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Macintosh%20HD:Users:user:Desktop:Spring%20Quarter:Thesis%20(445):Datasheets:PCA%20scores%20compiled.xlsm"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Percentages!$F$3</c:f>
              <c:strCache>
                <c:ptCount val="1"/>
                <c:pt idx="0">
                  <c:v>CB01</c:v>
                </c:pt>
              </c:strCache>
            </c:strRef>
          </c:tx>
          <c:spPr>
            <a:ln>
              <a:solidFill>
                <a:schemeClr val="tx1">
                  <a:alpha val="93000"/>
                </a:schemeClr>
              </a:solidFill>
            </a:ln>
          </c:spPr>
          <c:dPt>
            <c:idx val="0"/>
            <c:bubble3D val="0"/>
            <c:spPr>
              <a:solidFill>
                <a:schemeClr val="bg1"/>
              </a:solidFill>
              <a:ln>
                <a:solidFill>
                  <a:schemeClr val="tx1">
                    <a:alpha val="93000"/>
                  </a:schemeClr>
                </a:solidFill>
              </a:ln>
            </c:spPr>
          </c:dPt>
          <c:dPt>
            <c:idx val="1"/>
            <c:bubble3D val="0"/>
            <c:spPr>
              <a:solidFill>
                <a:schemeClr val="bg2">
                  <a:lumMod val="90000"/>
                </a:schemeClr>
              </a:solidFill>
              <a:ln>
                <a:solidFill>
                  <a:schemeClr val="tx1">
                    <a:alpha val="93000"/>
                  </a:schemeClr>
                </a:solidFill>
              </a:ln>
            </c:spPr>
          </c:dPt>
          <c:dPt>
            <c:idx val="2"/>
            <c:bubble3D val="0"/>
            <c:spPr>
              <a:solidFill>
                <a:schemeClr val="tx1"/>
              </a:solidFill>
              <a:ln>
                <a:solidFill>
                  <a:schemeClr val="tx1">
                    <a:alpha val="93000"/>
                  </a:schemeClr>
                </a:solidFill>
              </a:ln>
            </c:spPr>
          </c:dPt>
          <c:cat>
            <c:strRef>
              <c:f>Percentages!$G$2:$I$2</c:f>
              <c:strCache>
                <c:ptCount val="3"/>
                <c:pt idx="0">
                  <c:v>%clay</c:v>
                </c:pt>
                <c:pt idx="1">
                  <c:v>%silt</c:v>
                </c:pt>
                <c:pt idx="2">
                  <c:v>%sand</c:v>
                </c:pt>
              </c:strCache>
            </c:strRef>
          </c:cat>
          <c:val>
            <c:numRef>
              <c:f>Percentages!$G$3:$I$3</c:f>
              <c:numCache>
                <c:formatCode>General</c:formatCode>
                <c:ptCount val="3"/>
                <c:pt idx="0">
                  <c:v>12</c:v>
                </c:pt>
                <c:pt idx="1">
                  <c:v>74</c:v>
                </c:pt>
                <c:pt idx="2">
                  <c:v>14</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Percentages!$F$4</c:f>
              <c:strCache>
                <c:ptCount val="1"/>
                <c:pt idx="0">
                  <c:v>SC01</c:v>
                </c:pt>
              </c:strCache>
            </c:strRef>
          </c:tx>
          <c:spPr>
            <a:ln>
              <a:solidFill>
                <a:schemeClr val="tx1">
                  <a:alpha val="93000"/>
                </a:schemeClr>
              </a:solidFill>
            </a:ln>
          </c:spPr>
          <c:dPt>
            <c:idx val="0"/>
            <c:bubble3D val="0"/>
            <c:spPr>
              <a:solidFill>
                <a:schemeClr val="bg1"/>
              </a:solidFill>
              <a:ln>
                <a:solidFill>
                  <a:schemeClr val="tx1">
                    <a:alpha val="93000"/>
                  </a:schemeClr>
                </a:solidFill>
              </a:ln>
            </c:spPr>
          </c:dPt>
          <c:dPt>
            <c:idx val="1"/>
            <c:bubble3D val="0"/>
            <c:spPr>
              <a:solidFill>
                <a:schemeClr val="bg2">
                  <a:lumMod val="90000"/>
                </a:schemeClr>
              </a:solidFill>
              <a:ln>
                <a:solidFill>
                  <a:schemeClr val="tx1">
                    <a:alpha val="93000"/>
                  </a:schemeClr>
                </a:solidFill>
              </a:ln>
            </c:spPr>
          </c:dPt>
          <c:dPt>
            <c:idx val="2"/>
            <c:bubble3D val="0"/>
            <c:spPr>
              <a:solidFill>
                <a:schemeClr val="tx1"/>
              </a:solidFill>
              <a:ln>
                <a:solidFill>
                  <a:schemeClr val="tx1">
                    <a:alpha val="93000"/>
                  </a:schemeClr>
                </a:solidFill>
              </a:ln>
            </c:spPr>
          </c:dPt>
          <c:cat>
            <c:strRef>
              <c:f>Percentages!$G$2:$I$2</c:f>
              <c:strCache>
                <c:ptCount val="3"/>
                <c:pt idx="0">
                  <c:v>%clay</c:v>
                </c:pt>
                <c:pt idx="1">
                  <c:v>%silt</c:v>
                </c:pt>
                <c:pt idx="2">
                  <c:v>%sand</c:v>
                </c:pt>
              </c:strCache>
            </c:strRef>
          </c:cat>
          <c:val>
            <c:numRef>
              <c:f>Percentages!$G$4:$I$4</c:f>
              <c:numCache>
                <c:formatCode>General</c:formatCode>
                <c:ptCount val="3"/>
                <c:pt idx="0">
                  <c:v>1</c:v>
                </c:pt>
                <c:pt idx="1">
                  <c:v>9</c:v>
                </c:pt>
                <c:pt idx="2">
                  <c:v>90</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Percentages!$F$5</c:f>
              <c:strCache>
                <c:ptCount val="1"/>
                <c:pt idx="0">
                  <c:v>PS01</c:v>
                </c:pt>
              </c:strCache>
            </c:strRef>
          </c:tx>
          <c:spPr>
            <a:ln>
              <a:solidFill>
                <a:schemeClr val="tx1">
                  <a:alpha val="93000"/>
                </a:schemeClr>
              </a:solidFill>
            </a:ln>
          </c:spPr>
          <c:dPt>
            <c:idx val="0"/>
            <c:bubble3D val="0"/>
            <c:spPr>
              <a:solidFill>
                <a:schemeClr val="bg1"/>
              </a:solidFill>
              <a:ln>
                <a:solidFill>
                  <a:schemeClr val="tx1">
                    <a:alpha val="93000"/>
                  </a:schemeClr>
                </a:solidFill>
              </a:ln>
            </c:spPr>
          </c:dPt>
          <c:dPt>
            <c:idx val="1"/>
            <c:bubble3D val="0"/>
            <c:spPr>
              <a:solidFill>
                <a:schemeClr val="bg2">
                  <a:lumMod val="90000"/>
                </a:schemeClr>
              </a:solidFill>
              <a:ln>
                <a:solidFill>
                  <a:schemeClr val="tx1">
                    <a:alpha val="93000"/>
                  </a:schemeClr>
                </a:solidFill>
              </a:ln>
            </c:spPr>
          </c:dPt>
          <c:dPt>
            <c:idx val="2"/>
            <c:bubble3D val="0"/>
            <c:spPr>
              <a:solidFill>
                <a:schemeClr val="tx1"/>
              </a:solidFill>
              <a:ln>
                <a:solidFill>
                  <a:schemeClr val="tx1">
                    <a:alpha val="93000"/>
                  </a:schemeClr>
                </a:solidFill>
              </a:ln>
            </c:spPr>
          </c:dPt>
          <c:cat>
            <c:strRef>
              <c:f>Percentages!$G$2:$I$2</c:f>
              <c:strCache>
                <c:ptCount val="3"/>
                <c:pt idx="0">
                  <c:v>%clay</c:v>
                </c:pt>
                <c:pt idx="1">
                  <c:v>%silt</c:v>
                </c:pt>
                <c:pt idx="2">
                  <c:v>%sand</c:v>
                </c:pt>
              </c:strCache>
            </c:strRef>
          </c:cat>
          <c:val>
            <c:numRef>
              <c:f>Percentages!$G$5:$I$5</c:f>
              <c:numCache>
                <c:formatCode>General</c:formatCode>
                <c:ptCount val="3"/>
                <c:pt idx="0">
                  <c:v>8</c:v>
                </c:pt>
                <c:pt idx="1">
                  <c:v>41</c:v>
                </c:pt>
                <c:pt idx="2">
                  <c:v>51</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Percentages!$F$6</c:f>
              <c:strCache>
                <c:ptCount val="1"/>
                <c:pt idx="0">
                  <c:v>RP01</c:v>
                </c:pt>
              </c:strCache>
            </c:strRef>
          </c:tx>
          <c:spPr>
            <a:ln>
              <a:solidFill>
                <a:schemeClr val="tx1">
                  <a:alpha val="93000"/>
                </a:schemeClr>
              </a:solidFill>
            </a:ln>
          </c:spPr>
          <c:dPt>
            <c:idx val="0"/>
            <c:bubble3D val="0"/>
            <c:spPr>
              <a:solidFill>
                <a:schemeClr val="bg1"/>
              </a:solidFill>
              <a:ln>
                <a:solidFill>
                  <a:schemeClr val="tx1">
                    <a:alpha val="93000"/>
                  </a:schemeClr>
                </a:solidFill>
              </a:ln>
            </c:spPr>
          </c:dPt>
          <c:dPt>
            <c:idx val="1"/>
            <c:bubble3D val="0"/>
            <c:spPr>
              <a:solidFill>
                <a:schemeClr val="bg2">
                  <a:lumMod val="90000"/>
                </a:schemeClr>
              </a:solidFill>
              <a:ln>
                <a:solidFill>
                  <a:schemeClr val="tx1">
                    <a:alpha val="93000"/>
                  </a:schemeClr>
                </a:solidFill>
              </a:ln>
            </c:spPr>
          </c:dPt>
          <c:dPt>
            <c:idx val="2"/>
            <c:bubble3D val="0"/>
            <c:spPr>
              <a:solidFill>
                <a:schemeClr val="tx1"/>
              </a:solidFill>
              <a:ln>
                <a:solidFill>
                  <a:schemeClr val="tx1">
                    <a:alpha val="93000"/>
                  </a:schemeClr>
                </a:solidFill>
              </a:ln>
            </c:spPr>
          </c:dPt>
          <c:cat>
            <c:strRef>
              <c:f>Percentages!$G$2:$I$2</c:f>
              <c:strCache>
                <c:ptCount val="3"/>
                <c:pt idx="0">
                  <c:v>%clay</c:v>
                </c:pt>
                <c:pt idx="1">
                  <c:v>%silt</c:v>
                </c:pt>
                <c:pt idx="2">
                  <c:v>%sand</c:v>
                </c:pt>
              </c:strCache>
            </c:strRef>
          </c:cat>
          <c:val>
            <c:numRef>
              <c:f>Percentages!$G$6:$I$6</c:f>
              <c:numCache>
                <c:formatCode>General</c:formatCode>
                <c:ptCount val="3"/>
                <c:pt idx="0">
                  <c:v>1</c:v>
                </c:pt>
                <c:pt idx="1">
                  <c:v>2</c:v>
                </c:pt>
                <c:pt idx="2">
                  <c:v>97</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sz="1400"/>
            </a:pPr>
            <a:r>
              <a:rPr lang="en-US" sz="1400"/>
              <a:t>Sediment PCA</a:t>
            </a:r>
          </a:p>
        </c:rich>
      </c:tx>
      <c:layout>
        <c:manualLayout>
          <c:xMode val="edge"/>
          <c:yMode val="edge"/>
          <c:x val="0.37242683374255597"/>
          <c:y val="0"/>
        </c:manualLayout>
      </c:layout>
      <c:overlay val="0"/>
    </c:title>
    <c:autoTitleDeleted val="0"/>
    <c:plotArea>
      <c:layout>
        <c:manualLayout>
          <c:layoutTarget val="inner"/>
          <c:xMode val="edge"/>
          <c:yMode val="edge"/>
          <c:x val="5.5358625626342098E-2"/>
          <c:y val="0.11612903225806499"/>
          <c:w val="0.90816941064185197"/>
          <c:h val="0.86451612903225805"/>
        </c:manualLayout>
      </c:layout>
      <c:scatterChart>
        <c:scatterStyle val="lineMarker"/>
        <c:varyColors val="0"/>
        <c:ser>
          <c:idx val="0"/>
          <c:order val="0"/>
          <c:spPr>
            <a:ln w="47625">
              <a:noFill/>
            </a:ln>
          </c:spPr>
          <c:dLbls>
            <c:dLbl>
              <c:idx val="0"/>
              <c:layout>
                <c:manualLayout>
                  <c:x val="-1.2121212121212199E-2"/>
                  <c:y val="9.6774193548387101E-3"/>
                </c:manualLayout>
              </c:layout>
              <c:tx>
                <c:rich>
                  <a:bodyPr/>
                  <a:lstStyle/>
                  <a:p>
                    <a:r>
                      <a:rPr lang="en-US" sz="1200"/>
                      <a:t>Al</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sz="1200"/>
                      <a:t>As</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sz="1200"/>
                      <a:t>B</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sz="1200"/>
                      <a:t>Ba</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4"/>
              <c:tx>
                <c:rich>
                  <a:bodyPr/>
                  <a:lstStyle/>
                  <a:p>
                    <a:r>
                      <a:rPr lang="en-US" sz="1200"/>
                      <a:t>Ca</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5"/>
              <c:tx>
                <c:rich>
                  <a:bodyPr/>
                  <a:lstStyle/>
                  <a:p>
                    <a:r>
                      <a:rPr lang="en-US" sz="1200"/>
                      <a:t>Cd</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6"/>
              <c:layout>
                <c:manualLayout>
                  <c:x val="-3.8383997454863601E-2"/>
                  <c:y val="-2.9032258064516099E-2"/>
                </c:manualLayout>
              </c:layout>
              <c:tx>
                <c:rich>
                  <a:bodyPr/>
                  <a:lstStyle/>
                  <a:p>
                    <a:r>
                      <a:rPr lang="en-US" sz="1200"/>
                      <a:t>Cr</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7"/>
              <c:layout>
                <c:manualLayout>
                  <c:x val="-4.0404040404040803E-3"/>
                  <c:y val="4.19349758699517E-2"/>
                </c:manualLayout>
              </c:layout>
              <c:tx>
                <c:rich>
                  <a:bodyPr/>
                  <a:lstStyle/>
                  <a:p>
                    <a:r>
                      <a:rPr lang="en-US" sz="1200"/>
                      <a:t>Cu</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8"/>
              <c:tx>
                <c:rich>
                  <a:bodyPr/>
                  <a:lstStyle/>
                  <a:p>
                    <a:r>
                      <a:rPr lang="en-US" sz="1200"/>
                      <a:t>Fe</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9"/>
              <c:layout>
                <c:manualLayout>
                  <c:x val="1.61616161616162E-2"/>
                  <c:y val="0"/>
                </c:manualLayout>
              </c:layout>
              <c:tx>
                <c:rich>
                  <a:bodyPr/>
                  <a:lstStyle/>
                  <a:p>
                    <a:r>
                      <a:rPr lang="en-US" sz="1200"/>
                      <a:t>K</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0"/>
              <c:layout>
                <c:manualLayout>
                  <c:x val="-2.02020202020202E-2"/>
                  <c:y val="-1.6129032258064498E-2"/>
                </c:manualLayout>
              </c:layout>
              <c:tx>
                <c:rich>
                  <a:bodyPr/>
                  <a:lstStyle/>
                  <a:p>
                    <a:r>
                      <a:rPr lang="en-US" sz="1200"/>
                      <a:t>Mg</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1"/>
              <c:tx>
                <c:rich>
                  <a:bodyPr/>
                  <a:lstStyle/>
                  <a:p>
                    <a:r>
                      <a:rPr lang="en-US" sz="1200"/>
                      <a:t>Mn</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2"/>
              <c:layout>
                <c:manualLayout>
                  <c:x val="-8.0808080808080808E-3"/>
                  <c:y val="-3.5483870967741901E-2"/>
                </c:manualLayout>
              </c:layout>
              <c:tx>
                <c:rich>
                  <a:bodyPr/>
                  <a:lstStyle/>
                  <a:p>
                    <a:r>
                      <a:rPr lang="en-US" sz="1200"/>
                      <a:t>Mo</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3"/>
              <c:layout>
                <c:manualLayout>
                  <c:x val="-1.8181818181818198E-2"/>
                  <c:y val="-1.6129032258064498E-2"/>
                </c:manualLayout>
              </c:layout>
              <c:tx>
                <c:rich>
                  <a:bodyPr/>
                  <a:lstStyle/>
                  <a:p>
                    <a:r>
                      <a:rPr lang="en-US" sz="1200"/>
                      <a:t>Na</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4"/>
              <c:tx>
                <c:rich>
                  <a:bodyPr/>
                  <a:lstStyle/>
                  <a:p>
                    <a:r>
                      <a:rPr lang="en-US" sz="1200"/>
                      <a:t>Ni</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5"/>
              <c:tx>
                <c:rich>
                  <a:bodyPr/>
                  <a:lstStyle/>
                  <a:p>
                    <a:r>
                      <a:rPr lang="en-US" sz="1200"/>
                      <a:t>P</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6"/>
              <c:layout>
                <c:manualLayout>
                  <c:x val="-1.01010101010101E-2"/>
                  <c:y val="-2.2580645161290401E-2"/>
                </c:manualLayout>
              </c:layout>
              <c:tx>
                <c:rich>
                  <a:bodyPr/>
                  <a:lstStyle/>
                  <a:p>
                    <a:r>
                      <a:rPr lang="en-US" sz="1200"/>
                      <a:t>S</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7"/>
              <c:tx>
                <c:rich>
                  <a:bodyPr/>
                  <a:lstStyle/>
                  <a:p>
                    <a:r>
                      <a:rPr lang="en-US" sz="1200"/>
                      <a:t>Se</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8"/>
              <c:layout>
                <c:manualLayout>
                  <c:x val="3.03030303030303E-2"/>
                  <c:y val="-2.5806451612903201E-2"/>
                </c:manualLayout>
              </c:layout>
              <c:tx>
                <c:rich>
                  <a:bodyPr/>
                  <a:lstStyle/>
                  <a:p>
                    <a:r>
                      <a:rPr lang="en-US" sz="1200"/>
                      <a:t>Zn</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9"/>
              <c:tx>
                <c:rich>
                  <a:bodyPr/>
                  <a:lstStyle/>
                  <a:p>
                    <a:r>
                      <a:rPr lang="en-US" sz="1200"/>
                      <a:t>Si</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20"/>
              <c:tx>
                <c:rich>
                  <a:bodyPr/>
                  <a:lstStyle/>
                  <a:p>
                    <a:r>
                      <a:rPr lang="en-US" sz="1200"/>
                      <a:t>D50</a:t>
                    </a:r>
                    <a:endParaRPr lang="en-US"/>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200"/>
                </a:pPr>
                <a:endParaRPr lang="en-US"/>
              </a:p>
            </c:txPr>
            <c:showLegendKey val="0"/>
            <c:showVal val="0"/>
            <c:showCatName val="0"/>
            <c:showSerName val="0"/>
            <c:showPercent val="0"/>
            <c:showBubbleSize val="0"/>
            <c:extLst>
              <c:ext xmlns:c15="http://schemas.microsoft.com/office/drawing/2012/chart" uri="{CE6537A1-D6FC-4f65-9D91-7224C49458BB}">
                <c15:showLeaderLines val="0"/>
              </c:ext>
            </c:extLst>
          </c:dLbls>
          <c:xVal>
            <c:numRef>
              <c:f>Sheet1!$B$3:$B$23</c:f>
              <c:numCache>
                <c:formatCode>General</c:formatCode>
                <c:ptCount val="21"/>
                <c:pt idx="0">
                  <c:v>5.4942963999999997E-2</c:v>
                </c:pt>
                <c:pt idx="1">
                  <c:v>-1.0444887979999999</c:v>
                </c:pt>
                <c:pt idx="2">
                  <c:v>-0.91977008599999999</c:v>
                </c:pt>
                <c:pt idx="3">
                  <c:v>-1.0882951540000001</c:v>
                </c:pt>
                <c:pt idx="4">
                  <c:v>0.74617176799999996</c:v>
                </c:pt>
                <c:pt idx="5">
                  <c:v>-0.485892404</c:v>
                </c:pt>
                <c:pt idx="6">
                  <c:v>-1.030689017</c:v>
                </c:pt>
                <c:pt idx="7">
                  <c:v>-0.92603523600000004</c:v>
                </c:pt>
                <c:pt idx="8">
                  <c:v>0.49887301000000001</c:v>
                </c:pt>
                <c:pt idx="9">
                  <c:v>-0.88265102799999995</c:v>
                </c:pt>
                <c:pt idx="10">
                  <c:v>0.315981552</c:v>
                </c:pt>
                <c:pt idx="11">
                  <c:v>1.3560903010000001</c:v>
                </c:pt>
                <c:pt idx="12">
                  <c:v>-1.024890082</c:v>
                </c:pt>
                <c:pt idx="13">
                  <c:v>1.6488172999999998E-2</c:v>
                </c:pt>
                <c:pt idx="14">
                  <c:v>0.47074799299999998</c:v>
                </c:pt>
                <c:pt idx="15">
                  <c:v>0.135994911</c:v>
                </c:pt>
                <c:pt idx="16">
                  <c:v>-0.22189518499999999</c:v>
                </c:pt>
                <c:pt idx="17">
                  <c:v>1.9419515030000001</c:v>
                </c:pt>
                <c:pt idx="18">
                  <c:v>-0.95887164000000003</c:v>
                </c:pt>
                <c:pt idx="19">
                  <c:v>1.8429146350000001</c:v>
                </c:pt>
                <c:pt idx="20">
                  <c:v>1.2033218210000001</c:v>
                </c:pt>
              </c:numCache>
            </c:numRef>
          </c:xVal>
          <c:yVal>
            <c:numRef>
              <c:f>Sheet1!$C$3:$C$23</c:f>
              <c:numCache>
                <c:formatCode>General</c:formatCode>
                <c:ptCount val="21"/>
                <c:pt idx="0">
                  <c:v>-0.81666534599999996</c:v>
                </c:pt>
                <c:pt idx="1">
                  <c:v>0.21153851500000001</c:v>
                </c:pt>
                <c:pt idx="2">
                  <c:v>0.112771078</c:v>
                </c:pt>
                <c:pt idx="3">
                  <c:v>0.59652529600000004</c:v>
                </c:pt>
                <c:pt idx="4">
                  <c:v>1.973812686</c:v>
                </c:pt>
                <c:pt idx="5">
                  <c:v>-2.8832793999999998E-2</c:v>
                </c:pt>
                <c:pt idx="6">
                  <c:v>0.19712310699999999</c:v>
                </c:pt>
                <c:pt idx="7">
                  <c:v>0.116532764</c:v>
                </c:pt>
                <c:pt idx="8">
                  <c:v>-0.652642905</c:v>
                </c:pt>
                <c:pt idx="9">
                  <c:v>9.1770778999999997E-2</c:v>
                </c:pt>
                <c:pt idx="10">
                  <c:v>-0.91347677199999999</c:v>
                </c:pt>
                <c:pt idx="11">
                  <c:v>3.3067959000000001E-2</c:v>
                </c:pt>
                <c:pt idx="12">
                  <c:v>0.19143958899999999</c:v>
                </c:pt>
                <c:pt idx="13">
                  <c:v>-0.60944098000000002</c:v>
                </c:pt>
                <c:pt idx="14">
                  <c:v>-1.006491201</c:v>
                </c:pt>
                <c:pt idx="15">
                  <c:v>-0.695451665</c:v>
                </c:pt>
                <c:pt idx="16">
                  <c:v>-0.46159967600000001</c:v>
                </c:pt>
                <c:pt idx="17">
                  <c:v>-0.33450974700000002</c:v>
                </c:pt>
                <c:pt idx="18">
                  <c:v>0.13700873499999999</c:v>
                </c:pt>
                <c:pt idx="19">
                  <c:v>-0.45124585900000003</c:v>
                </c:pt>
                <c:pt idx="20">
                  <c:v>2.3087664359999991</c:v>
                </c:pt>
              </c:numCache>
            </c:numRef>
          </c:yVal>
          <c:smooth val="0"/>
        </c:ser>
        <c:dLbls>
          <c:showLegendKey val="0"/>
          <c:showVal val="0"/>
          <c:showCatName val="0"/>
          <c:showSerName val="0"/>
          <c:showPercent val="0"/>
          <c:showBubbleSize val="0"/>
        </c:dLbls>
        <c:axId val="437489328"/>
        <c:axId val="742650640"/>
      </c:scatterChart>
      <c:valAx>
        <c:axId val="437489328"/>
        <c:scaling>
          <c:orientation val="minMax"/>
        </c:scaling>
        <c:delete val="0"/>
        <c:axPos val="b"/>
        <c:title>
          <c:tx>
            <c:rich>
              <a:bodyPr/>
              <a:lstStyle/>
              <a:p>
                <a:pPr>
                  <a:defRPr sz="1100"/>
                </a:pPr>
                <a:r>
                  <a:rPr lang="en-US" sz="1100"/>
                  <a:t>Axis 1-51%</a:t>
                </a:r>
              </a:p>
            </c:rich>
          </c:tx>
          <c:layout>
            <c:manualLayout>
              <c:xMode val="edge"/>
              <c:yMode val="edge"/>
              <c:x val="0.86589549033643498"/>
              <c:y val="0.60645161290322602"/>
            </c:manualLayout>
          </c:layout>
          <c:overlay val="0"/>
        </c:title>
        <c:numFmt formatCode="General" sourceLinked="1"/>
        <c:majorTickMark val="out"/>
        <c:minorTickMark val="none"/>
        <c:tickLblPos val="nextTo"/>
        <c:crossAx val="742650640"/>
        <c:crosses val="autoZero"/>
        <c:crossBetween val="midCat"/>
      </c:valAx>
      <c:valAx>
        <c:axId val="742650640"/>
        <c:scaling>
          <c:orientation val="minMax"/>
        </c:scaling>
        <c:delete val="0"/>
        <c:axPos val="l"/>
        <c:title>
          <c:tx>
            <c:rich>
              <a:bodyPr rot="-5400000" vert="horz"/>
              <a:lstStyle/>
              <a:p>
                <a:pPr>
                  <a:defRPr sz="1100"/>
                </a:pPr>
                <a:r>
                  <a:rPr lang="en-US" sz="1100"/>
                  <a:t>Axis 2-36%</a:t>
                </a:r>
              </a:p>
            </c:rich>
          </c:tx>
          <c:layout>
            <c:manualLayout>
              <c:xMode val="edge"/>
              <c:yMode val="edge"/>
              <c:x val="1.4954585222301701E-2"/>
              <c:y val="7.5057404114808199E-2"/>
            </c:manualLayout>
          </c:layout>
          <c:overlay val="0"/>
        </c:title>
        <c:numFmt formatCode="General" sourceLinked="1"/>
        <c:majorTickMark val="out"/>
        <c:minorTickMark val="none"/>
        <c:tickLblPos val="nextTo"/>
        <c:crossAx val="437489328"/>
        <c:crosses val="autoZero"/>
        <c:crossBetween val="midCat"/>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sz="1400"/>
            </a:pPr>
            <a:r>
              <a:rPr lang="en-US" sz="1400"/>
              <a:t>Biota PCA</a:t>
            </a:r>
          </a:p>
        </c:rich>
      </c:tx>
      <c:layout>
        <c:manualLayout>
          <c:xMode val="edge"/>
          <c:yMode val="edge"/>
          <c:x val="0.43394085437596103"/>
          <c:y val="1.52963671128107E-2"/>
        </c:manualLayout>
      </c:layout>
      <c:overlay val="0"/>
    </c:title>
    <c:autoTitleDeleted val="0"/>
    <c:plotArea>
      <c:layout>
        <c:manualLayout>
          <c:layoutTarget val="inner"/>
          <c:xMode val="edge"/>
          <c:yMode val="edge"/>
          <c:x val="5.5358625626342098E-2"/>
          <c:y val="0.11612903225806499"/>
          <c:w val="0.90816941064185197"/>
          <c:h val="0.86451612903225805"/>
        </c:manualLayout>
      </c:layout>
      <c:scatterChart>
        <c:scatterStyle val="lineMarker"/>
        <c:varyColors val="0"/>
        <c:ser>
          <c:idx val="0"/>
          <c:order val="0"/>
          <c:spPr>
            <a:ln w="47625">
              <a:noFill/>
            </a:ln>
          </c:spPr>
          <c:dLbls>
            <c:dLbl>
              <c:idx val="0"/>
              <c:tx>
                <c:rich>
                  <a:bodyPr/>
                  <a:lstStyle/>
                  <a:p>
                    <a:r>
                      <a:rPr lang="en-US" sz="1200"/>
                      <a:t>Al</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sz="1200"/>
                      <a:t>As</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2"/>
              <c:layout>
                <c:manualLayout>
                  <c:x val="-1.010101010101E-2"/>
                  <c:y val="-6.4516129032258004E-3"/>
                </c:manualLayout>
              </c:layout>
              <c:tx>
                <c:rich>
                  <a:bodyPr/>
                  <a:lstStyle/>
                  <a:p>
                    <a:r>
                      <a:rPr lang="en-US" sz="1200"/>
                      <a:t>B</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sz="1200"/>
                      <a:t>Ba</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4"/>
              <c:tx>
                <c:rich>
                  <a:bodyPr/>
                  <a:lstStyle/>
                  <a:p>
                    <a:r>
                      <a:rPr lang="en-US" sz="1200"/>
                      <a:t>Ca</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5"/>
              <c:layout>
                <c:manualLayout>
                  <c:x val="0"/>
                  <c:y val="4.5161290322580601E-2"/>
                </c:manualLayout>
              </c:layout>
              <c:tx>
                <c:rich>
                  <a:bodyPr/>
                  <a:lstStyle/>
                  <a:p>
                    <a:r>
                      <a:rPr lang="en-US" sz="1200"/>
                      <a:t>Cd</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6"/>
              <c:layout>
                <c:manualLayout>
                  <c:x val="-1.21212121212123E-2"/>
                  <c:y val="-3.5483870967741901E-2"/>
                </c:manualLayout>
              </c:layout>
              <c:tx>
                <c:rich>
                  <a:bodyPr/>
                  <a:lstStyle/>
                  <a:p>
                    <a:r>
                      <a:rPr lang="en-US" sz="1200"/>
                      <a:t>Cr</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7"/>
              <c:layout>
                <c:manualLayout>
                  <c:x val="-8.0809671518332904E-3"/>
                  <c:y val="0"/>
                </c:manualLayout>
              </c:layout>
              <c:tx>
                <c:rich>
                  <a:bodyPr/>
                  <a:lstStyle/>
                  <a:p>
                    <a:r>
                      <a:rPr lang="en-US" sz="1200"/>
                      <a:t>Cu</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8"/>
              <c:layout>
                <c:manualLayout>
                  <c:x val="-3.2323232323232302E-2"/>
                  <c:y val="3.2258064516128997E-2"/>
                </c:manualLayout>
              </c:layout>
              <c:tx>
                <c:rich>
                  <a:bodyPr/>
                  <a:lstStyle/>
                  <a:p>
                    <a:r>
                      <a:rPr lang="en-US" sz="1200"/>
                      <a:t>Fe</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9"/>
              <c:layout>
                <c:manualLayout>
                  <c:x val="-1.0101010101010201E-2"/>
                  <c:y val="3.2258064516129002E-3"/>
                </c:manualLayout>
              </c:layout>
              <c:tx>
                <c:rich>
                  <a:bodyPr/>
                  <a:lstStyle/>
                  <a:p>
                    <a:r>
                      <a:rPr lang="en-US" sz="1200"/>
                      <a:t>K</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0"/>
              <c:layout>
                <c:manualLayout>
                  <c:x val="-2.2222222222222299E-2"/>
                  <c:y val="6.45161290322577E-3"/>
                </c:manualLayout>
              </c:layout>
              <c:tx>
                <c:rich>
                  <a:bodyPr/>
                  <a:lstStyle/>
                  <a:p>
                    <a:r>
                      <a:rPr lang="en-US" sz="1200"/>
                      <a:t>Mg</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1"/>
              <c:tx>
                <c:rich>
                  <a:bodyPr/>
                  <a:lstStyle/>
                  <a:p>
                    <a:r>
                      <a:rPr lang="en-US" sz="1200"/>
                      <a:t>Mn</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2"/>
              <c:layout>
                <c:manualLayout>
                  <c:x val="-1.0101010101010201E-2"/>
                  <c:y val="0"/>
                </c:manualLayout>
              </c:layout>
              <c:tx>
                <c:rich>
                  <a:bodyPr/>
                  <a:lstStyle/>
                  <a:p>
                    <a:r>
                      <a:rPr lang="en-US" sz="1200"/>
                      <a:t>Mo</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3"/>
              <c:layout>
                <c:manualLayout>
                  <c:x val="-1.01010101010101E-2"/>
                  <c:y val="2.25806451612903E-2"/>
                </c:manualLayout>
              </c:layout>
              <c:tx>
                <c:rich>
                  <a:bodyPr/>
                  <a:lstStyle/>
                  <a:p>
                    <a:r>
                      <a:rPr lang="en-US" sz="1200"/>
                      <a:t>Na</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4"/>
              <c:layout>
                <c:manualLayout>
                  <c:x val="-1.41414141414143E-2"/>
                  <c:y val="-1.9354838709677399E-2"/>
                </c:manualLayout>
              </c:layout>
              <c:tx>
                <c:rich>
                  <a:bodyPr/>
                  <a:lstStyle/>
                  <a:p>
                    <a:r>
                      <a:rPr lang="en-US" sz="1200"/>
                      <a:t>Ni</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5"/>
              <c:tx>
                <c:rich>
                  <a:bodyPr/>
                  <a:lstStyle/>
                  <a:p>
                    <a:r>
                      <a:rPr lang="en-US" sz="1200"/>
                      <a:t>P</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6"/>
              <c:tx>
                <c:rich>
                  <a:bodyPr/>
                  <a:lstStyle/>
                  <a:p>
                    <a:r>
                      <a:rPr lang="en-US" sz="1200"/>
                      <a:t>Pb</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7"/>
              <c:tx>
                <c:rich>
                  <a:bodyPr/>
                  <a:lstStyle/>
                  <a:p>
                    <a:r>
                      <a:rPr lang="en-US" sz="1200"/>
                      <a:t>S</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8"/>
              <c:layout>
                <c:manualLayout>
                  <c:x val="-2.2222381293247401E-2"/>
                  <c:y val="2.25806451612903E-2"/>
                </c:manualLayout>
              </c:layout>
              <c:tx>
                <c:rich>
                  <a:bodyPr/>
                  <a:lstStyle/>
                  <a:p>
                    <a:r>
                      <a:rPr lang="en-US" sz="1200"/>
                      <a:t>Se</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9"/>
              <c:layout>
                <c:manualLayout>
                  <c:x val="-1.4141414141414101E-2"/>
                  <c:y val="-2.5806451612903201E-2"/>
                </c:manualLayout>
              </c:layout>
              <c:tx>
                <c:rich>
                  <a:bodyPr/>
                  <a:lstStyle/>
                  <a:p>
                    <a:r>
                      <a:rPr lang="en-US" sz="1200"/>
                      <a:t>Zn</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20"/>
              <c:tx>
                <c:rich>
                  <a:bodyPr/>
                  <a:lstStyle/>
                  <a:p>
                    <a:r>
                      <a:rPr lang="en-US" sz="1200"/>
                      <a:t>Si</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21"/>
              <c:tx>
                <c:rich>
                  <a:bodyPr/>
                  <a:lstStyle/>
                  <a:p>
                    <a:r>
                      <a:rPr lang="en-US" sz="1200"/>
                      <a:t>Ag</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22"/>
              <c:tx>
                <c:rich>
                  <a:bodyPr/>
                  <a:lstStyle/>
                  <a:p>
                    <a:r>
                      <a:rPr lang="en-US" sz="1200"/>
                      <a:t>%OC</a:t>
                    </a:r>
                    <a:endParaRPr lang="en-US"/>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200"/>
                </a:pPr>
                <a:endParaRPr lang="en-US"/>
              </a:p>
            </c:txPr>
            <c:showLegendKey val="0"/>
            <c:showVal val="0"/>
            <c:showCatName val="0"/>
            <c:showSerName val="0"/>
            <c:showPercent val="0"/>
            <c:showBubbleSize val="0"/>
            <c:extLst>
              <c:ext xmlns:c15="http://schemas.microsoft.com/office/drawing/2012/chart" uri="{CE6537A1-D6FC-4f65-9D91-7224C49458BB}">
                <c15:showLeaderLines val="0"/>
              </c:ext>
            </c:extLst>
          </c:dLbls>
          <c:xVal>
            <c:numRef>
              <c:f>Sheet1!$B$54:$B$76</c:f>
              <c:numCache>
                <c:formatCode>General</c:formatCode>
                <c:ptCount val="23"/>
                <c:pt idx="0">
                  <c:v>-1.1568453408075801</c:v>
                </c:pt>
                <c:pt idx="1">
                  <c:v>-0.85887846067320295</c:v>
                </c:pt>
                <c:pt idx="2">
                  <c:v>0.21551754509596699</c:v>
                </c:pt>
                <c:pt idx="3">
                  <c:v>0.74185636230822105</c:v>
                </c:pt>
                <c:pt idx="4">
                  <c:v>-2.1781973541749</c:v>
                </c:pt>
                <c:pt idx="5">
                  <c:v>1.6740188795414599</c:v>
                </c:pt>
                <c:pt idx="6">
                  <c:v>0.70124115794386099</c:v>
                </c:pt>
                <c:pt idx="7">
                  <c:v>1.6519425720334699</c:v>
                </c:pt>
                <c:pt idx="8">
                  <c:v>-0.31633007839070698</c:v>
                </c:pt>
                <c:pt idx="9">
                  <c:v>-0.14713562231499699</c:v>
                </c:pt>
                <c:pt idx="10">
                  <c:v>9.4309498791777593E-2</c:v>
                </c:pt>
                <c:pt idx="11">
                  <c:v>-1.66222906008642</c:v>
                </c:pt>
                <c:pt idx="12">
                  <c:v>1.33082821185564</c:v>
                </c:pt>
                <c:pt idx="13">
                  <c:v>1.6559703143428901</c:v>
                </c:pt>
                <c:pt idx="14">
                  <c:v>1.54971008631162</c:v>
                </c:pt>
                <c:pt idx="15">
                  <c:v>-1.41941661873097</c:v>
                </c:pt>
                <c:pt idx="16">
                  <c:v>0.91748785328294302</c:v>
                </c:pt>
                <c:pt idx="17">
                  <c:v>-0.57686336056480003</c:v>
                </c:pt>
                <c:pt idx="18">
                  <c:v>-0.88777001077747897</c:v>
                </c:pt>
                <c:pt idx="19">
                  <c:v>1.63935268648264</c:v>
                </c:pt>
                <c:pt idx="20">
                  <c:v>-1.1910877736379599</c:v>
                </c:pt>
                <c:pt idx="21">
                  <c:v>-1.3076735683349501</c:v>
                </c:pt>
                <c:pt idx="22">
                  <c:v>-0.46980791949652201</c:v>
                </c:pt>
              </c:numCache>
            </c:numRef>
          </c:xVal>
          <c:yVal>
            <c:numRef>
              <c:f>Sheet1!$C$54:$C$76</c:f>
              <c:numCache>
                <c:formatCode>General</c:formatCode>
                <c:ptCount val="23"/>
                <c:pt idx="0">
                  <c:v>0.83950225688806102</c:v>
                </c:pt>
                <c:pt idx="1">
                  <c:v>0.95398374172989897</c:v>
                </c:pt>
                <c:pt idx="2">
                  <c:v>0.90928903840557596</c:v>
                </c:pt>
                <c:pt idx="3">
                  <c:v>0.72055491579161401</c:v>
                </c:pt>
                <c:pt idx="4">
                  <c:v>-0.73678150455555202</c:v>
                </c:pt>
                <c:pt idx="5">
                  <c:v>-0.62690748115722505</c:v>
                </c:pt>
                <c:pt idx="6">
                  <c:v>0.74935969465460595</c:v>
                </c:pt>
                <c:pt idx="7">
                  <c:v>-0.54235833797118504</c:v>
                </c:pt>
                <c:pt idx="8">
                  <c:v>0.98264809225898098</c:v>
                </c:pt>
                <c:pt idx="9">
                  <c:v>0.97285107957996997</c:v>
                </c:pt>
                <c:pt idx="10">
                  <c:v>0.78955198048481101</c:v>
                </c:pt>
                <c:pt idx="11">
                  <c:v>-1.4849951368998899</c:v>
                </c:pt>
                <c:pt idx="12">
                  <c:v>-0.36189615040572798</c:v>
                </c:pt>
                <c:pt idx="13">
                  <c:v>-0.59103090570264405</c:v>
                </c:pt>
                <c:pt idx="14">
                  <c:v>-0.22397485005015599</c:v>
                </c:pt>
                <c:pt idx="15">
                  <c:v>0.48102837872545601</c:v>
                </c:pt>
                <c:pt idx="16">
                  <c:v>0.33476469672013798</c:v>
                </c:pt>
                <c:pt idx="17">
                  <c:v>0.35026894883177701</c:v>
                </c:pt>
                <c:pt idx="18">
                  <c:v>0.94558162476833396</c:v>
                </c:pt>
                <c:pt idx="19">
                  <c:v>-0.50680781608444803</c:v>
                </c:pt>
                <c:pt idx="20">
                  <c:v>-2.2036918334201401</c:v>
                </c:pt>
                <c:pt idx="21">
                  <c:v>0.72298451154430499</c:v>
                </c:pt>
                <c:pt idx="22">
                  <c:v>-2.4739249441365598</c:v>
                </c:pt>
              </c:numCache>
            </c:numRef>
          </c:yVal>
          <c:smooth val="0"/>
        </c:ser>
        <c:dLbls>
          <c:showLegendKey val="0"/>
          <c:showVal val="0"/>
          <c:showCatName val="0"/>
          <c:showSerName val="0"/>
          <c:showPercent val="0"/>
          <c:showBubbleSize val="0"/>
        </c:dLbls>
        <c:axId val="854770720"/>
        <c:axId val="854771280"/>
      </c:scatterChart>
      <c:valAx>
        <c:axId val="854770720"/>
        <c:scaling>
          <c:orientation val="minMax"/>
        </c:scaling>
        <c:delete val="0"/>
        <c:axPos val="b"/>
        <c:title>
          <c:tx>
            <c:rich>
              <a:bodyPr/>
              <a:lstStyle/>
              <a:p>
                <a:pPr>
                  <a:defRPr sz="1100"/>
                </a:pPr>
                <a:r>
                  <a:rPr lang="en-US" sz="1100"/>
                  <a:t>Axis 1-49%</a:t>
                </a:r>
              </a:p>
            </c:rich>
          </c:tx>
          <c:layout>
            <c:manualLayout>
              <c:xMode val="edge"/>
              <c:yMode val="edge"/>
              <c:x val="0.84569347013441498"/>
              <c:y val="0.33225806451612899"/>
            </c:manualLayout>
          </c:layout>
          <c:overlay val="0"/>
        </c:title>
        <c:numFmt formatCode="General" sourceLinked="1"/>
        <c:majorTickMark val="out"/>
        <c:minorTickMark val="none"/>
        <c:tickLblPos val="nextTo"/>
        <c:crossAx val="854771280"/>
        <c:crosses val="autoZero"/>
        <c:crossBetween val="midCat"/>
      </c:valAx>
      <c:valAx>
        <c:axId val="854771280"/>
        <c:scaling>
          <c:orientation val="minMax"/>
        </c:scaling>
        <c:delete val="0"/>
        <c:axPos val="l"/>
        <c:title>
          <c:tx>
            <c:rich>
              <a:bodyPr rot="-5400000" vert="horz"/>
              <a:lstStyle/>
              <a:p>
                <a:pPr>
                  <a:defRPr sz="1100"/>
                </a:pPr>
                <a:r>
                  <a:rPr lang="en-US" sz="1100"/>
                  <a:t>Axis 2-34%</a:t>
                </a:r>
              </a:p>
            </c:rich>
          </c:tx>
          <c:layout>
            <c:manualLayout>
              <c:xMode val="edge"/>
              <c:yMode val="edge"/>
              <c:x val="6.8737771414936798E-3"/>
              <c:y val="6.7096266192532297E-2"/>
            </c:manualLayout>
          </c:layout>
          <c:overlay val="0"/>
        </c:title>
        <c:numFmt formatCode="General" sourceLinked="1"/>
        <c:majorTickMark val="out"/>
        <c:minorTickMark val="none"/>
        <c:tickLblPos val="nextTo"/>
        <c:crossAx val="854770720"/>
        <c:crosses val="autoZero"/>
        <c:crossBetween val="midCat"/>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34</Pages>
  <Words>8450</Words>
  <Characters>48168</Characters>
  <Application>Microsoft Office Word</Application>
  <DocSecurity>0</DocSecurity>
  <Lines>401</Lines>
  <Paragraphs>113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56505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Maureen D. Nolan</cp:lastModifiedBy>
  <cp:revision>2</cp:revision>
  <dcterms:created xsi:type="dcterms:W3CDTF">2018-10-19T19:28:00Z</dcterms:created>
  <dcterms:modified xsi:type="dcterms:W3CDTF">2018-10-19T19:28:00Z</dcterms:modified>
</cp:coreProperties>
</file>