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499F" w:rsidRDefault="00B8499F">
      <w:bookmarkStart w:id="0" w:name="_GoBack"/>
      <w:bookmarkEnd w:id="0"/>
    </w:p>
    <w:p w:rsidR="00A35C06" w:rsidRDefault="00A35C06"/>
    <w:p w:rsidR="00A35C06" w:rsidRDefault="00A35C06"/>
    <w:tbl>
      <w:tblPr>
        <w:tblW w:w="9500" w:type="dxa"/>
        <w:tblCellMar>
          <w:left w:w="0" w:type="dxa"/>
          <w:right w:w="0" w:type="dxa"/>
        </w:tblCellMar>
        <w:tblLook w:val="04A0" w:firstRow="1" w:lastRow="0" w:firstColumn="1" w:lastColumn="0" w:noHBand="0" w:noVBand="1"/>
      </w:tblPr>
      <w:tblGrid>
        <w:gridCol w:w="1300"/>
        <w:gridCol w:w="1440"/>
        <w:gridCol w:w="1580"/>
        <w:gridCol w:w="1720"/>
        <w:gridCol w:w="1720"/>
        <w:gridCol w:w="1740"/>
      </w:tblGrid>
      <w:tr w:rsidR="00B8499F" w:rsidRPr="00B8499F" w:rsidTr="00F6008B">
        <w:trPr>
          <w:trHeight w:val="1743"/>
        </w:trPr>
        <w:tc>
          <w:tcPr>
            <w:tcW w:w="95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44" w:type="dxa"/>
              <w:bottom w:w="0" w:type="dxa"/>
              <w:right w:w="84" w:type="dxa"/>
            </w:tcMar>
            <w:vAlign w:val="center"/>
            <w:hideMark/>
          </w:tcPr>
          <w:p w:rsidR="00B8499F" w:rsidRPr="00B8499F" w:rsidRDefault="00B8499F" w:rsidP="00F6008B">
            <w:pPr>
              <w:spacing w:after="0" w:line="256" w:lineRule="auto"/>
              <w:rPr>
                <w:rFonts w:ascii="Arial" w:eastAsia="Times New Roman" w:hAnsi="Arial" w:cs="Arial"/>
                <w:sz w:val="36"/>
                <w:szCs w:val="36"/>
              </w:rPr>
            </w:pPr>
            <w:r w:rsidRPr="00B8499F">
              <w:rPr>
                <w:rFonts w:ascii="Arial" w:eastAsia="Calibri" w:hAnsi="Arial" w:cs="Arial"/>
                <w:b/>
                <w:bCs/>
                <w:color w:val="000000" w:themeColor="text1"/>
                <w:kern w:val="24"/>
              </w:rPr>
              <w:t xml:space="preserve">Supplemental Table </w:t>
            </w:r>
            <w:r w:rsidR="000C1B28">
              <w:rPr>
                <w:rFonts w:ascii="Arial" w:eastAsia="Calibri" w:hAnsi="Arial" w:cs="Arial"/>
                <w:b/>
                <w:bCs/>
                <w:color w:val="000000" w:themeColor="text1"/>
                <w:kern w:val="24"/>
              </w:rPr>
              <w:t>S</w:t>
            </w:r>
            <w:r w:rsidRPr="00B8499F">
              <w:rPr>
                <w:rFonts w:ascii="Arial" w:eastAsia="Calibri" w:hAnsi="Arial" w:cs="Arial"/>
                <w:b/>
                <w:bCs/>
                <w:color w:val="000000" w:themeColor="text1"/>
                <w:kern w:val="24"/>
              </w:rPr>
              <w:t xml:space="preserve">1. </w:t>
            </w:r>
            <w:r w:rsidRPr="00B8499F">
              <w:rPr>
                <w:rFonts w:ascii="Arial" w:eastAsia="Times New Roman" w:hAnsi="Arial" w:cs="Arial"/>
                <w:b/>
                <w:bCs/>
                <w:color w:val="000000" w:themeColor="text1"/>
                <w:kern w:val="24"/>
              </w:rPr>
              <w:t>Fluorophore and Antigen Reagent Optical Layout</w:t>
            </w:r>
            <w:r w:rsidR="0074582E">
              <w:rPr>
                <w:rFonts w:ascii="Arial" w:eastAsia="Times New Roman" w:hAnsi="Arial" w:cs="Arial"/>
                <w:color w:val="000000" w:themeColor="text1"/>
                <w:kern w:val="24"/>
              </w:rPr>
              <w:t xml:space="preserve">. </w:t>
            </w:r>
            <w:r w:rsidRPr="00B8499F">
              <w:rPr>
                <w:rFonts w:ascii="Arial" w:eastAsia="Times New Roman" w:hAnsi="Arial" w:cs="Arial"/>
                <w:color w:val="000000" w:themeColor="text1"/>
                <w:kern w:val="24"/>
              </w:rPr>
              <w:t>Fluorophores are presented by primary laser excitation (columns) and approximate emission wavelengt</w:t>
            </w:r>
            <w:r w:rsidR="0074582E">
              <w:rPr>
                <w:rFonts w:ascii="Arial" w:eastAsia="Times New Roman" w:hAnsi="Arial" w:cs="Arial"/>
                <w:color w:val="000000" w:themeColor="text1"/>
                <w:kern w:val="24"/>
              </w:rPr>
              <w:t>hs of the peak detector (rows).</w:t>
            </w:r>
            <w:r w:rsidRPr="00B8499F">
              <w:rPr>
                <w:rFonts w:ascii="Arial" w:eastAsia="Times New Roman" w:hAnsi="Arial" w:cs="Arial"/>
                <w:color w:val="000000" w:themeColor="text1"/>
                <w:kern w:val="24"/>
              </w:rPr>
              <w:t xml:space="preserve"> Fluorophores which peak in the same detector</w:t>
            </w:r>
            <w:r w:rsidR="0074582E">
              <w:rPr>
                <w:rFonts w:ascii="Arial" w:eastAsia="Times New Roman" w:hAnsi="Arial" w:cs="Arial"/>
                <w:color w:val="000000" w:themeColor="text1"/>
                <w:kern w:val="24"/>
              </w:rPr>
              <w:t xml:space="preserve"> share the same emission block.</w:t>
            </w:r>
            <w:r w:rsidRPr="00B8499F">
              <w:rPr>
                <w:rFonts w:ascii="Arial" w:eastAsia="Times New Roman" w:hAnsi="Arial" w:cs="Arial"/>
                <w:color w:val="000000" w:themeColor="text1"/>
                <w:kern w:val="24"/>
              </w:rPr>
              <w:t xml:space="preserve"> This table layout provided helpful information regarding potential sources of spread and helped to inform the assignment of markers to fluorophores to minimize any loss of population resolution during panel design.</w:t>
            </w:r>
          </w:p>
        </w:tc>
      </w:tr>
      <w:tr w:rsidR="00B8499F" w:rsidRPr="00B8499F" w:rsidTr="00F6008B">
        <w:trPr>
          <w:trHeight w:val="46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 xml:space="preserve">Emission Wavelength (nm) </w:t>
            </w:r>
          </w:p>
        </w:tc>
        <w:tc>
          <w:tcPr>
            <w:tcW w:w="8200"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Calibri" w:hAnsi="Arial" w:cs="Arial"/>
                <w:b/>
                <w:bCs/>
                <w:color w:val="000000" w:themeColor="text1"/>
                <w:kern w:val="24"/>
                <w:sz w:val="20"/>
                <w:szCs w:val="20"/>
              </w:rPr>
              <w:t>Primary Laser Excitation</w:t>
            </w:r>
          </w:p>
        </w:tc>
      </w:tr>
      <w:tr w:rsidR="00B8499F" w:rsidRPr="00B8499F" w:rsidTr="00B8499F">
        <w:trPr>
          <w:trHeight w:val="262"/>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40" w:lineRule="auto"/>
              <w:rPr>
                <w:rFonts w:ascii="Arial" w:eastAsia="Times New Roman" w:hAnsi="Arial" w:cs="Arial"/>
                <w:sz w:val="36"/>
                <w:szCs w:val="36"/>
              </w:rPr>
            </w:pPr>
          </w:p>
        </w:tc>
        <w:tc>
          <w:tcPr>
            <w:tcW w:w="1440" w:type="dxa"/>
            <w:tcBorders>
              <w:top w:val="single" w:sz="4" w:space="0" w:color="000000"/>
              <w:left w:val="single" w:sz="4" w:space="0" w:color="000000"/>
              <w:bottom w:val="single" w:sz="4" w:space="0" w:color="000000"/>
              <w:right w:val="single" w:sz="4" w:space="0" w:color="000000"/>
            </w:tcBorders>
            <w:shd w:val="clear" w:color="auto" w:fill="D9D9D9"/>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UV</w:t>
            </w:r>
          </w:p>
        </w:tc>
        <w:tc>
          <w:tcPr>
            <w:tcW w:w="1580" w:type="dxa"/>
            <w:tcBorders>
              <w:top w:val="single" w:sz="4" w:space="0" w:color="000000"/>
              <w:left w:val="single" w:sz="4" w:space="0" w:color="000000"/>
              <w:bottom w:val="single" w:sz="4" w:space="0" w:color="000000"/>
              <w:right w:val="single" w:sz="4" w:space="0" w:color="000000"/>
            </w:tcBorders>
            <w:shd w:val="clear" w:color="auto" w:fill="D7AFFF"/>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Violet</w:t>
            </w:r>
          </w:p>
        </w:tc>
        <w:tc>
          <w:tcPr>
            <w:tcW w:w="1720" w:type="dxa"/>
            <w:tcBorders>
              <w:top w:val="single" w:sz="4" w:space="0" w:color="000000"/>
              <w:left w:val="single" w:sz="4" w:space="0" w:color="000000"/>
              <w:bottom w:val="single" w:sz="4" w:space="0" w:color="000000"/>
              <w:right w:val="single" w:sz="4" w:space="0" w:color="000000"/>
            </w:tcBorders>
            <w:shd w:val="clear" w:color="auto" w:fill="8EA9DB"/>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Blue</w:t>
            </w:r>
          </w:p>
        </w:tc>
        <w:tc>
          <w:tcPr>
            <w:tcW w:w="1720" w:type="dxa"/>
            <w:tcBorders>
              <w:top w:val="single" w:sz="4" w:space="0" w:color="000000"/>
              <w:left w:val="single" w:sz="4" w:space="0" w:color="000000"/>
              <w:bottom w:val="single" w:sz="4" w:space="0" w:color="000000"/>
              <w:right w:val="single" w:sz="4" w:space="0" w:color="000000"/>
            </w:tcBorders>
            <w:shd w:val="clear" w:color="auto" w:fill="C3FAA8"/>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Yellow Green</w:t>
            </w:r>
          </w:p>
        </w:tc>
        <w:tc>
          <w:tcPr>
            <w:tcW w:w="1740" w:type="dxa"/>
            <w:tcBorders>
              <w:top w:val="single" w:sz="4" w:space="0" w:color="000000"/>
              <w:left w:val="single" w:sz="4" w:space="0" w:color="000000"/>
              <w:bottom w:val="single" w:sz="4" w:space="0" w:color="000000"/>
              <w:right w:val="single" w:sz="4" w:space="0" w:color="000000"/>
            </w:tcBorders>
            <w:shd w:val="clear" w:color="auto" w:fill="FDA5AD"/>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20"/>
                <w:szCs w:val="20"/>
              </w:rPr>
              <w:t>Red</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380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eastAsia="Times New Roman" w:hAnsi="Calibri"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eastAsia="Times New Roman" w:hAnsi="Calibri"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eastAsia="Times New Roman" w:hAnsi="Calibri"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eastAsia="Times New Roman" w:hAnsi="Calibri"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eastAsia="Times New Roman" w:hAnsi="Calibri"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400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BUV 395-MHCII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420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BV421-CD11c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440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450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Live/Dead Blue</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Pacific Blue-Ly6G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480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i/>
                <w:iCs/>
                <w:color w:val="000000" w:themeColor="text1"/>
                <w:kern w:val="24"/>
                <w:sz w:val="16"/>
                <w:szCs w:val="16"/>
              </w:rPr>
              <w:t> </w:t>
            </w:r>
            <w:r w:rsidRPr="00B8499F">
              <w:rPr>
                <w:rFonts w:ascii="Arial" w:eastAsia="Times New Roman" w:hAnsi="Arial" w:cs="Arial"/>
                <w:b/>
                <w:bCs/>
                <w:i/>
                <w:iCs/>
                <w:color w:val="000000" w:themeColor="text1"/>
                <w:kern w:val="24"/>
                <w:sz w:val="16"/>
                <w:szCs w:val="16"/>
              </w:rPr>
              <w:t>AF channel</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500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510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i/>
                <w:iCs/>
                <w:color w:val="000000" w:themeColor="text1"/>
                <w:kern w:val="24"/>
                <w:sz w:val="16"/>
                <w:szCs w:val="16"/>
              </w:rPr>
              <w:t>AF channel</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432"/>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520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AlexaFluor488-CD45 (IV)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550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570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40" w:lineRule="auto"/>
              <w:rPr>
                <w:rFonts w:ascii="Arial" w:eastAsia="Times New Roman" w:hAnsi="Arial" w:cs="Arial"/>
                <w:sz w:val="36"/>
                <w:szCs w:val="36"/>
              </w:rPr>
            </w:pP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580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PE--CD8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600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BV605-NKp46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PE-Dazzle 594-CD3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432"/>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610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BUV615-CD45 (IT)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650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665</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BV650-Ly6C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680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PerCP-CD45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PE-Cy5.5-CD19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AlexaFluor647-F4/80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700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40" w:lineRule="auto"/>
              <w:rPr>
                <w:rFonts w:ascii="Arial" w:eastAsia="Times New Roman" w:hAnsi="Arial" w:cs="Arial"/>
                <w:sz w:val="36"/>
                <w:szCs w:val="36"/>
              </w:rPr>
            </w:pP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40" w:lineRule="auto"/>
              <w:rPr>
                <w:rFonts w:ascii="Times New Roman" w:eastAsia="Times New Roman" w:hAnsi="Times New Roman" w:cs="Times New Roman"/>
                <w:sz w:val="20"/>
                <w:szCs w:val="20"/>
              </w:rPr>
            </w:pP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APC-R700-CD11b </w:t>
            </w:r>
          </w:p>
        </w:tc>
      </w:tr>
      <w:tr w:rsidR="00B8499F" w:rsidRPr="00B8499F" w:rsidTr="00B8499F">
        <w:trPr>
          <w:trHeight w:val="432"/>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710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40" w:lineRule="auto"/>
              <w:rPr>
                <w:rFonts w:ascii="Arial" w:eastAsia="Times New Roman" w:hAnsi="Arial" w:cs="Arial"/>
                <w:sz w:val="36"/>
                <w:szCs w:val="36"/>
              </w:rPr>
            </w:pP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BV711-CD64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PerCP-eF710-</w:t>
            </w:r>
            <w:r w:rsidRPr="00B8499F">
              <w:rPr>
                <w:rFonts w:ascii="Symbol" w:eastAsia="Times New Roman" w:hAnsi="Symbol" w:cs="Arial"/>
                <w:color w:val="000000" w:themeColor="text1"/>
                <w:kern w:val="24"/>
                <w:sz w:val="16"/>
                <w:szCs w:val="16"/>
              </w:rPr>
              <w:t></w:t>
            </w:r>
            <w:r w:rsidRPr="00B8499F">
              <w:rPr>
                <w:rFonts w:ascii="Symbol" w:eastAsia="Times New Roman" w:hAnsi="Symbol" w:cs="Arial"/>
                <w:color w:val="000000" w:themeColor="text1"/>
                <w:kern w:val="24"/>
                <w:sz w:val="16"/>
                <w:szCs w:val="16"/>
              </w:rPr>
              <w:t></w:t>
            </w:r>
            <w:r w:rsidRPr="00B8499F">
              <w:rPr>
                <w:rFonts w:ascii="Arial" w:eastAsia="Times New Roman" w:hAnsi="Arial" w:cs="Arial"/>
                <w:color w:val="000000" w:themeColor="text1"/>
                <w:kern w:val="24"/>
                <w:sz w:val="16"/>
                <w:szCs w:val="16"/>
              </w:rPr>
              <w:t>TCR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730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BUV737-CD103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750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BV750-Siglec F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780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BV785-CD4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PE-Cy7-CD24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xml:space="preserve">APC-eF780-CD49b </w:t>
            </w:r>
          </w:p>
        </w:tc>
      </w:tr>
      <w:tr w:rsidR="00B8499F" w:rsidRPr="00B8499F" w:rsidTr="00B8499F">
        <w:trPr>
          <w:trHeight w:val="288"/>
        </w:trPr>
        <w:tc>
          <w:tcPr>
            <w:tcW w:w="130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b/>
                <w:bCs/>
                <w:color w:val="000000" w:themeColor="text1"/>
                <w:kern w:val="24"/>
                <w:sz w:val="16"/>
                <w:szCs w:val="16"/>
              </w:rPr>
              <w:t>800</w:t>
            </w:r>
          </w:p>
        </w:tc>
        <w:tc>
          <w:tcPr>
            <w:tcW w:w="14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2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c>
          <w:tcPr>
            <w:tcW w:w="1740" w:type="dxa"/>
            <w:tcBorders>
              <w:top w:val="single" w:sz="4" w:space="0" w:color="000000"/>
              <w:left w:val="single" w:sz="4" w:space="0" w:color="000000"/>
              <w:bottom w:val="single" w:sz="4" w:space="0" w:color="000000"/>
              <w:right w:val="single" w:sz="4" w:space="0" w:color="000000"/>
            </w:tcBorders>
            <w:shd w:val="clear" w:color="auto" w:fill="auto"/>
            <w:tcMar>
              <w:top w:w="15" w:type="dxa"/>
              <w:left w:w="84" w:type="dxa"/>
              <w:bottom w:w="0" w:type="dxa"/>
              <w:right w:w="84" w:type="dxa"/>
            </w:tcMar>
            <w:vAlign w:val="center"/>
            <w:hideMark/>
          </w:tcPr>
          <w:p w:rsidR="00B8499F" w:rsidRPr="00B8499F" w:rsidRDefault="00B8499F" w:rsidP="00F6008B">
            <w:pPr>
              <w:spacing w:after="0" w:line="256" w:lineRule="auto"/>
              <w:jc w:val="center"/>
              <w:rPr>
                <w:rFonts w:ascii="Arial" w:eastAsia="Times New Roman" w:hAnsi="Arial" w:cs="Arial"/>
                <w:sz w:val="36"/>
                <w:szCs w:val="36"/>
              </w:rPr>
            </w:pPr>
            <w:r w:rsidRPr="00B8499F">
              <w:rPr>
                <w:rFonts w:ascii="Arial" w:eastAsia="Times New Roman" w:hAnsi="Arial" w:cs="Arial"/>
                <w:color w:val="000000" w:themeColor="text1"/>
                <w:kern w:val="24"/>
                <w:sz w:val="16"/>
                <w:szCs w:val="16"/>
              </w:rPr>
              <w:t> </w:t>
            </w:r>
          </w:p>
        </w:tc>
      </w:tr>
    </w:tbl>
    <w:p w:rsidR="00B8499F" w:rsidRDefault="00B8499F"/>
    <w:sectPr w:rsidR="00B8499F">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4347" w:rsidRDefault="00A64347" w:rsidP="00B8499F">
      <w:pPr>
        <w:spacing w:after="0" w:line="240" w:lineRule="auto"/>
      </w:pPr>
      <w:r>
        <w:separator/>
      </w:r>
    </w:p>
  </w:endnote>
  <w:endnote w:type="continuationSeparator" w:id="0">
    <w:p w:rsidR="00A64347" w:rsidRDefault="00A64347" w:rsidP="00B849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4347" w:rsidRDefault="00A64347" w:rsidP="00B8499F">
      <w:pPr>
        <w:spacing w:after="0" w:line="240" w:lineRule="auto"/>
      </w:pPr>
      <w:r>
        <w:separator/>
      </w:r>
    </w:p>
  </w:footnote>
  <w:footnote w:type="continuationSeparator" w:id="0">
    <w:p w:rsidR="00A64347" w:rsidRDefault="00A64347" w:rsidP="00B849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499F" w:rsidRDefault="00A35C06">
    <w:pPr>
      <w:pStyle w:val="Header"/>
    </w:pPr>
    <w:r w:rsidRPr="00A35C06">
      <w:rPr>
        <w:noProof/>
      </w:rPr>
      <mc:AlternateContent>
        <mc:Choice Requires="wps">
          <w:drawing>
            <wp:anchor distT="0" distB="0" distL="114300" distR="114300" simplePos="0" relativeHeight="251659264" behindDoc="0" locked="0" layoutInCell="1" allowOverlap="1" wp14:anchorId="650A316E" wp14:editId="33BEF91D">
              <wp:simplePos x="0" y="0"/>
              <wp:positionH relativeFrom="column">
                <wp:posOffset>0</wp:posOffset>
              </wp:positionH>
              <wp:positionV relativeFrom="paragraph">
                <wp:posOffset>-635</wp:posOffset>
              </wp:positionV>
              <wp:extent cx="4838206" cy="461665"/>
              <wp:effectExtent l="0" t="0" r="19685" b="14605"/>
              <wp:wrapNone/>
              <wp:docPr id="11" name="Rectangle 10"/>
              <wp:cNvGraphicFramePr/>
              <a:graphic xmlns:a="http://schemas.openxmlformats.org/drawingml/2006/main">
                <a:graphicData uri="http://schemas.microsoft.com/office/word/2010/wordprocessingShape">
                  <wps:wsp>
                    <wps:cNvSpPr/>
                    <wps:spPr>
                      <a:xfrm>
                        <a:off x="0" y="0"/>
                        <a:ext cx="4838206" cy="461665"/>
                      </a:xfrm>
                      <a:prstGeom prst="rect">
                        <a:avLst/>
                      </a:prstGeom>
                      <a:ln w="3175">
                        <a:solidFill>
                          <a:schemeClr val="tx1"/>
                        </a:solidFill>
                      </a:ln>
                    </wps:spPr>
                    <wps:txbx>
                      <w:txbxContent>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Multi-Compartmental Analysis of the Murine Pulmonary Immune Response by Spectral Flow Cytometry</w:t>
                          </w:r>
                        </w:p>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Chang M.Y., Brune J.E., Black M., Altemeier W.A., and Frevert C.W.</w:t>
                          </w:r>
                        </w:p>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American Journal of Physiology Lung Cellular and Molecular Physiology</w:t>
                          </w:r>
                        </w:p>
                      </w:txbxContent>
                    </wps:txbx>
                    <wps:bodyPr wrap="square">
                      <a:spAutoFit/>
                    </wps:bodyPr>
                  </wps:wsp>
                </a:graphicData>
              </a:graphic>
            </wp:anchor>
          </w:drawing>
        </mc:Choice>
        <mc:Fallback>
          <w:pict>
            <v:rect w14:anchorId="650A316E" id="Rectangle 10" o:spid="_x0000_s1026" style="position:absolute;margin-left:0;margin-top:-.05pt;width:380.95pt;height:36.3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" filled="f" strokecolor="black [3213]" strokeweight=".25pt">
              <v:textbox style="mso-fit-shape-to-text:t">
                <w:txbxContent>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Multi-Compartmental Analysis of the Murine Pulmonary Immune Response by Spectral Flow Cytometry</w:t>
                    </w:r>
                  </w:p>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Chang M.Y., Brune J.E., Black M., Altemeier W.A., and Frevert C.W.</w:t>
                    </w:r>
                  </w:p>
                  <w:p w:rsidR="00A35C06" w:rsidRDefault="00A35C06" w:rsidP="00A35C06">
                    <w:pPr>
                      <w:pStyle w:val="NormalWeb"/>
                      <w:spacing w:before="0" w:beforeAutospacing="0" w:after="0" w:afterAutospacing="0"/>
                    </w:pPr>
                    <w:r>
                      <w:rPr>
                        <w:rFonts w:ascii="Arial" w:eastAsia="Calibri" w:hAnsi="Arial" w:cs="Arial"/>
                        <w:color w:val="000000" w:themeColor="text1"/>
                        <w:kern w:val="24"/>
                        <w:sz w:val="16"/>
                        <w:szCs w:val="16"/>
                      </w:rPr>
                      <w:t>American Journal of Physiology Lung Cellular and Molecular Physiology</w:t>
                    </w:r>
                  </w:p>
                </w:txbxContent>
              </v:textbox>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499F"/>
    <w:rsid w:val="000C1B28"/>
    <w:rsid w:val="0074582E"/>
    <w:rsid w:val="007A18C2"/>
    <w:rsid w:val="00A35C06"/>
    <w:rsid w:val="00A64347"/>
    <w:rsid w:val="00B8499F"/>
    <w:rsid w:val="00E87929"/>
    <w:rsid w:val="00FD1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5AA68"/>
  <w15:chartTrackingRefBased/>
  <w15:docId w15:val="{8B688D22-05D4-40E7-A556-6647B1E32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8499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B849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499F"/>
  </w:style>
  <w:style w:type="paragraph" w:styleId="Footer">
    <w:name w:val="footer"/>
    <w:basedOn w:val="Normal"/>
    <w:link w:val="FooterChar"/>
    <w:uiPriority w:val="99"/>
    <w:unhideWhenUsed/>
    <w:rsid w:val="00B849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499F"/>
  </w:style>
  <w:style w:type="table" w:styleId="TableGrid">
    <w:name w:val="Table Grid"/>
    <w:basedOn w:val="TableNormal"/>
    <w:uiPriority w:val="39"/>
    <w:rsid w:val="00B849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278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183</Words>
  <Characters>1047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Y. Chang</dc:creator>
  <cp:keywords/>
  <dc:description/>
  <cp:lastModifiedBy>Mary Y. Chang</cp:lastModifiedBy>
  <cp:revision>5</cp:revision>
  <dcterms:created xsi:type="dcterms:W3CDTF">2023-05-09T18:58:00Z</dcterms:created>
  <dcterms:modified xsi:type="dcterms:W3CDTF">2023-05-10T19:34:00Z</dcterms:modified>
</cp:coreProperties>
</file>