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12"/>
        </w:rPr>
        <w:id w:val="-1239929738"/>
        <w:docPartObj>
          <w:docPartGallery w:val="Cover Pages"/>
          <w:docPartUnique/>
        </w:docPartObj>
      </w:sdtPr>
      <w:sdtEndPr>
        <w:rPr>
          <w:b/>
          <w:sz w:val="24"/>
        </w:rPr>
      </w:sdtEndPr>
      <w:sdtContent>
        <w:p w14:paraId="692C6913" w14:textId="77777777" w:rsidR="00883D72" w:rsidRPr="0004270B" w:rsidRDefault="00883D72">
          <w:pPr>
            <w:rPr>
              <w:sz w:val="12"/>
            </w:rPr>
          </w:pPr>
        </w:p>
        <w:p w14:paraId="67C7DA70" w14:textId="77777777" w:rsidR="0004270B" w:rsidRDefault="0004270B">
          <w:pPr>
            <w:rPr>
              <w:rFonts w:asciiTheme="majorHAnsi" w:eastAsiaTheme="majorEastAsia" w:hAnsiTheme="majorHAnsi" w:cstheme="majorBidi"/>
              <w:b/>
              <w:sz w:val="48"/>
              <w:szCs w:val="48"/>
            </w:rPr>
          </w:pPr>
        </w:p>
        <w:p w14:paraId="7913E109" w14:textId="77777777" w:rsidR="0004270B" w:rsidRDefault="0004270B">
          <w:pPr>
            <w:rPr>
              <w:rFonts w:asciiTheme="majorHAnsi" w:eastAsiaTheme="majorEastAsia" w:hAnsiTheme="majorHAnsi" w:cstheme="majorBidi"/>
              <w:b/>
              <w:sz w:val="48"/>
              <w:szCs w:val="48"/>
            </w:rPr>
          </w:pPr>
        </w:p>
        <w:p w14:paraId="0AAD1B1F" w14:textId="77777777" w:rsidR="0004270B" w:rsidRDefault="0004270B">
          <w:pPr>
            <w:rPr>
              <w:rFonts w:asciiTheme="majorHAnsi" w:eastAsiaTheme="majorEastAsia" w:hAnsiTheme="majorHAnsi" w:cstheme="majorBidi"/>
              <w:b/>
              <w:sz w:val="48"/>
              <w:szCs w:val="48"/>
            </w:rPr>
          </w:pPr>
        </w:p>
        <w:p w14:paraId="2DF629B0" w14:textId="77777777" w:rsidR="0004270B" w:rsidRDefault="0004270B">
          <w:pPr>
            <w:rPr>
              <w:rFonts w:asciiTheme="majorHAnsi" w:eastAsiaTheme="majorEastAsia" w:hAnsiTheme="majorHAnsi" w:cstheme="majorBidi"/>
              <w:b/>
              <w:sz w:val="48"/>
              <w:szCs w:val="48"/>
            </w:rPr>
          </w:pPr>
        </w:p>
        <w:p w14:paraId="09FBCAF7" w14:textId="14E700FE" w:rsidR="005973B8" w:rsidRPr="005973B8" w:rsidRDefault="005973B8" w:rsidP="005973B8">
          <w:pPr>
            <w:jc w:val="center"/>
            <w:rPr>
              <w:rFonts w:asciiTheme="majorHAnsi" w:eastAsiaTheme="majorEastAsia" w:hAnsiTheme="majorHAnsi" w:cstheme="majorBidi"/>
              <w:b/>
              <w:sz w:val="48"/>
              <w:szCs w:val="48"/>
            </w:rPr>
          </w:pPr>
          <w:r w:rsidRPr="005973B8">
            <w:rPr>
              <w:rFonts w:asciiTheme="majorHAnsi" w:eastAsiaTheme="majorEastAsia" w:hAnsiTheme="majorHAnsi" w:cstheme="majorBidi"/>
              <w:b/>
              <w:sz w:val="48"/>
              <w:szCs w:val="48"/>
            </w:rPr>
            <w:t xml:space="preserve">Sub Surface Expression of the </w:t>
          </w:r>
          <w:r w:rsidR="003C008C">
            <w:rPr>
              <w:rFonts w:asciiTheme="majorHAnsi" w:eastAsiaTheme="majorEastAsia" w:hAnsiTheme="majorHAnsi" w:cstheme="majorBidi"/>
              <w:b/>
              <w:sz w:val="48"/>
              <w:szCs w:val="48"/>
            </w:rPr>
            <w:t xml:space="preserve">Antarctic </w:t>
          </w:r>
          <w:r w:rsidRPr="005973B8">
            <w:rPr>
              <w:rFonts w:asciiTheme="majorHAnsi" w:eastAsiaTheme="majorEastAsia" w:hAnsiTheme="majorHAnsi" w:cstheme="majorBidi"/>
              <w:b/>
              <w:sz w:val="48"/>
              <w:szCs w:val="48"/>
            </w:rPr>
            <w:t xml:space="preserve">Polar Front at </w:t>
          </w:r>
          <w:r w:rsidR="003C008C">
            <w:rPr>
              <w:rFonts w:asciiTheme="majorHAnsi" w:eastAsiaTheme="majorEastAsia" w:hAnsiTheme="majorHAnsi" w:cstheme="majorBidi"/>
              <w:b/>
              <w:sz w:val="48"/>
              <w:szCs w:val="48"/>
            </w:rPr>
            <w:t>Regions</w:t>
          </w:r>
          <w:r w:rsidRPr="005973B8">
            <w:rPr>
              <w:rFonts w:asciiTheme="majorHAnsi" w:eastAsiaTheme="majorEastAsia" w:hAnsiTheme="majorHAnsi" w:cstheme="majorBidi"/>
              <w:b/>
              <w:sz w:val="48"/>
              <w:szCs w:val="48"/>
            </w:rPr>
            <w:t xml:space="preserve"> of Large and Small Latitudinal Variability</w:t>
          </w:r>
        </w:p>
        <w:p w14:paraId="7D8ECF8F" w14:textId="77777777" w:rsidR="0004270B" w:rsidRDefault="0004270B">
          <w:pPr>
            <w:rPr>
              <w:rFonts w:asciiTheme="majorHAnsi" w:eastAsiaTheme="majorEastAsia" w:hAnsiTheme="majorHAnsi" w:cstheme="majorBidi"/>
              <w:b/>
              <w:sz w:val="48"/>
              <w:szCs w:val="48"/>
            </w:rPr>
          </w:pPr>
        </w:p>
        <w:p w14:paraId="6ABDAA97" w14:textId="77777777" w:rsidR="0004270B" w:rsidRDefault="0004270B">
          <w:pPr>
            <w:rPr>
              <w:rFonts w:eastAsiaTheme="majorEastAsia" w:cstheme="majorBidi"/>
              <w:b/>
            </w:rPr>
          </w:pPr>
        </w:p>
        <w:p w14:paraId="094656A0" w14:textId="77777777" w:rsidR="0004270B" w:rsidRDefault="0004270B">
          <w:pPr>
            <w:rPr>
              <w:rFonts w:eastAsiaTheme="majorEastAsia" w:cstheme="majorBidi"/>
              <w:b/>
            </w:rPr>
          </w:pPr>
        </w:p>
        <w:p w14:paraId="6A75DD96" w14:textId="77777777" w:rsidR="0004270B" w:rsidRDefault="0004270B">
          <w:pPr>
            <w:rPr>
              <w:rFonts w:eastAsiaTheme="majorEastAsia" w:cstheme="majorBidi"/>
              <w:b/>
            </w:rPr>
          </w:pPr>
        </w:p>
        <w:p w14:paraId="46C2BCCD" w14:textId="77777777" w:rsidR="0004270B" w:rsidRDefault="0004270B">
          <w:pPr>
            <w:rPr>
              <w:rFonts w:eastAsiaTheme="majorEastAsia" w:cstheme="majorBidi"/>
              <w:b/>
            </w:rPr>
          </w:pPr>
        </w:p>
        <w:p w14:paraId="37D1E13C" w14:textId="77777777" w:rsidR="0004270B" w:rsidRDefault="0004270B">
          <w:pPr>
            <w:rPr>
              <w:rFonts w:eastAsiaTheme="majorEastAsia" w:cstheme="majorBidi"/>
              <w:b/>
            </w:rPr>
          </w:pPr>
        </w:p>
        <w:p w14:paraId="09BA8FB2" w14:textId="77777777" w:rsidR="0004270B" w:rsidRDefault="0004270B">
          <w:pPr>
            <w:rPr>
              <w:rFonts w:eastAsiaTheme="majorEastAsia" w:cstheme="majorBidi"/>
              <w:b/>
            </w:rPr>
          </w:pPr>
        </w:p>
        <w:p w14:paraId="55274B6C" w14:textId="77777777" w:rsidR="0004270B" w:rsidRDefault="0004270B">
          <w:pPr>
            <w:rPr>
              <w:rFonts w:eastAsiaTheme="majorEastAsia" w:cstheme="majorBidi"/>
              <w:b/>
            </w:rPr>
          </w:pPr>
        </w:p>
        <w:p w14:paraId="5F854B12" w14:textId="77777777" w:rsidR="0004270B" w:rsidRDefault="0004270B">
          <w:pPr>
            <w:rPr>
              <w:rFonts w:eastAsiaTheme="majorEastAsia" w:cstheme="majorBidi"/>
              <w:b/>
            </w:rPr>
          </w:pPr>
        </w:p>
        <w:p w14:paraId="179DCD67" w14:textId="77777777" w:rsidR="0004270B" w:rsidRDefault="0004270B">
          <w:pPr>
            <w:rPr>
              <w:rFonts w:eastAsiaTheme="majorEastAsia" w:cstheme="majorBidi"/>
              <w:b/>
            </w:rPr>
          </w:pPr>
        </w:p>
        <w:p w14:paraId="1BDDB66C" w14:textId="77777777" w:rsidR="0004270B" w:rsidRDefault="0004270B">
          <w:pPr>
            <w:rPr>
              <w:rFonts w:eastAsiaTheme="majorEastAsia" w:cstheme="majorBidi"/>
              <w:b/>
            </w:rPr>
          </w:pPr>
        </w:p>
        <w:p w14:paraId="23AC0415" w14:textId="77777777" w:rsidR="0004270B" w:rsidRDefault="0004270B">
          <w:pPr>
            <w:rPr>
              <w:rFonts w:eastAsiaTheme="majorEastAsia" w:cstheme="majorBidi"/>
              <w:b/>
            </w:rPr>
          </w:pPr>
        </w:p>
        <w:p w14:paraId="192571F9" w14:textId="77777777" w:rsidR="0004270B" w:rsidRDefault="0004270B">
          <w:pPr>
            <w:rPr>
              <w:rFonts w:eastAsiaTheme="majorEastAsia" w:cstheme="majorBidi"/>
              <w:b/>
            </w:rPr>
          </w:pPr>
        </w:p>
        <w:p w14:paraId="4C9216DA" w14:textId="77777777" w:rsidR="0004270B" w:rsidRDefault="0004270B">
          <w:pPr>
            <w:rPr>
              <w:rFonts w:eastAsiaTheme="majorEastAsia" w:cstheme="majorBidi"/>
              <w:b/>
            </w:rPr>
          </w:pPr>
        </w:p>
        <w:p w14:paraId="1B838848" w14:textId="77777777" w:rsidR="0004270B" w:rsidRDefault="0004270B">
          <w:pPr>
            <w:rPr>
              <w:rFonts w:eastAsiaTheme="majorEastAsia" w:cstheme="majorBidi"/>
              <w:b/>
            </w:rPr>
          </w:pPr>
        </w:p>
        <w:p w14:paraId="200FF8E4" w14:textId="77777777" w:rsidR="0004270B" w:rsidRPr="00F250CB" w:rsidRDefault="0004270B" w:rsidP="0004270B">
          <w:pPr>
            <w:jc w:val="center"/>
            <w:rPr>
              <w:rFonts w:eastAsiaTheme="majorEastAsia" w:cstheme="majorBidi"/>
            </w:rPr>
          </w:pPr>
          <w:r w:rsidRPr="00F250CB">
            <w:rPr>
              <w:rFonts w:eastAsiaTheme="majorEastAsia" w:cstheme="majorBidi"/>
            </w:rPr>
            <w:t>Juliana Chen</w:t>
          </w:r>
        </w:p>
        <w:p w14:paraId="1FCC084A" w14:textId="77777777" w:rsidR="0004270B" w:rsidRPr="00F250CB" w:rsidRDefault="0004270B" w:rsidP="0004270B">
          <w:pPr>
            <w:jc w:val="center"/>
            <w:rPr>
              <w:rFonts w:eastAsiaTheme="majorEastAsia" w:cstheme="majorBidi"/>
            </w:rPr>
          </w:pPr>
          <w:r w:rsidRPr="00F250CB">
            <w:rPr>
              <w:rFonts w:eastAsiaTheme="majorEastAsia" w:cstheme="majorBidi"/>
            </w:rPr>
            <w:t>University of Washington</w:t>
          </w:r>
        </w:p>
        <w:p w14:paraId="7166C0F8" w14:textId="77777777" w:rsidR="0004270B" w:rsidRPr="00F250CB" w:rsidRDefault="0004270B" w:rsidP="0004270B">
          <w:pPr>
            <w:jc w:val="center"/>
            <w:rPr>
              <w:rFonts w:eastAsiaTheme="majorEastAsia" w:cstheme="majorBidi"/>
            </w:rPr>
          </w:pPr>
          <w:r w:rsidRPr="00F250CB">
            <w:rPr>
              <w:rFonts w:eastAsiaTheme="majorEastAsia" w:cstheme="majorBidi"/>
            </w:rPr>
            <w:t>jpez@uw.edu</w:t>
          </w:r>
        </w:p>
        <w:p w14:paraId="0E05CBE1" w14:textId="138E37E8" w:rsidR="00883D72" w:rsidRDefault="0004270B" w:rsidP="0004270B">
          <w:pPr>
            <w:jc w:val="center"/>
            <w:rPr>
              <w:b/>
            </w:rPr>
          </w:pPr>
          <w:r w:rsidRPr="00F250CB">
            <w:t xml:space="preserve">May </w:t>
          </w:r>
          <w:r w:rsidR="005973B8">
            <w:t>30</w:t>
          </w:r>
          <w:r w:rsidRPr="00F250CB">
            <w:rPr>
              <w:vertAlign w:val="superscript"/>
            </w:rPr>
            <w:t>th</w:t>
          </w:r>
          <w:r w:rsidRPr="00F250CB">
            <w:t>, 2017</w:t>
          </w:r>
          <w:r w:rsidR="00883D72">
            <w:rPr>
              <w:b/>
            </w:rPr>
            <w:br w:type="page"/>
          </w:r>
        </w:p>
      </w:sdtContent>
    </w:sdt>
    <w:p w14:paraId="0F6B2BDE" w14:textId="77777777" w:rsidR="0004270B" w:rsidRDefault="0004270B" w:rsidP="0004270B">
      <w:pPr>
        <w:rPr>
          <w:b/>
        </w:rPr>
      </w:pPr>
      <w:r>
        <w:rPr>
          <w:b/>
        </w:rPr>
        <w:lastRenderedPageBreak/>
        <w:t>Abstract</w:t>
      </w:r>
    </w:p>
    <w:p w14:paraId="1B3966A8" w14:textId="10856006" w:rsidR="0004270B" w:rsidRPr="00663E19" w:rsidRDefault="00663E19" w:rsidP="00663E19">
      <w:pPr>
        <w:spacing w:line="480" w:lineRule="auto"/>
        <w:ind w:firstLine="720"/>
      </w:pPr>
      <w:r>
        <w:t xml:space="preserve">The Polar Front is an important </w:t>
      </w:r>
      <w:proofErr w:type="spellStart"/>
      <w:r w:rsidRPr="00922681">
        <w:t>meridional</w:t>
      </w:r>
      <w:proofErr w:type="spellEnd"/>
      <w:r>
        <w:t xml:space="preserve"> heat tra</w:t>
      </w:r>
      <w:r w:rsidR="00E16EF1">
        <w:t>nsport boundary</w:t>
      </w:r>
      <w:r>
        <w:t>. So</w:t>
      </w:r>
      <w:r w:rsidR="00B43869">
        <w:t>,</w:t>
      </w:r>
      <w:r>
        <w:t xml:space="preserve"> its location and strength are important to understand</w:t>
      </w:r>
      <w:r w:rsidR="00FE564E">
        <w:t>ing the heat budget</w:t>
      </w:r>
      <w:r>
        <w:t>. Previous studies have been conducted on the position of the Polar</w:t>
      </w:r>
      <w:r w:rsidR="00E16EF1">
        <w:t xml:space="preserve"> Front using surface properties</w:t>
      </w:r>
      <w:r w:rsidR="00FE564E">
        <w:t>, but none have focused on the sub surface expression of the gradient</w:t>
      </w:r>
      <w:r w:rsidR="00E16EF1">
        <w:t>.</w:t>
      </w:r>
      <w:r w:rsidR="00B43869">
        <w:t xml:space="preserve"> T</w:t>
      </w:r>
      <w:r>
        <w:t xml:space="preserve">his study will focus on the subsurface expression of the Polar Front, qualifying the vertical shear, at locations where the surface position of the Polar Front shows high and low variability. </w:t>
      </w:r>
      <w:r w:rsidR="00FE564E">
        <w:t xml:space="preserve">By sampling six different locations along the Polar Front, it is found that there is no distinct pattern of the gradients as compared by locations of high and low variability of position. </w:t>
      </w:r>
      <w:r>
        <w:t>It is found</w:t>
      </w:r>
      <w:r w:rsidR="00FE564E">
        <w:t>, however, that the Polar Front has a distinct pattern in all locations seasonally</w:t>
      </w:r>
      <w:r>
        <w:t>.</w:t>
      </w:r>
    </w:p>
    <w:p w14:paraId="0423EB24" w14:textId="77777777" w:rsidR="0004270B" w:rsidRDefault="0004270B" w:rsidP="00663E19">
      <w:pPr>
        <w:spacing w:line="480" w:lineRule="auto"/>
        <w:rPr>
          <w:b/>
        </w:rPr>
      </w:pPr>
      <w:r>
        <w:rPr>
          <w:b/>
        </w:rPr>
        <w:br w:type="page"/>
      </w:r>
    </w:p>
    <w:p w14:paraId="710068B7" w14:textId="77777777" w:rsidR="00026246" w:rsidRPr="00147170" w:rsidRDefault="00026246" w:rsidP="0004270B">
      <w:pPr>
        <w:rPr>
          <w:b/>
        </w:rPr>
      </w:pPr>
      <w:r w:rsidRPr="00DE6089">
        <w:rPr>
          <w:b/>
        </w:rPr>
        <w:t>Introduction</w:t>
      </w:r>
    </w:p>
    <w:p w14:paraId="37BE2DDD" w14:textId="77777777" w:rsidR="00026246" w:rsidRDefault="00026246" w:rsidP="0004270B"/>
    <w:p w14:paraId="15F25B05" w14:textId="0047D64D" w:rsidR="00026246" w:rsidRDefault="00026246" w:rsidP="00E16EF1">
      <w:pPr>
        <w:spacing w:line="480" w:lineRule="auto"/>
        <w:ind w:firstLine="720"/>
      </w:pPr>
      <w:r>
        <w:t xml:space="preserve">The Antarctic Circumpolar Current (ACC) connects the Southern Atlantic, Indian, and Pacific basins while simultaneously acting as a barrier against </w:t>
      </w:r>
      <w:proofErr w:type="spellStart"/>
      <w:r w:rsidR="00922681" w:rsidRPr="00922681">
        <w:t>meridional</w:t>
      </w:r>
      <w:proofErr w:type="spellEnd"/>
      <w:r w:rsidR="00922681">
        <w:t xml:space="preserve"> </w:t>
      </w:r>
      <w:r>
        <w:t>heat transport, allowing the unique and isolated climate of Antarctica</w:t>
      </w:r>
      <w:r w:rsidR="00E16EF1">
        <w:t xml:space="preserve"> </w:t>
      </w:r>
      <w:r w:rsidR="00E16EF1">
        <w:fldChar w:fldCharType="begin"/>
      </w:r>
      <w:r w:rsidR="00E16EF1">
        <w:instrText xml:space="preserve"> ADDIN EN.CITE &lt;EndNote&gt;&lt;Cite&gt;&lt;Author&gt;Rintoul&lt;/Author&gt;&lt;Year&gt;2001&lt;/Year&gt;&lt;RecNum&gt;3&lt;/RecNum&gt;&lt;DisplayText&gt;(Rintoul, Hughes, &amp;amp; Olbers, 2001)&lt;/DisplayText&gt;&lt;record&gt;&lt;rec-number&gt;3&lt;/rec-number&gt;&lt;foreign-keys&gt;&lt;key app="EN" db-id="z5za2a5wiw2fr5eap0gprvw9v9dz2wxxxdep" timestamp="1496128416"&gt;3&lt;/key&gt;&lt;key app="ENWeb" db-id=""&gt;0&lt;/key&gt;&lt;/foreign-keys&gt;&lt;ref-type name="Journal Article"&gt;17&lt;/ref-type&gt;&lt;contributors&gt;&lt;authors&gt;&lt;author&gt;Rintoul, Stephen R&lt;/author&gt;&lt;author&gt;Hughes, Chris&lt;/author&gt;&lt;author&gt;Olbers, Dirk&lt;/author&gt;&lt;/authors&gt;&lt;/contributors&gt;&lt;titles&gt;&lt;title&gt;The Antarctic Circumpolar Current system, in Ocean Circulation and Climate&lt;/title&gt;&lt;secondary-title&gt;International Geophysics&lt;/secondary-title&gt;&lt;/titles&gt;&lt;periodical&gt;&lt;full-title&gt;International Geophysics&lt;/full-title&gt;&lt;/periodical&gt;&lt;pages&gt;31&lt;/pages&gt;&lt;volume&gt;77&lt;/volume&gt;&lt;section&gt;271&lt;/section&gt;&lt;dates&gt;&lt;year&gt;2001&lt;/year&gt;&lt;/dates&gt;&lt;urls&gt;&lt;/urls&gt;&lt;/record&gt;&lt;/Cite&gt;&lt;/EndNote&gt;</w:instrText>
      </w:r>
      <w:r w:rsidR="00E16EF1">
        <w:fldChar w:fldCharType="separate"/>
      </w:r>
      <w:r w:rsidR="00E16EF1">
        <w:rPr>
          <w:noProof/>
        </w:rPr>
        <w:t>(Rintoul, Hughes, &amp; Olbers, 2001)</w:t>
      </w:r>
      <w:r w:rsidR="00E16EF1">
        <w:fldChar w:fldCharType="end"/>
      </w:r>
      <w:r>
        <w:t>. Creating these barriers within the ACC ar</w:t>
      </w:r>
      <w:r w:rsidR="00922681">
        <w:t xml:space="preserve">e multiple hydrographic fronts </w:t>
      </w:r>
      <w:r>
        <w:t>characterized by strong gradients in oceanographic properties</w:t>
      </w:r>
      <w:r w:rsidR="00C836BB">
        <w:t xml:space="preserve"> </w:t>
      </w:r>
      <w:r w:rsidR="00C836BB">
        <w:fldChar w:fldCharType="begin"/>
      </w:r>
      <w:r w:rsidR="00C836BB">
        <w:instrText xml:space="preserve"> ADDIN EN.CITE &lt;EndNote&gt;&lt;Cite&gt;&lt;Author&gt;Pollard&lt;/Author&gt;&lt;Year&gt;2002&lt;/Year&gt;&lt;RecNum&gt;4&lt;/RecNum&gt;&lt;DisplayText&gt;(Pollard, Lucas, &amp;amp; Read, 2002)&lt;/DisplayText&gt;&lt;record&gt;&lt;rec-number&gt;4&lt;/rec-number&gt;&lt;foreign-keys&gt;&lt;key app="EN" db-id="z5za2a5wiw2fr5eap0gprvw9v9dz2wxxxdep" timestamp="1496128425"&gt;4&lt;/key&gt;&lt;key app="ENWeb" db-id=""&gt;0&lt;/key&gt;&lt;/foreign-keys&gt;&lt;ref-type name="Journal Article"&gt;17&lt;/ref-type&gt;&lt;contributors&gt;&lt;authors&gt;&lt;author&gt;Pollard, R. T.&lt;/author&gt;&lt;author&gt;M. I. Lucas&lt;/author&gt;&lt;author&gt;J. F. Read&lt;/author&gt;&lt;/authors&gt;&lt;/contributors&gt;&lt;titles&gt;&lt;title&gt;Physical controls on biogeochemical zonation in the Southern Ocean&lt;/title&gt;&lt;secondary-title&gt;Deep Sea Res., Part II&lt;/secondary-title&gt;&lt;/titles&gt;&lt;periodical&gt;&lt;full-title&gt;Deep Sea Res., Part II&lt;/full-title&gt;&lt;/periodical&gt;&lt;pages&gt;16&lt;/pages&gt;&lt;volume&gt;49&lt;/volume&gt;&lt;section&gt;3289&lt;/section&gt;&lt;dates&gt;&lt;year&gt;2002&lt;/year&gt;&lt;/dates&gt;&lt;urls&gt;&lt;/urls&gt;&lt;electronic-resource-num&gt;10.1016/S0967-0645(02)00084-X&lt;/electronic-resource-num&gt;&lt;/record&gt;&lt;/Cite&gt;&lt;/EndNote&gt;</w:instrText>
      </w:r>
      <w:r w:rsidR="00C836BB">
        <w:fldChar w:fldCharType="separate"/>
      </w:r>
      <w:r w:rsidR="00C836BB">
        <w:rPr>
          <w:noProof/>
        </w:rPr>
        <w:t>(Pollard, Lucas, &amp; Read, 2002)</w:t>
      </w:r>
      <w:r w:rsidR="00C836BB">
        <w:fldChar w:fldCharType="end"/>
      </w:r>
      <w:r>
        <w:t xml:space="preserve">. The ACC is built of three hydrographic fronts (from North to South): the </w:t>
      </w:r>
      <w:proofErr w:type="spellStart"/>
      <w:r>
        <w:t>Subantarctic</w:t>
      </w:r>
      <w:proofErr w:type="spellEnd"/>
      <w:r>
        <w:t xml:space="preserve"> Front, the Polar Front, and the Southern ACC Front </w:t>
      </w:r>
      <w:r w:rsidR="00C836BB">
        <w:fldChar w:fldCharType="begin"/>
      </w:r>
      <w:r w:rsidR="00C836BB">
        <w:instrText xml:space="preserve"> ADDIN EN.CITE &lt;EndNote&gt;&lt;Cite&gt;&lt;Author&gt;Orsi&lt;/Author&gt;&lt;Year&gt;1995&lt;/Year&gt;&lt;RecNum&gt;5&lt;/RecNum&gt;&lt;DisplayText&gt;(Orsi, Whitworth III, &amp;amp; Nowlin Jr., 1995)&lt;/DisplayText&gt;&lt;record&gt;&lt;rec-number&gt;5&lt;/rec-number&gt;&lt;foreign-keys&gt;&lt;key app="EN" db-id="z5za2a5wiw2fr5eap0gprvw9v9dz2wxxxdep" timestamp="1496128433"&gt;5&lt;/key&gt;&lt;key app="ENWeb" db-id=""&gt;0&lt;/key&gt;&lt;/foreign-keys&gt;&lt;ref-type name="Journal Article"&gt;17&lt;/ref-type&gt;&lt;contributors&gt;&lt;authors&gt;&lt;author&gt;Orsi, A. H.&lt;/author&gt;&lt;author&gt;Whitworth III, T.&lt;/author&gt;&lt;author&gt;Nowlin Jr., W. D.&lt;/author&gt;&lt;/authors&gt;&lt;/contributors&gt;&lt;titles&gt;&lt;title&gt;On the meridional extent and fronts of the Antarctic Circumpolar Current&lt;/title&gt;&lt;secondary-title&gt;Deep Sea Res., Part I&lt;/secondary-title&gt;&lt;/titles&gt;&lt;periodical&gt;&lt;full-title&gt;Deep Sea Res., Part I&lt;/full-title&gt;&lt;/periodical&gt;&lt;pages&gt;32&lt;/pages&gt;&lt;volume&gt;42&lt;/volume&gt;&lt;section&gt;641&lt;/section&gt;&lt;dates&gt;&lt;year&gt;1995&lt;/year&gt;&lt;/dates&gt;&lt;urls&gt;&lt;/urls&gt;&lt;/record&gt;&lt;/Cite&gt;&lt;/EndNote&gt;</w:instrText>
      </w:r>
      <w:r w:rsidR="00C836BB">
        <w:fldChar w:fldCharType="separate"/>
      </w:r>
      <w:r w:rsidR="00C836BB">
        <w:rPr>
          <w:noProof/>
        </w:rPr>
        <w:t>(Orsi, Whitworth III, &amp; Nowlin Jr., 1995)</w:t>
      </w:r>
      <w:r w:rsidR="00C836BB">
        <w:fldChar w:fldCharType="end"/>
      </w:r>
      <w:r w:rsidR="00C836BB">
        <w:t xml:space="preserve">. </w:t>
      </w:r>
      <w:r>
        <w:t>This study will focus on the Antarctic Polar Front. The Polar Front is a barrier that marks the transition between the fresh, cold Antarctic waters and saltier, war</w:t>
      </w:r>
      <w:r w:rsidR="00A8443F">
        <w:t>mer sub-Antarctic waters</w:t>
      </w:r>
      <w:r w:rsidR="00C836BB">
        <w:t xml:space="preserve"> </w:t>
      </w:r>
      <w:r w:rsidR="00C836BB">
        <w:fldChar w:fldCharType="begin"/>
      </w:r>
      <w:r w:rsidR="00C836BB">
        <w:instrText xml:space="preserve"> ADDIN EN.CITE &lt;EndNote&gt;&lt;Cite&gt;&lt;Author&gt;Pollard&lt;/Author&gt;&lt;Year&gt;2002&lt;/Year&gt;&lt;RecNum&gt;4&lt;/RecNum&gt;&lt;DisplayText&gt;(Pollard et al., 2002)&lt;/DisplayText&gt;&lt;record&gt;&lt;rec-number&gt;4&lt;/rec-number&gt;&lt;foreign-keys&gt;&lt;key app="EN" db-id="z5za2a5wiw2fr5eap0gprvw9v9dz2wxxxdep" timestamp="1496128425"&gt;4&lt;/key&gt;&lt;key app="ENWeb" db-id=""&gt;0&lt;/key&gt;&lt;/foreign-keys&gt;&lt;ref-type name="Journal Article"&gt;17&lt;/ref-type&gt;&lt;contributors&gt;&lt;authors&gt;&lt;author&gt;Pollard, R. T.&lt;/author&gt;&lt;author&gt;M. I. Lucas&lt;/author&gt;&lt;author&gt;J. F. Read&lt;/author&gt;&lt;/authors&gt;&lt;/contributors&gt;&lt;titles&gt;&lt;title&gt;Physical controls on biogeochemical zonation in the Southern Ocean&lt;/title&gt;&lt;secondary-title&gt;Deep Sea Res., Part II&lt;/secondary-title&gt;&lt;/titles&gt;&lt;periodical&gt;&lt;full-title&gt;Deep Sea Res., Part II&lt;/full-title&gt;&lt;/periodical&gt;&lt;pages&gt;16&lt;/pages&gt;&lt;volume&gt;49&lt;/volume&gt;&lt;section&gt;3289&lt;/section&gt;&lt;dates&gt;&lt;year&gt;2002&lt;/year&gt;&lt;/dates&gt;&lt;urls&gt;&lt;/urls&gt;&lt;electronic-resource-num&gt;10.1016/S0967-0645(02)00084-X&lt;/electronic-resource-num&gt;&lt;/record&gt;&lt;/Cite&gt;&lt;/EndNote&gt;</w:instrText>
      </w:r>
      <w:r w:rsidR="00C836BB">
        <w:fldChar w:fldCharType="separate"/>
      </w:r>
      <w:r w:rsidR="00C836BB">
        <w:rPr>
          <w:noProof/>
        </w:rPr>
        <w:t>(Pollard et al., 2002)</w:t>
      </w:r>
      <w:r w:rsidR="00C836BB">
        <w:fldChar w:fldCharType="end"/>
      </w:r>
      <w:r>
        <w:t>. As the front acts as a barrier, the position of the Polar Front can change the physical and biogeochemic</w:t>
      </w:r>
      <w:r w:rsidR="00C836BB">
        <w:t xml:space="preserve">al state of the Southern Ocean </w:t>
      </w:r>
      <w:r w:rsidR="00C836BB">
        <w:fldChar w:fldCharType="begin"/>
      </w:r>
      <w:r w:rsidR="00C836BB">
        <w:instrText xml:space="preserve"> ADDIN EN.CITE &lt;EndNote&gt;&lt;Cite&gt;&lt;Author&gt;Pollard&lt;/Author&gt;&lt;Year&gt;2002&lt;/Year&gt;&lt;RecNum&gt;4&lt;/RecNum&gt;&lt;DisplayText&gt;(Pollard et al., 2002)&lt;/DisplayText&gt;&lt;record&gt;&lt;rec-number&gt;4&lt;/rec-number&gt;&lt;foreign-keys&gt;&lt;key app="EN" db-id="z5za2a5wiw2fr5eap0gprvw9v9dz2wxxxdep" timestamp="1496128425"&gt;4&lt;/key&gt;&lt;key app="ENWeb" db-id=""&gt;0&lt;/key&gt;&lt;/foreign-keys&gt;&lt;ref-type name="Journal Article"&gt;17&lt;/ref-type&gt;&lt;contributors&gt;&lt;authors&gt;&lt;author&gt;Pollard, R. T.&lt;/author&gt;&lt;author&gt;M. I. Lucas&lt;/author&gt;&lt;author&gt;J. F. Read&lt;/author&gt;&lt;/authors&gt;&lt;/contributors&gt;&lt;titles&gt;&lt;title&gt;Physical controls on biogeochemical zonation in the Southern Ocean&lt;/title&gt;&lt;secondary-title&gt;Deep Sea Res., Part II&lt;/secondary-title&gt;&lt;/titles&gt;&lt;periodical&gt;&lt;full-title&gt;Deep Sea Res., Part II&lt;/full-title&gt;&lt;/periodical&gt;&lt;pages&gt;16&lt;/pages&gt;&lt;volume&gt;49&lt;/volume&gt;&lt;section&gt;3289&lt;/section&gt;&lt;dates&gt;&lt;year&gt;2002&lt;/year&gt;&lt;/dates&gt;&lt;urls&gt;&lt;/urls&gt;&lt;electronic-resource-num&gt;10.1016/S0967-0645(02)00084-X&lt;/electronic-resource-num&gt;&lt;/record&gt;&lt;/Cite&gt;&lt;/EndNote&gt;</w:instrText>
      </w:r>
      <w:r w:rsidR="00C836BB">
        <w:fldChar w:fldCharType="separate"/>
      </w:r>
      <w:r w:rsidR="00C836BB">
        <w:rPr>
          <w:noProof/>
        </w:rPr>
        <w:t>(Pollard et al., 2002)</w:t>
      </w:r>
      <w:r w:rsidR="00C836BB">
        <w:fldChar w:fldCharType="end"/>
      </w:r>
      <w:r>
        <w:t>.</w:t>
      </w:r>
    </w:p>
    <w:p w14:paraId="0D9A793B" w14:textId="07DD2BBF" w:rsidR="00026246" w:rsidRDefault="00F250CB" w:rsidP="00147170">
      <w:pPr>
        <w:spacing w:line="480" w:lineRule="auto"/>
        <w:ind w:firstLine="720"/>
      </w:pPr>
      <w:r>
        <w:t xml:space="preserve">Studies have been done </w:t>
      </w:r>
      <w:r w:rsidR="00B43869">
        <w:t xml:space="preserve">previously </w:t>
      </w:r>
      <w:r>
        <w:t>on the position of the Polar Front from surface properties</w:t>
      </w:r>
      <w:r w:rsidR="00C836BB">
        <w:t xml:space="preserve"> </w:t>
      </w:r>
      <w:r w:rsidR="00C836BB">
        <w:fldChar w:fldCharType="begin"/>
      </w:r>
      <w:r w:rsidR="00C836BB">
        <w:instrText xml:space="preserve"> ADDIN EN.CITE &lt;EndNote&gt;&lt;Cite&gt;&lt;Author&gt;Freeman&lt;/Author&gt;&lt;Year&gt;2016&lt;/Year&gt;&lt;RecNum&gt;1&lt;/RecNum&gt;&lt;DisplayText&gt;(Freeman, Lovenduski, &amp;amp; Gent,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C836BB">
        <w:fldChar w:fldCharType="separate"/>
      </w:r>
      <w:r w:rsidR="00C836BB">
        <w:rPr>
          <w:noProof/>
        </w:rPr>
        <w:t>(Freeman, Lovenduski, &amp; Gent, 2016)</w:t>
      </w:r>
      <w:r w:rsidR="00C836BB">
        <w:fldChar w:fldCharType="end"/>
      </w:r>
      <w:r>
        <w:t xml:space="preserve">. These studies </w:t>
      </w:r>
      <w:r w:rsidR="00410A41">
        <w:t>examine</w:t>
      </w:r>
      <w:r>
        <w:t xml:space="preserve"> </w:t>
      </w:r>
      <w:r w:rsidR="00410A41">
        <w:t>interannual</w:t>
      </w:r>
      <w:r>
        <w:t xml:space="preserve"> variability in the Polar Front’s position. </w:t>
      </w:r>
      <w:r w:rsidR="00410A41">
        <w:t>It was found that there was relatively no interannual variability in the latitudinal pos</w:t>
      </w:r>
      <w:r w:rsidR="00B75E5A">
        <w:t xml:space="preserve">ition of the Polar Front, but the temperatures show a prominent seasonal cycle </w:t>
      </w:r>
      <w:r w:rsidR="00B75E5A">
        <w:fldChar w:fldCharType="begin"/>
      </w:r>
      <w:r w:rsidR="00B75E5A">
        <w:instrText xml:space="preserve"> ADDIN EN.CITE &lt;EndNote&gt;&lt;Cite&gt;&lt;Author&gt;Freeman&lt;/Author&gt;&lt;Year&gt;2016&lt;/Year&gt;&lt;RecNum&gt;1&lt;/RecNum&gt;&lt;DisplayText&gt;(Freeman et al.,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B75E5A">
        <w:fldChar w:fldCharType="separate"/>
      </w:r>
      <w:r w:rsidR="00B75E5A">
        <w:rPr>
          <w:noProof/>
        </w:rPr>
        <w:t>(Freeman et al., 2016)</w:t>
      </w:r>
      <w:r w:rsidR="00B75E5A">
        <w:fldChar w:fldCharType="end"/>
      </w:r>
      <w:r w:rsidR="00410A41">
        <w:t xml:space="preserve">. </w:t>
      </w:r>
      <w:r w:rsidR="00B75E5A">
        <w:t xml:space="preserve">Previous studies have only looked at the surface expression of the Polar Front, so this </w:t>
      </w:r>
      <w:r>
        <w:t xml:space="preserve">study focuses on the sub surface expression of the Polar Front. We compare </w:t>
      </w:r>
      <w:r w:rsidR="00B75E5A">
        <w:t>regions</w:t>
      </w:r>
      <w:r>
        <w:t xml:space="preserve"> where the </w:t>
      </w:r>
      <w:r w:rsidR="00B75E5A">
        <w:t xml:space="preserve">climatological </w:t>
      </w:r>
      <w:r>
        <w:t xml:space="preserve">seasonal position of the Polar Front is highly variable with </w:t>
      </w:r>
      <w:r w:rsidR="00B75E5A">
        <w:t>regions</w:t>
      </w:r>
      <w:r>
        <w:t xml:space="preserve"> that </w:t>
      </w:r>
      <w:r w:rsidR="00147170">
        <w:t>are mostly consistent and analyze</w:t>
      </w:r>
      <w:r>
        <w:t xml:space="preserve"> the </w:t>
      </w:r>
      <w:r w:rsidR="00147170">
        <w:t xml:space="preserve">seasonal </w:t>
      </w:r>
      <w:r>
        <w:t xml:space="preserve">strength of the vertical gradient. This is important in understanding how the Polar Front </w:t>
      </w:r>
      <w:r w:rsidR="00147170">
        <w:t xml:space="preserve">seasonally </w:t>
      </w:r>
      <w:r>
        <w:t>act</w:t>
      </w:r>
      <w:r w:rsidR="00147170">
        <w:t>s</w:t>
      </w:r>
      <w:r>
        <w:t xml:space="preserve"> as a </w:t>
      </w:r>
      <w:proofErr w:type="spellStart"/>
      <w:r>
        <w:t>mer</w:t>
      </w:r>
      <w:r w:rsidR="00147170">
        <w:t>idional</w:t>
      </w:r>
      <w:proofErr w:type="spellEnd"/>
      <w:r w:rsidR="00147170">
        <w:t xml:space="preserve"> heat transport barrier.</w:t>
      </w:r>
    </w:p>
    <w:p w14:paraId="0220149A" w14:textId="77777777" w:rsidR="00FE564E" w:rsidRDefault="00FE564E" w:rsidP="00147170">
      <w:pPr>
        <w:spacing w:line="480" w:lineRule="auto"/>
        <w:ind w:firstLine="720"/>
      </w:pPr>
    </w:p>
    <w:p w14:paraId="24032BFE" w14:textId="77777777" w:rsidR="00026246" w:rsidRPr="009C4449" w:rsidRDefault="00026246" w:rsidP="0004270B">
      <w:pPr>
        <w:rPr>
          <w:b/>
        </w:rPr>
      </w:pPr>
      <w:r w:rsidRPr="009C4449">
        <w:rPr>
          <w:b/>
        </w:rPr>
        <w:t>Methods</w:t>
      </w:r>
    </w:p>
    <w:p w14:paraId="28BB7688" w14:textId="77777777" w:rsidR="00026246" w:rsidRDefault="00026246" w:rsidP="0004270B"/>
    <w:p w14:paraId="3ABF0F48" w14:textId="3D38911D" w:rsidR="00026246" w:rsidRDefault="00026246" w:rsidP="0004270B">
      <w:pPr>
        <w:spacing w:line="480" w:lineRule="auto"/>
        <w:ind w:firstLine="720"/>
      </w:pPr>
      <w:r>
        <w:t xml:space="preserve">This study uses </w:t>
      </w:r>
      <w:r w:rsidR="00DA1189">
        <w:t xml:space="preserve">two </w:t>
      </w:r>
      <w:r>
        <w:t xml:space="preserve">existing data sets for our analysis. The main data sets are from the Freeman et al. </w:t>
      </w:r>
      <w:r w:rsidR="00B75E5A">
        <w:t>(</w:t>
      </w:r>
      <w:r>
        <w:t>2016</w:t>
      </w:r>
      <w:r w:rsidR="00B75E5A">
        <w:t>)</w:t>
      </w:r>
      <w:r>
        <w:t xml:space="preserve"> and Monthly </w:t>
      </w:r>
      <w:proofErr w:type="spellStart"/>
      <w:r>
        <w:t>Isopycnal</w:t>
      </w:r>
      <w:proofErr w:type="spellEnd"/>
      <w:r>
        <w:t xml:space="preserve"> and Mixed-layer Ocean Climatology (MIMOC) data. </w:t>
      </w:r>
      <w:r w:rsidR="00314610">
        <w:t xml:space="preserve">Freeman et al. </w:t>
      </w:r>
      <w:r w:rsidR="00B75E5A">
        <w:t>(</w:t>
      </w:r>
      <w:r w:rsidR="00314610">
        <w:t>2016</w:t>
      </w:r>
      <w:r w:rsidR="00B75E5A">
        <w:t>)</w:t>
      </w:r>
      <w:r w:rsidR="00314610">
        <w:t xml:space="preserve"> calculated the </w:t>
      </w:r>
      <w:r>
        <w:t xml:space="preserve">Polar Font position was using satellite sea surface temperature (SST) that was </w:t>
      </w:r>
      <w:r w:rsidR="00DA1189">
        <w:t>measured</w:t>
      </w:r>
      <w:r>
        <w:t xml:space="preserve"> using wave-penetrating microwave radiometers</w:t>
      </w:r>
      <w:r w:rsidR="00B75E5A">
        <w:t xml:space="preserve"> </w:t>
      </w:r>
      <w:r w:rsidR="00B75E5A">
        <w:fldChar w:fldCharType="begin"/>
      </w:r>
      <w:r w:rsidR="00B75E5A">
        <w:instrText xml:space="preserve"> ADDIN EN.CITE &lt;EndNote&gt;&lt;Cite&gt;&lt;Author&gt;Freeman&lt;/Author&gt;&lt;Year&gt;2016&lt;/Year&gt;&lt;RecNum&gt;1&lt;/RecNum&gt;&lt;DisplayText&gt;(Freeman et al.,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B75E5A">
        <w:fldChar w:fldCharType="separate"/>
      </w:r>
      <w:r w:rsidR="00B75E5A">
        <w:rPr>
          <w:noProof/>
        </w:rPr>
        <w:t>(Freeman et al., 2016)</w:t>
      </w:r>
      <w:r w:rsidR="00B75E5A">
        <w:fldChar w:fldCharType="end"/>
      </w:r>
      <w:r>
        <w:t xml:space="preserve">. </w:t>
      </w:r>
      <w:r w:rsidR="00314610">
        <w:t xml:space="preserve">The Polar Font data is a weekly position with a resolution of half a degree longitude with data between 2002-2014. </w:t>
      </w:r>
      <w:r>
        <w:t>The MIMOC data</w:t>
      </w:r>
      <w:r w:rsidR="00314610">
        <w:t xml:space="preserve"> was</w:t>
      </w:r>
      <w:r>
        <w:t xml:space="preserve"> </w:t>
      </w:r>
      <w:r w:rsidR="00314610">
        <w:t>calculated through averaging</w:t>
      </w:r>
      <w:r w:rsidR="00DA1189">
        <w:t xml:space="preserve"> </w:t>
      </w:r>
      <w:r>
        <w:t>Argo CTD profiles with a supplement of shipboard and Ice-Tethered Profiler CTD data</w:t>
      </w:r>
      <w:r w:rsidR="00B75E5A">
        <w:t xml:space="preserve"> </w:t>
      </w:r>
      <w:r w:rsidR="00B75E5A">
        <w:fldChar w:fldCharType="begin"/>
      </w:r>
      <w:r w:rsidR="00B75E5A">
        <w:instrText xml:space="preserve"> ADDIN EN.CITE &lt;EndNote&gt;&lt;Cite&gt;&lt;Author&gt;Schmidtko&lt;/Author&gt;&lt;Year&gt;2013&lt;/Year&gt;&lt;RecNum&gt;7&lt;/RecNum&gt;&lt;DisplayText&gt;(Schmidtko, Johnson, &amp;amp; Lyman, 2013)&lt;/DisplayText&gt;&lt;record&gt;&lt;rec-number&gt;7&lt;/rec-number&gt;&lt;foreign-keys&gt;&lt;key app="EN" db-id="z5za2a5wiw2fr5eap0gprvw9v9dz2wxxxdep" timestamp="1496146960"&gt;7&lt;/key&gt;&lt;key app="ENWeb" db-id=""&gt;0&lt;/key&gt;&lt;/foreign-keys&gt;&lt;ref-type name="Journal Article"&gt;17&lt;/ref-type&gt;&lt;contributors&gt;&lt;authors&gt;&lt;author&gt;Schmidtko, S.&lt;/author&gt;&lt;author&gt;G. C. Johnson&lt;/author&gt;&lt;author&gt;J. M. Lyman&lt;/author&gt;&lt;/authors&gt;&lt;/contributors&gt;&lt;titles&gt;&lt;title&gt;MIMOC: A Global Monthly Isopycnal Upper-Ocean Climatology with Mixed Layers&lt;/title&gt;&lt;secondary-title&gt;Journal of Geophysical Research: Oceans&lt;/secondary-title&gt;&lt;/titles&gt;&lt;periodical&gt;&lt;full-title&gt;Journal of Geophysical Research: Oceans&lt;/full-title&gt;&lt;/periodical&gt;&lt;volume&gt;118&lt;/volume&gt;&lt;dates&gt;&lt;year&gt;2013&lt;/year&gt;&lt;/dates&gt;&lt;urls&gt;&lt;/urls&gt;&lt;electronic-resource-num&gt;10.1002/jgrc.20122&lt;/electronic-resource-num&gt;&lt;/record&gt;&lt;/Cite&gt;&lt;/EndNote&gt;</w:instrText>
      </w:r>
      <w:r w:rsidR="00B75E5A">
        <w:fldChar w:fldCharType="separate"/>
      </w:r>
      <w:r w:rsidR="00B75E5A">
        <w:rPr>
          <w:noProof/>
        </w:rPr>
        <w:t>(Schmidtko, Johnson, &amp; Lyman, 2013)</w:t>
      </w:r>
      <w:r w:rsidR="00B75E5A">
        <w:fldChar w:fldCharType="end"/>
      </w:r>
      <w:r>
        <w:t xml:space="preserve">. The MIMOC data was originally created by </w:t>
      </w:r>
      <w:proofErr w:type="spellStart"/>
      <w:r>
        <w:t>Schmidtko</w:t>
      </w:r>
      <w:proofErr w:type="spellEnd"/>
      <w:r>
        <w:t xml:space="preserve">, Johnson, and Lyman (2013) and is a pressure-gridded global monthly climatology data set with a resolution of half a degree by half a degree. </w:t>
      </w:r>
    </w:p>
    <w:p w14:paraId="3A3FD415" w14:textId="391A100E" w:rsidR="00470EC5" w:rsidRDefault="00314610" w:rsidP="00470EC5">
      <w:pPr>
        <w:spacing w:line="480" w:lineRule="auto"/>
        <w:ind w:firstLine="720"/>
      </w:pPr>
      <w:r>
        <w:t xml:space="preserve">For our analysis we used the Freeman et al. </w:t>
      </w:r>
      <w:r w:rsidR="00B75E5A">
        <w:t>(</w:t>
      </w:r>
      <w:r>
        <w:t>2016</w:t>
      </w:r>
      <w:r w:rsidR="00B75E5A">
        <w:t>)</w:t>
      </w:r>
      <w:r>
        <w:t xml:space="preserve"> Polar Front position and made a climatology data set. The standard deviation was then calculated, showing variability in all regions of the Southern Ocean. </w:t>
      </w:r>
      <w:r w:rsidR="00B75E5A">
        <w:t>Six regions (three high and three low regions of variability) were then chosen according to the following criteria: they had to be positions of either high or low variability</w:t>
      </w:r>
      <w:r w:rsidR="00470EC5">
        <w:t xml:space="preserve"> </w:t>
      </w:r>
      <w:r w:rsidR="00B75E5A">
        <w:t xml:space="preserve">and the MIMOC data must have the Polar Front and the standard deviation within its data set. According to this criteria </w:t>
      </w:r>
      <w:r w:rsidR="00B2728C">
        <w:t>l</w:t>
      </w:r>
      <w:r w:rsidR="00470EC5">
        <w:t>ongitude 0</w:t>
      </w:r>
      <w:r w:rsidR="00470EC5" w:rsidRPr="00470EC5">
        <w:rPr>
          <w:vertAlign w:val="superscript"/>
        </w:rPr>
        <w:t>o</w:t>
      </w:r>
      <w:r w:rsidR="00470EC5">
        <w:t>E, 80</w:t>
      </w:r>
      <w:r w:rsidR="00470EC5" w:rsidRPr="00470EC5">
        <w:rPr>
          <w:vertAlign w:val="superscript"/>
        </w:rPr>
        <w:t>o</w:t>
      </w:r>
      <w:r w:rsidR="00470EC5">
        <w:t>E, and 115</w:t>
      </w:r>
      <w:r w:rsidR="00470EC5" w:rsidRPr="00470EC5">
        <w:rPr>
          <w:vertAlign w:val="superscript"/>
        </w:rPr>
        <w:t>o</w:t>
      </w:r>
      <w:r w:rsidR="00470EC5">
        <w:t>E were chosen as the regions to represent the small variability in the Polar Front position</w:t>
      </w:r>
      <w:r>
        <w:t xml:space="preserve">. </w:t>
      </w:r>
      <w:r w:rsidR="00470EC5">
        <w:t>Longitude 100</w:t>
      </w:r>
      <w:r w:rsidR="00470EC5" w:rsidRPr="00470EC5">
        <w:rPr>
          <w:vertAlign w:val="superscript"/>
        </w:rPr>
        <w:t>o</w:t>
      </w:r>
      <w:r w:rsidR="00470EC5">
        <w:t>E, 130</w:t>
      </w:r>
      <w:r w:rsidR="00470EC5" w:rsidRPr="00470EC5">
        <w:rPr>
          <w:vertAlign w:val="superscript"/>
        </w:rPr>
        <w:t>o</w:t>
      </w:r>
      <w:r w:rsidR="00470EC5">
        <w:t>E, and 40</w:t>
      </w:r>
      <w:r w:rsidR="00470EC5" w:rsidRPr="00470EC5">
        <w:rPr>
          <w:vertAlign w:val="superscript"/>
        </w:rPr>
        <w:t>o</w:t>
      </w:r>
      <w:r w:rsidR="00470EC5">
        <w:t>W were chosen as the regions to represent large variability in the Polar Front position. As the variability in the Polar Front gradient was most prominent in the summer and winter periods, t</w:t>
      </w:r>
      <w:r w:rsidR="00F01ED8">
        <w:t xml:space="preserve">he MIMOC data was then averaged for each of the seasons: </w:t>
      </w:r>
      <w:r w:rsidR="00470EC5">
        <w:t>s</w:t>
      </w:r>
      <w:r w:rsidR="003E2229">
        <w:t>ummer</w:t>
      </w:r>
      <w:r w:rsidR="00B75E5A">
        <w:t xml:space="preserve"> (January-March)</w:t>
      </w:r>
      <w:r w:rsidR="00F01ED8">
        <w:t xml:space="preserve"> </w:t>
      </w:r>
      <w:r w:rsidR="00470EC5">
        <w:t>and w</w:t>
      </w:r>
      <w:r w:rsidR="00B75E5A">
        <w:t>inter (July-September)</w:t>
      </w:r>
      <w:r w:rsidR="003E2229">
        <w:t xml:space="preserve">. </w:t>
      </w:r>
      <w:r w:rsidR="00470EC5">
        <w:t xml:space="preserve">Using the seawater equation of state, the density of the MIMOC data was calculated using the surface as the reference (Equation 1). </w:t>
      </w:r>
    </w:p>
    <w:p w14:paraId="2B9CB27C" w14:textId="0D62DBD6" w:rsidR="00470EC5" w:rsidRDefault="00470EC5" w:rsidP="00470EC5">
      <w:pPr>
        <w:spacing w:line="480" w:lineRule="auto"/>
        <w:jc w:val="center"/>
        <w:rPr>
          <w:rFonts w:eastAsia="Times New Roman" w:cs="Times New Roman"/>
        </w:rPr>
      </w:pPr>
      <w:r w:rsidRPr="00470EC5">
        <w:rPr>
          <w:rFonts w:eastAsia="Times New Roman" w:cs="Times New Roman"/>
          <w:b/>
        </w:rPr>
        <w:t>Equation 1</w:t>
      </w:r>
      <w:r w:rsidR="00FC3EF2">
        <w:rPr>
          <w:rFonts w:eastAsia="Times New Roman" w:cs="Times New Roman"/>
          <w:b/>
        </w:rPr>
        <w:t>:</w:t>
      </w:r>
      <w:r>
        <w:rPr>
          <w:rFonts w:eastAsia="Times New Roman" w:cs="Times New Roman"/>
        </w:rPr>
        <w:t xml:space="preserve">  </w:t>
      </w:r>
      <w:proofErr w:type="spellStart"/>
      <w:r>
        <w:rPr>
          <w:rFonts w:eastAsia="Times New Roman" w:cs="Times New Roman"/>
        </w:rPr>
        <w:t>σ</w:t>
      </w:r>
      <w:r w:rsidRPr="00470EC5">
        <w:rPr>
          <w:rFonts w:eastAsia="Times New Roman" w:cs="Times New Roman"/>
          <w:vertAlign w:val="subscript"/>
        </w:rPr>
        <w:t>t</w:t>
      </w:r>
      <w:proofErr w:type="spellEnd"/>
      <w:r>
        <w:rPr>
          <w:rFonts w:eastAsia="Times New Roman" w:cs="Times New Roman"/>
        </w:rPr>
        <w:t xml:space="preserve"> = </w:t>
      </w:r>
      <w:proofErr w:type="gramStart"/>
      <w:r>
        <w:rPr>
          <w:rFonts w:eastAsia="Times New Roman" w:cs="Times New Roman"/>
        </w:rPr>
        <w:t>ρ(</w:t>
      </w:r>
      <w:proofErr w:type="gramEnd"/>
      <w:r>
        <w:rPr>
          <w:rFonts w:eastAsia="Times New Roman" w:cs="Times New Roman"/>
        </w:rPr>
        <w:t>T, S, 0) – 1000</w:t>
      </w:r>
    </w:p>
    <w:p w14:paraId="4C295299" w14:textId="4EA3D1C8" w:rsidR="00470EC5" w:rsidRDefault="00470EC5" w:rsidP="00470EC5">
      <w:pPr>
        <w:spacing w:line="480" w:lineRule="auto"/>
        <w:ind w:firstLine="720"/>
        <w:rPr>
          <w:rFonts w:eastAsia="Times New Roman" w:cs="Times New Roman"/>
        </w:rPr>
      </w:pPr>
      <w:r>
        <w:rPr>
          <w:rFonts w:eastAsia="Times New Roman" w:cs="Times New Roman"/>
        </w:rPr>
        <w:t>These regions were then visually analyzed for differences in the Polar Front gradient.</w:t>
      </w:r>
    </w:p>
    <w:p w14:paraId="2C879FD4" w14:textId="77777777" w:rsidR="00FE564E" w:rsidRDefault="00FE564E" w:rsidP="00470EC5">
      <w:pPr>
        <w:spacing w:line="480" w:lineRule="auto"/>
        <w:ind w:firstLine="720"/>
        <w:rPr>
          <w:rFonts w:eastAsia="Times New Roman" w:cs="Times New Roman"/>
        </w:rPr>
      </w:pPr>
    </w:p>
    <w:p w14:paraId="3750600E" w14:textId="0C2CC4D4" w:rsidR="00026246" w:rsidRPr="00FE564E" w:rsidRDefault="00470EC5" w:rsidP="00FE564E">
      <w:pPr>
        <w:spacing w:line="480" w:lineRule="auto"/>
      </w:pPr>
      <w:r>
        <w:rPr>
          <w:b/>
        </w:rPr>
        <w:t xml:space="preserve"> </w:t>
      </w:r>
      <w:r w:rsidR="00026246" w:rsidRPr="00A539D6">
        <w:rPr>
          <w:b/>
        </w:rPr>
        <w:t>Results</w:t>
      </w:r>
    </w:p>
    <w:p w14:paraId="0CF2DADC" w14:textId="3D8B51E2" w:rsidR="00026246" w:rsidRDefault="00B2728C" w:rsidP="00DB4A37">
      <w:pPr>
        <w:spacing w:line="480" w:lineRule="auto"/>
        <w:ind w:firstLine="720"/>
      </w:pPr>
      <w:r>
        <w:t>Six</w:t>
      </w:r>
      <w:r w:rsidR="00026246">
        <w:t xml:space="preserve"> positions where chosen</w:t>
      </w:r>
      <w:r>
        <w:t xml:space="preserve"> (three regions of large and three regions of variability)</w:t>
      </w:r>
      <w:r w:rsidR="00026246">
        <w:t xml:space="preserve">: </w:t>
      </w:r>
      <w:r>
        <w:t>longitude 0</w:t>
      </w:r>
      <w:r w:rsidRPr="00470EC5">
        <w:rPr>
          <w:vertAlign w:val="superscript"/>
        </w:rPr>
        <w:t>o</w:t>
      </w:r>
      <w:r>
        <w:t>E, 80</w:t>
      </w:r>
      <w:r w:rsidRPr="00470EC5">
        <w:rPr>
          <w:vertAlign w:val="superscript"/>
        </w:rPr>
        <w:t>o</w:t>
      </w:r>
      <w:r>
        <w:t>E, and 115</w:t>
      </w:r>
      <w:r w:rsidRPr="00470EC5">
        <w:rPr>
          <w:vertAlign w:val="superscript"/>
        </w:rPr>
        <w:t>o</w:t>
      </w:r>
      <w:r>
        <w:t>E were chosen as the regions to represent the small variability in the Polar Front position; longitude 100</w:t>
      </w:r>
      <w:r w:rsidRPr="00470EC5">
        <w:rPr>
          <w:vertAlign w:val="superscript"/>
        </w:rPr>
        <w:t>o</w:t>
      </w:r>
      <w:r>
        <w:t>E, 130</w:t>
      </w:r>
      <w:r w:rsidRPr="00470EC5">
        <w:rPr>
          <w:vertAlign w:val="superscript"/>
        </w:rPr>
        <w:t>o</w:t>
      </w:r>
      <w:r>
        <w:t>E, and 40</w:t>
      </w:r>
      <w:r w:rsidRPr="00470EC5">
        <w:rPr>
          <w:vertAlign w:val="superscript"/>
        </w:rPr>
        <w:t>o</w:t>
      </w:r>
      <w:r>
        <w:t>W were chosen as the regions to represent large variability in the Polar Front position (Figure 1). Figure 2</w:t>
      </w:r>
      <w:r w:rsidR="00026246">
        <w:t xml:space="preserve"> show</w:t>
      </w:r>
      <w:r w:rsidR="001671DB">
        <w:t>s</w:t>
      </w:r>
      <w:r w:rsidR="00026246">
        <w:t xml:space="preserve"> the </w:t>
      </w:r>
      <w:r>
        <w:t>potential density</w:t>
      </w:r>
      <w:r w:rsidR="00026246">
        <w:t xml:space="preserve"> at</w:t>
      </w:r>
      <w:r>
        <w:t xml:space="preserve"> the regions of small variability of the position of the Polar Front.</w:t>
      </w:r>
      <w:r w:rsidR="00026246">
        <w:t xml:space="preserve"> </w:t>
      </w:r>
      <w:r>
        <w:t xml:space="preserve">The noticeable feature of these figures is that there is a much more prominent </w:t>
      </w:r>
      <w:r w:rsidR="00B010EC">
        <w:t>gradient in the winter than the summer</w:t>
      </w:r>
      <w:r w:rsidR="001671DB">
        <w:t>.</w:t>
      </w:r>
      <w:r w:rsidR="00B010EC">
        <w:t xml:space="preserve"> Also, there is a lowering of the main shear in the Polar Front during the winter.  Figure 3</w:t>
      </w:r>
      <w:r w:rsidR="00026246">
        <w:t xml:space="preserve"> show</w:t>
      </w:r>
      <w:r w:rsidR="001671DB">
        <w:t>s</w:t>
      </w:r>
      <w:r w:rsidR="00026246">
        <w:t xml:space="preserve"> </w:t>
      </w:r>
      <w:r w:rsidR="00B010EC">
        <w:t>the potential density of the regions of large variability of the position of the Polar Front</w:t>
      </w:r>
      <w:r w:rsidR="00026246">
        <w:t>.</w:t>
      </w:r>
      <w:r w:rsidR="005301DF">
        <w:t xml:space="preserve"> </w:t>
      </w:r>
      <w:r w:rsidR="00B010EC">
        <w:t xml:space="preserve">Again, there is a more prominent gradient in the winter than summer, and the main shear in the Polar Front is found lower in the water column in the winter. There is also no distinct difference in the shear between regions with small and large </w:t>
      </w:r>
      <w:r w:rsidR="00FE564E">
        <w:t>variability in the position of the Polar Front.</w:t>
      </w:r>
    </w:p>
    <w:p w14:paraId="1A0F17CC" w14:textId="77777777" w:rsidR="00FE564E" w:rsidRDefault="00FE564E" w:rsidP="00DB4A37">
      <w:pPr>
        <w:spacing w:line="480" w:lineRule="auto"/>
        <w:ind w:firstLine="720"/>
      </w:pPr>
    </w:p>
    <w:p w14:paraId="5D2A69EF" w14:textId="523A1A48" w:rsidR="0004270B" w:rsidRDefault="0004270B" w:rsidP="00FE564E">
      <w:pPr>
        <w:spacing w:line="480" w:lineRule="auto"/>
        <w:rPr>
          <w:b/>
        </w:rPr>
      </w:pPr>
      <w:r w:rsidRPr="0004270B">
        <w:rPr>
          <w:b/>
        </w:rPr>
        <w:t>Discussion</w:t>
      </w:r>
    </w:p>
    <w:p w14:paraId="65B7C3BF" w14:textId="672DD080" w:rsidR="00B47391" w:rsidRDefault="00B47391" w:rsidP="00FE564E">
      <w:pPr>
        <w:spacing w:line="480" w:lineRule="auto"/>
        <w:ind w:firstLine="810"/>
      </w:pPr>
      <w:r>
        <w:t xml:space="preserve">The study shows that the subsurface expression of the Polar Front is more dependent on the </w:t>
      </w:r>
      <w:r w:rsidR="009804EE">
        <w:t>season rather than the variability of the position</w:t>
      </w:r>
      <w:r>
        <w:t xml:space="preserve"> of the Polar Front.</w:t>
      </w:r>
      <w:r w:rsidR="009804EE">
        <w:t xml:space="preserve"> This data is similar to what studies have found previously, the Polar Front does not have much interannual variability, but can vary significantly between seasons </w:t>
      </w:r>
      <w:r w:rsidR="009804EE">
        <w:fldChar w:fldCharType="begin"/>
      </w:r>
      <w:r w:rsidR="009804EE">
        <w:instrText xml:space="preserve"> ADDIN EN.CITE &lt;EndNote&gt;&lt;Cite&gt;&lt;Author&gt;Freeman&lt;/Author&gt;&lt;Year&gt;2016&lt;/Year&gt;&lt;RecNum&gt;1&lt;/RecNum&gt;&lt;DisplayText&gt;(Freeman et al.,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9804EE">
        <w:fldChar w:fldCharType="separate"/>
      </w:r>
      <w:r w:rsidR="009804EE">
        <w:rPr>
          <w:noProof/>
        </w:rPr>
        <w:t>(Freeman et al., 2016)</w:t>
      </w:r>
      <w:r w:rsidR="009804EE">
        <w:fldChar w:fldCharType="end"/>
      </w:r>
      <w:r w:rsidR="009804EE">
        <w:t>.</w:t>
      </w:r>
      <w:r>
        <w:t xml:space="preserve"> </w:t>
      </w:r>
      <w:r w:rsidR="009804EE">
        <w:t xml:space="preserve">The difference that has been previously found for the variability of the Polar Front point to the bathymetry of the Southern Ocean </w:t>
      </w:r>
      <w:r w:rsidR="009804EE">
        <w:fldChar w:fldCharType="begin"/>
      </w:r>
      <w:r w:rsidR="009804EE">
        <w:instrText xml:space="preserve"> ADDIN EN.CITE &lt;EndNote&gt;&lt;Cite&gt;&lt;Author&gt;Freeman&lt;/Author&gt;&lt;Year&gt;2016&lt;/Year&gt;&lt;RecNum&gt;1&lt;/RecNum&gt;&lt;DisplayText&gt;(Freeman et al.,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9804EE">
        <w:fldChar w:fldCharType="separate"/>
      </w:r>
      <w:r w:rsidR="009804EE">
        <w:rPr>
          <w:noProof/>
        </w:rPr>
        <w:t>(Freeman et al., 2016)</w:t>
      </w:r>
      <w:r w:rsidR="009804EE">
        <w:fldChar w:fldCharType="end"/>
      </w:r>
      <w:r w:rsidR="009804EE">
        <w:t xml:space="preserve">. The </w:t>
      </w:r>
      <w:r w:rsidR="00306E51">
        <w:t>regions</w:t>
      </w:r>
      <w:r w:rsidR="009804EE">
        <w:t xml:space="preserve"> of high variability are usually l</w:t>
      </w:r>
      <w:r w:rsidR="00306E51">
        <w:t xml:space="preserve">ocated on abyssal planes while regions of low variability are surrounded by large bathymetric features </w:t>
      </w:r>
      <w:r w:rsidR="00306E51">
        <w:fldChar w:fldCharType="begin"/>
      </w:r>
      <w:r w:rsidR="00306E51">
        <w:instrText xml:space="preserve"> ADDIN EN.CITE &lt;EndNote&gt;&lt;Cite&gt;&lt;Author&gt;Freeman&lt;/Author&gt;&lt;Year&gt;2016&lt;/Year&gt;&lt;RecNum&gt;1&lt;/RecNum&gt;&lt;DisplayText&gt;(Freeman et al., 2016)&lt;/DisplayText&gt;&lt;record&gt;&lt;rec-number&gt;1&lt;/rec-number&gt;&lt;foreign-keys&gt;&lt;key app="EN" db-id="z5za2a5wiw2fr5eap0gprvw9v9dz2wxxxdep" timestamp="1496119132"&gt;1&lt;/key&gt;&lt;key app="ENWeb" db-id=""&gt;0&lt;/key&gt;&lt;/foreign-keys&gt;&lt;ref-type name="Journal Article"&gt;17&lt;/ref-type&gt;&lt;contributors&gt;&lt;authors&gt;&lt;author&gt;Freeman, Natalie M.&lt;/author&gt;&lt;author&gt;Lovenduski, Nicole S.&lt;/author&gt;&lt;author&gt;Gent, Peter R.&lt;/author&gt;&lt;/authors&gt;&lt;/contributors&gt;&lt;titles&gt;&lt;title&gt;Temporal variability in the Antarctic Polar Front (2002-2014)&lt;/title&gt;&lt;secondary-title&gt;Journal of Geophysical Research: Oceans&lt;/secondary-title&gt;&lt;/titles&gt;&lt;periodical&gt;&lt;full-title&gt;Journal of Geophysical Research: Oceans&lt;/full-title&gt;&lt;/periodical&gt;&lt;pages&gt;7263-7276&lt;/pages&gt;&lt;volume&gt;121&lt;/volume&gt;&lt;number&gt;10&lt;/number&gt;&lt;dates&gt;&lt;year&gt;2016&lt;/year&gt;&lt;/dates&gt;&lt;isbn&gt;21699275&lt;/isbn&gt;&lt;urls&gt;&lt;/urls&gt;&lt;electronic-resource-num&gt;10.1002/2016jc012145&lt;/electronic-resource-num&gt;&lt;/record&gt;&lt;/Cite&gt;&lt;/EndNote&gt;</w:instrText>
      </w:r>
      <w:r w:rsidR="00306E51">
        <w:fldChar w:fldCharType="separate"/>
      </w:r>
      <w:r w:rsidR="00306E51">
        <w:rPr>
          <w:noProof/>
        </w:rPr>
        <w:t>(Freeman et al., 2016)</w:t>
      </w:r>
      <w:r w:rsidR="00306E51">
        <w:fldChar w:fldCharType="end"/>
      </w:r>
      <w:r w:rsidR="00306E51">
        <w:t>. While this may affect the position of the Polar Front, it does not seem to have a major impact on the gradient of the Polar Front. Both the regions of small and large variability do not have any sign</w:t>
      </w:r>
      <w:bookmarkStart w:id="0" w:name="_GoBack"/>
      <w:bookmarkEnd w:id="0"/>
      <w:r w:rsidR="00306E51">
        <w:t xml:space="preserve">ificant differences in the gradient. On the other hand, the seasonal variability is obvious. </w:t>
      </w:r>
      <w:r w:rsidR="005301DF">
        <w:t>More research must be done on why this may be</w:t>
      </w:r>
      <w:r w:rsidR="00306E51">
        <w:t>, but the results are consistent with previous studies on the surface expression of the Polar Front</w:t>
      </w:r>
      <w:r w:rsidR="00B43869">
        <w:t>.</w:t>
      </w:r>
    </w:p>
    <w:p w14:paraId="1F0CE17E" w14:textId="77777777" w:rsidR="00306E51" w:rsidRDefault="00306E51" w:rsidP="00FE564E">
      <w:pPr>
        <w:spacing w:line="480" w:lineRule="auto"/>
        <w:ind w:firstLine="810"/>
      </w:pPr>
    </w:p>
    <w:p w14:paraId="3B859070" w14:textId="77777777" w:rsidR="00306E51" w:rsidRDefault="00306E51">
      <w:pPr>
        <w:rPr>
          <w:b/>
        </w:rPr>
      </w:pPr>
      <w:r>
        <w:rPr>
          <w:b/>
        </w:rPr>
        <w:br w:type="page"/>
      </w:r>
    </w:p>
    <w:p w14:paraId="386CED73" w14:textId="5AC10FBC" w:rsidR="00306E51" w:rsidRPr="00306E51" w:rsidRDefault="00306E51" w:rsidP="00306E51">
      <w:pPr>
        <w:spacing w:line="480" w:lineRule="auto"/>
        <w:rPr>
          <w:b/>
        </w:rPr>
      </w:pPr>
      <w:r w:rsidRPr="00306E51">
        <w:rPr>
          <w:b/>
        </w:rPr>
        <w:t>Acknowledgements</w:t>
      </w:r>
    </w:p>
    <w:p w14:paraId="06187109" w14:textId="4E256588" w:rsidR="00306E51" w:rsidRPr="001671DB" w:rsidRDefault="00306E51" w:rsidP="00306E51">
      <w:pPr>
        <w:spacing w:line="480" w:lineRule="auto"/>
        <w:ind w:firstLine="720"/>
      </w:pPr>
      <w:r>
        <w:t xml:space="preserve">I would like to thank </w:t>
      </w:r>
      <w:proofErr w:type="spellStart"/>
      <w:r>
        <w:t>LuAnne</w:t>
      </w:r>
      <w:proofErr w:type="spellEnd"/>
      <w:r>
        <w:t xml:space="preserve"> Thompson for all of her guidance and knowledge that she very kindly shared with me throughout the process of creating this piece and keeping me on track. I also would like to thank Arthur </w:t>
      </w:r>
      <w:proofErr w:type="spellStart"/>
      <w:r>
        <w:t>Nowell</w:t>
      </w:r>
      <w:proofErr w:type="spellEnd"/>
      <w:r>
        <w:t xml:space="preserve"> for his guidance, and the rest of my ocean physics group for their continued support.</w:t>
      </w:r>
    </w:p>
    <w:p w14:paraId="02B634DD" w14:textId="77777777" w:rsidR="0004270B" w:rsidRDefault="0004270B">
      <w:pPr>
        <w:rPr>
          <w:b/>
        </w:rPr>
      </w:pPr>
      <w:r>
        <w:rPr>
          <w:b/>
        </w:rPr>
        <w:br w:type="page"/>
      </w:r>
    </w:p>
    <w:p w14:paraId="2316B743" w14:textId="77777777" w:rsidR="0004270B" w:rsidRDefault="0004270B" w:rsidP="0004270B">
      <w:pPr>
        <w:rPr>
          <w:b/>
        </w:rPr>
      </w:pPr>
      <w:r>
        <w:rPr>
          <w:b/>
        </w:rPr>
        <w:t>Figures</w:t>
      </w:r>
    </w:p>
    <w:p w14:paraId="640989A9" w14:textId="2F2CE9DE" w:rsidR="00F913E0" w:rsidRDefault="00F913E0" w:rsidP="003C008C">
      <w:pPr>
        <w:jc w:val="center"/>
        <w:rPr>
          <w:b/>
        </w:rPr>
      </w:pPr>
      <w:r>
        <w:rPr>
          <w:b/>
          <w:noProof/>
        </w:rPr>
        <w:drawing>
          <wp:inline distT="0" distB="0" distL="0" distR="0" wp14:anchorId="657B359C" wp14:editId="23BE3D3E">
            <wp:extent cx="4664348" cy="4505231"/>
            <wp:effectExtent l="0" t="0" r="9525" b="0"/>
            <wp:docPr id="17" name="Picture 17" descr="Media999:senior_thesis:Plots:Polar Front Position Average with S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edia999:senior_thesis:Plots:Polar Front Position Average with Std.png"/>
                    <pic:cNvPicPr>
                      <a:picLocks noChangeAspect="1" noChangeArrowheads="1"/>
                    </pic:cNvPicPr>
                  </pic:nvPicPr>
                  <pic:blipFill rotWithShape="1">
                    <a:blip r:embed="rId6">
                      <a:extLst>
                        <a:ext uri="{28A0092B-C50C-407E-A947-70E740481C1C}">
                          <a14:useLocalDpi xmlns:a14="http://schemas.microsoft.com/office/drawing/2010/main" val="0"/>
                        </a:ext>
                      </a:extLst>
                    </a:blip>
                    <a:srcRect l="11551" r="10716"/>
                    <a:stretch/>
                  </pic:blipFill>
                  <pic:spPr bwMode="auto">
                    <a:xfrm>
                      <a:off x="0" y="0"/>
                      <a:ext cx="4665119" cy="4505976"/>
                    </a:xfrm>
                    <a:prstGeom prst="rect">
                      <a:avLst/>
                    </a:prstGeom>
                    <a:noFill/>
                    <a:ln>
                      <a:noFill/>
                    </a:ln>
                    <a:extLst>
                      <a:ext uri="{53640926-AAD7-44d8-BBD7-CCE9431645EC}">
                        <a14:shadowObscured xmlns:a14="http://schemas.microsoft.com/office/drawing/2010/main"/>
                      </a:ext>
                    </a:extLst>
                  </pic:spPr>
                </pic:pic>
              </a:graphicData>
            </a:graphic>
          </wp:inline>
        </w:drawing>
      </w:r>
    </w:p>
    <w:p w14:paraId="7AF677D3" w14:textId="5E360D2D" w:rsidR="003C008C" w:rsidRPr="003C008C" w:rsidRDefault="003C008C" w:rsidP="003C008C">
      <w:r>
        <w:rPr>
          <w:b/>
        </w:rPr>
        <w:t>Figure 1</w:t>
      </w:r>
      <w:r>
        <w:t xml:space="preserve"> </w:t>
      </w:r>
      <w:r w:rsidR="001C79E1">
        <w:t>Temporal mean (red) and standard deviation (black) in the monthly Polar Front position (June 2002 to February 2014).</w:t>
      </w:r>
    </w:p>
    <w:p w14:paraId="6AF603A3" w14:textId="77777777" w:rsidR="003C008C" w:rsidRDefault="003C008C" w:rsidP="003C008C">
      <w:pPr>
        <w:jc w:val="center"/>
        <w:rPr>
          <w:b/>
        </w:rPr>
      </w:pPr>
    </w:p>
    <w:p w14:paraId="6914AA4F" w14:textId="58D68F89" w:rsidR="00F913E0" w:rsidRDefault="00F913E0">
      <w:pPr>
        <w:rPr>
          <w:b/>
        </w:rPr>
      </w:pPr>
      <w:r>
        <w:rPr>
          <w:b/>
        </w:rPr>
        <w:br w:type="page"/>
      </w:r>
    </w:p>
    <w:p w14:paraId="3A4D57C2" w14:textId="77777777" w:rsidR="00F913E0" w:rsidRDefault="00F913E0" w:rsidP="0004270B">
      <w:pPr>
        <w:rPr>
          <w:b/>
        </w:rPr>
      </w:pPr>
    </w:p>
    <w:p w14:paraId="5CF3038A" w14:textId="77777777" w:rsidR="00F913E0" w:rsidRDefault="00F913E0" w:rsidP="0004270B">
      <w:pPr>
        <w:rPr>
          <w:b/>
        </w:rPr>
      </w:pPr>
    </w:p>
    <w:p w14:paraId="71DBBB97" w14:textId="77777777" w:rsidR="00F913E0" w:rsidRDefault="00F913E0" w:rsidP="0004270B">
      <w:pPr>
        <w:rPr>
          <w:b/>
        </w:rPr>
      </w:pPr>
    </w:p>
    <w:p w14:paraId="5DD3B3BA" w14:textId="3991CD63" w:rsidR="00495442" w:rsidRPr="00F913E0" w:rsidRDefault="00495442" w:rsidP="00F913E0">
      <w:pPr>
        <w:jc w:val="center"/>
        <w:rPr>
          <w:rFonts w:ascii="Arial" w:hAnsi="Arial" w:cs="Arial"/>
          <w:sz w:val="20"/>
          <w:szCs w:val="20"/>
        </w:rPr>
      </w:pPr>
      <w:r w:rsidRPr="00F913E0">
        <w:rPr>
          <w:rFonts w:ascii="Arial" w:hAnsi="Arial" w:cs="Arial"/>
          <w:sz w:val="20"/>
          <w:szCs w:val="20"/>
        </w:rPr>
        <w:t>0</w:t>
      </w:r>
      <w:r w:rsidRPr="00F913E0">
        <w:rPr>
          <w:rFonts w:ascii="Arial" w:hAnsi="Arial" w:cs="Arial"/>
          <w:sz w:val="20"/>
          <w:szCs w:val="20"/>
          <w:vertAlign w:val="superscript"/>
        </w:rPr>
        <w:t>o</w:t>
      </w:r>
      <w:r w:rsidRPr="00F913E0">
        <w:rPr>
          <w:rFonts w:ascii="Arial" w:hAnsi="Arial" w:cs="Arial"/>
          <w:sz w:val="20"/>
          <w:szCs w:val="20"/>
        </w:rPr>
        <w:t xml:space="preserve">E </w:t>
      </w:r>
      <w:r w:rsidR="00470EC5">
        <w:rPr>
          <w:rFonts w:ascii="Arial" w:hAnsi="Arial" w:cs="Arial"/>
          <w:sz w:val="20"/>
          <w:szCs w:val="20"/>
        </w:rPr>
        <w:t>Longitude</w:t>
      </w:r>
    </w:p>
    <w:p w14:paraId="002368BB" w14:textId="243B779E" w:rsidR="00495442" w:rsidRDefault="00495442" w:rsidP="00F913E0">
      <w:pPr>
        <w:jc w:val="center"/>
        <w:rPr>
          <w:b/>
        </w:rPr>
      </w:pPr>
      <w:r>
        <w:rPr>
          <w:b/>
          <w:noProof/>
        </w:rPr>
        <w:drawing>
          <wp:inline distT="0" distB="0" distL="0" distR="0" wp14:anchorId="2D822AFE" wp14:editId="23969CC9">
            <wp:extent cx="2631163" cy="1975504"/>
            <wp:effectExtent l="0" t="0" r="10795" b="5715"/>
            <wp:docPr id="10" name="Picture 10" descr="Media999:senior_thesis:Plots:Final:Density:0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a999:senior_thesis:Plots:Final:Density:0 Summer.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32221" cy="1976298"/>
                    </a:xfrm>
                    <a:prstGeom prst="rect">
                      <a:avLst/>
                    </a:prstGeom>
                    <a:noFill/>
                    <a:ln>
                      <a:noFill/>
                    </a:ln>
                  </pic:spPr>
                </pic:pic>
              </a:graphicData>
            </a:graphic>
          </wp:inline>
        </w:drawing>
      </w:r>
      <w:r>
        <w:rPr>
          <w:b/>
          <w:noProof/>
        </w:rPr>
        <w:drawing>
          <wp:inline distT="0" distB="0" distL="0" distR="0" wp14:anchorId="36DA1D99" wp14:editId="6CF30B20">
            <wp:extent cx="2652307" cy="1991378"/>
            <wp:effectExtent l="0" t="0" r="0" b="0"/>
            <wp:docPr id="11" name="Picture 11" descr="Media999:senior_thesis:Plots:Final:Density:0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dia999:senior_thesis:Plots:Final:Density:0 Winte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2985" cy="1991887"/>
                    </a:xfrm>
                    <a:prstGeom prst="rect">
                      <a:avLst/>
                    </a:prstGeom>
                    <a:noFill/>
                    <a:ln>
                      <a:noFill/>
                    </a:ln>
                  </pic:spPr>
                </pic:pic>
              </a:graphicData>
            </a:graphic>
          </wp:inline>
        </w:drawing>
      </w:r>
    </w:p>
    <w:p w14:paraId="67B8593C" w14:textId="59C546FE" w:rsidR="00495442" w:rsidRPr="00F913E0" w:rsidRDefault="00495442" w:rsidP="00F913E0">
      <w:pPr>
        <w:jc w:val="center"/>
        <w:rPr>
          <w:rFonts w:ascii="Arial" w:hAnsi="Arial" w:cs="Arial"/>
          <w:sz w:val="20"/>
          <w:szCs w:val="20"/>
        </w:rPr>
      </w:pPr>
      <w:r w:rsidRPr="00F913E0">
        <w:rPr>
          <w:rFonts w:ascii="Arial" w:hAnsi="Arial" w:cs="Arial"/>
          <w:sz w:val="20"/>
          <w:szCs w:val="20"/>
        </w:rPr>
        <w:t>80</w:t>
      </w:r>
      <w:r w:rsidRPr="00F913E0">
        <w:rPr>
          <w:rFonts w:ascii="Arial" w:hAnsi="Arial" w:cs="Arial"/>
          <w:sz w:val="20"/>
          <w:szCs w:val="20"/>
          <w:vertAlign w:val="superscript"/>
        </w:rPr>
        <w:t>o</w:t>
      </w:r>
      <w:r w:rsidRPr="00F913E0">
        <w:rPr>
          <w:rFonts w:ascii="Arial" w:hAnsi="Arial" w:cs="Arial"/>
          <w:sz w:val="20"/>
          <w:szCs w:val="20"/>
        </w:rPr>
        <w:t xml:space="preserve">E </w:t>
      </w:r>
      <w:r w:rsidR="00470EC5">
        <w:rPr>
          <w:rFonts w:ascii="Arial" w:hAnsi="Arial" w:cs="Arial"/>
          <w:sz w:val="20"/>
          <w:szCs w:val="20"/>
        </w:rPr>
        <w:t>Longitude</w:t>
      </w:r>
    </w:p>
    <w:p w14:paraId="0E39A681" w14:textId="49B57FB8" w:rsidR="00495442" w:rsidRDefault="00495442" w:rsidP="00F913E0">
      <w:pPr>
        <w:jc w:val="center"/>
        <w:rPr>
          <w:b/>
        </w:rPr>
      </w:pPr>
      <w:r>
        <w:rPr>
          <w:b/>
          <w:noProof/>
        </w:rPr>
        <w:drawing>
          <wp:inline distT="0" distB="0" distL="0" distR="0" wp14:anchorId="257D97FC" wp14:editId="46200976">
            <wp:extent cx="2678785" cy="2011259"/>
            <wp:effectExtent l="0" t="0" r="0" b="0"/>
            <wp:docPr id="12" name="Picture 12" descr="Media999:senior_thesis:Plots:Final:Density:80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dia999:senior_thesis:Plots:Final:Density:80 Summer.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9134" cy="2011521"/>
                    </a:xfrm>
                    <a:prstGeom prst="rect">
                      <a:avLst/>
                    </a:prstGeom>
                    <a:noFill/>
                    <a:ln>
                      <a:noFill/>
                    </a:ln>
                  </pic:spPr>
                </pic:pic>
              </a:graphicData>
            </a:graphic>
          </wp:inline>
        </w:drawing>
      </w:r>
      <w:r>
        <w:rPr>
          <w:b/>
          <w:noProof/>
        </w:rPr>
        <w:drawing>
          <wp:inline distT="0" distB="0" distL="0" distR="0" wp14:anchorId="72ED1EA5" wp14:editId="4AB589A2">
            <wp:extent cx="2694538" cy="2023084"/>
            <wp:effectExtent l="0" t="0" r="0" b="9525"/>
            <wp:docPr id="13" name="Picture 13" descr="Media999:senior_thesis:Plots:Final:Density:80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dia999:senior_thesis:Plots:Final:Density:80 Winter.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96450" cy="2024520"/>
                    </a:xfrm>
                    <a:prstGeom prst="rect">
                      <a:avLst/>
                    </a:prstGeom>
                    <a:noFill/>
                    <a:ln>
                      <a:noFill/>
                    </a:ln>
                  </pic:spPr>
                </pic:pic>
              </a:graphicData>
            </a:graphic>
          </wp:inline>
        </w:drawing>
      </w:r>
    </w:p>
    <w:p w14:paraId="75322C66" w14:textId="65FAE0E9" w:rsidR="00495442" w:rsidRPr="00F913E0" w:rsidRDefault="00495442" w:rsidP="00F913E0">
      <w:pPr>
        <w:jc w:val="center"/>
        <w:rPr>
          <w:rFonts w:ascii="Arial" w:hAnsi="Arial" w:cs="Arial"/>
          <w:sz w:val="20"/>
          <w:szCs w:val="20"/>
        </w:rPr>
      </w:pPr>
      <w:r w:rsidRPr="00F913E0">
        <w:rPr>
          <w:rFonts w:ascii="Arial" w:hAnsi="Arial" w:cs="Arial"/>
          <w:sz w:val="20"/>
          <w:szCs w:val="20"/>
        </w:rPr>
        <w:t>115</w:t>
      </w:r>
      <w:r w:rsidRPr="00F913E0">
        <w:rPr>
          <w:rFonts w:ascii="Arial" w:hAnsi="Arial" w:cs="Arial"/>
          <w:sz w:val="20"/>
          <w:szCs w:val="20"/>
          <w:vertAlign w:val="superscript"/>
        </w:rPr>
        <w:t>o</w:t>
      </w:r>
      <w:r w:rsidRPr="00F913E0">
        <w:rPr>
          <w:rFonts w:ascii="Arial" w:hAnsi="Arial" w:cs="Arial"/>
          <w:sz w:val="20"/>
          <w:szCs w:val="20"/>
        </w:rPr>
        <w:t xml:space="preserve">E </w:t>
      </w:r>
      <w:r w:rsidR="00470EC5">
        <w:rPr>
          <w:rFonts w:ascii="Arial" w:hAnsi="Arial" w:cs="Arial"/>
          <w:sz w:val="20"/>
          <w:szCs w:val="20"/>
        </w:rPr>
        <w:t>Longitude</w:t>
      </w:r>
    </w:p>
    <w:p w14:paraId="501670FF" w14:textId="078D2877" w:rsidR="00495442" w:rsidRDefault="00F913E0" w:rsidP="00F913E0">
      <w:pPr>
        <w:jc w:val="center"/>
        <w:rPr>
          <w:b/>
        </w:rPr>
      </w:pPr>
      <w:r>
        <w:rPr>
          <w:b/>
          <w:noProof/>
        </w:rPr>
        <w:drawing>
          <wp:inline distT="0" distB="0" distL="0" distR="0" wp14:anchorId="249580FB" wp14:editId="5CBD731D">
            <wp:extent cx="2709250" cy="2034134"/>
            <wp:effectExtent l="0" t="0" r="8890" b="0"/>
            <wp:docPr id="15" name="Picture 15" descr="Media999:senior_thesis:Plots:Final:Density:115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dia999:senior_thesis:Plots:Final:Density:115 Summer.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12045" cy="2036233"/>
                    </a:xfrm>
                    <a:prstGeom prst="rect">
                      <a:avLst/>
                    </a:prstGeom>
                    <a:noFill/>
                    <a:ln>
                      <a:noFill/>
                    </a:ln>
                  </pic:spPr>
                </pic:pic>
              </a:graphicData>
            </a:graphic>
          </wp:inline>
        </w:drawing>
      </w:r>
      <w:r>
        <w:rPr>
          <w:b/>
          <w:noProof/>
        </w:rPr>
        <w:drawing>
          <wp:inline distT="0" distB="0" distL="0" distR="0" wp14:anchorId="73351106" wp14:editId="201903FD">
            <wp:extent cx="2739477" cy="2056828"/>
            <wp:effectExtent l="0" t="0" r="3810" b="635"/>
            <wp:docPr id="16" name="Picture 16" descr="Media999:senior_thesis:Plots:Final:Density:115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edia999:senior_thesis:Plots:Final:Density:115 Winter.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41734" cy="2058523"/>
                    </a:xfrm>
                    <a:prstGeom prst="rect">
                      <a:avLst/>
                    </a:prstGeom>
                    <a:noFill/>
                    <a:ln>
                      <a:noFill/>
                    </a:ln>
                  </pic:spPr>
                </pic:pic>
              </a:graphicData>
            </a:graphic>
          </wp:inline>
        </w:drawing>
      </w:r>
    </w:p>
    <w:p w14:paraId="442C70E9" w14:textId="77777777" w:rsidR="00F913E0" w:rsidRDefault="00F913E0" w:rsidP="00F913E0">
      <w:pPr>
        <w:rPr>
          <w:b/>
        </w:rPr>
      </w:pPr>
    </w:p>
    <w:p w14:paraId="77F486C3" w14:textId="181C61C2" w:rsidR="00F913E0" w:rsidRDefault="003C008C">
      <w:pPr>
        <w:rPr>
          <w:b/>
        </w:rPr>
      </w:pPr>
      <w:r>
        <w:rPr>
          <w:b/>
        </w:rPr>
        <w:t>Figure 2</w:t>
      </w:r>
      <w:r>
        <w:t xml:space="preserve"> </w:t>
      </w:r>
      <w:r w:rsidR="001C79E1">
        <w:t>Climatological potential densities of regions of small latitudinal variability in summer and winter calculated from MIMOC data. Note that the shear is more prominent in winter than in summer.</w:t>
      </w:r>
      <w:r w:rsidR="00F913E0">
        <w:rPr>
          <w:b/>
        </w:rPr>
        <w:br w:type="page"/>
      </w:r>
    </w:p>
    <w:p w14:paraId="529ACF1D" w14:textId="012CCC96" w:rsidR="00F913E0" w:rsidRPr="00F913E0" w:rsidRDefault="00F913E0" w:rsidP="00F913E0">
      <w:pPr>
        <w:jc w:val="center"/>
        <w:rPr>
          <w:rFonts w:ascii="Arial" w:hAnsi="Arial" w:cs="Arial"/>
          <w:sz w:val="20"/>
          <w:szCs w:val="20"/>
        </w:rPr>
      </w:pPr>
      <w:r w:rsidRPr="00F913E0">
        <w:rPr>
          <w:rFonts w:ascii="Arial" w:hAnsi="Arial" w:cs="Arial"/>
          <w:sz w:val="20"/>
          <w:szCs w:val="20"/>
        </w:rPr>
        <w:t>100</w:t>
      </w:r>
      <w:r w:rsidRPr="00F913E0">
        <w:rPr>
          <w:rFonts w:ascii="Arial" w:hAnsi="Arial" w:cs="Arial"/>
          <w:sz w:val="20"/>
          <w:szCs w:val="20"/>
          <w:vertAlign w:val="superscript"/>
        </w:rPr>
        <w:t>o</w:t>
      </w:r>
      <w:r w:rsidRPr="00F913E0">
        <w:rPr>
          <w:rFonts w:ascii="Arial" w:hAnsi="Arial" w:cs="Arial"/>
          <w:sz w:val="20"/>
          <w:szCs w:val="20"/>
        </w:rPr>
        <w:t xml:space="preserve">E </w:t>
      </w:r>
      <w:r w:rsidR="00470EC5">
        <w:rPr>
          <w:rFonts w:ascii="Arial" w:hAnsi="Arial" w:cs="Arial"/>
          <w:sz w:val="20"/>
          <w:szCs w:val="20"/>
        </w:rPr>
        <w:t>Longitude</w:t>
      </w:r>
    </w:p>
    <w:p w14:paraId="6E647BB4" w14:textId="5895C06C" w:rsidR="00F913E0" w:rsidRDefault="00F913E0" w:rsidP="00F913E0">
      <w:pPr>
        <w:jc w:val="center"/>
        <w:rPr>
          <w:b/>
        </w:rPr>
      </w:pPr>
      <w:r>
        <w:rPr>
          <w:b/>
          <w:noProof/>
        </w:rPr>
        <w:drawing>
          <wp:inline distT="0" distB="0" distL="0" distR="0" wp14:anchorId="052245B3" wp14:editId="0B5067BA">
            <wp:extent cx="2651311" cy="1990631"/>
            <wp:effectExtent l="0" t="0" r="0" b="0"/>
            <wp:docPr id="18" name="Picture 18" descr="Media999:senior_thesis:Plots:Final:Density:100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edia999:senior_thesis:Plots:Final:Density:100 Summer.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52011" cy="1991156"/>
                    </a:xfrm>
                    <a:prstGeom prst="rect">
                      <a:avLst/>
                    </a:prstGeom>
                    <a:noFill/>
                    <a:ln>
                      <a:noFill/>
                    </a:ln>
                  </pic:spPr>
                </pic:pic>
              </a:graphicData>
            </a:graphic>
          </wp:inline>
        </w:drawing>
      </w:r>
      <w:r>
        <w:rPr>
          <w:b/>
          <w:noProof/>
        </w:rPr>
        <w:drawing>
          <wp:inline distT="0" distB="0" distL="0" distR="0" wp14:anchorId="6DFF666D" wp14:editId="4A3EC0CD">
            <wp:extent cx="2631163" cy="1975505"/>
            <wp:effectExtent l="0" t="0" r="10795" b="5715"/>
            <wp:docPr id="19" name="Picture 19" descr="Media999:senior_thesis:Plots:Final:Density:100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edia999:senior_thesis:Plots:Final:Density:100 Winter.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32186" cy="1976273"/>
                    </a:xfrm>
                    <a:prstGeom prst="rect">
                      <a:avLst/>
                    </a:prstGeom>
                    <a:noFill/>
                    <a:ln>
                      <a:noFill/>
                    </a:ln>
                  </pic:spPr>
                </pic:pic>
              </a:graphicData>
            </a:graphic>
          </wp:inline>
        </w:drawing>
      </w:r>
    </w:p>
    <w:p w14:paraId="6207D462" w14:textId="6013DBEC" w:rsidR="00F913E0" w:rsidRPr="00F913E0" w:rsidRDefault="00F913E0" w:rsidP="00F913E0">
      <w:pPr>
        <w:jc w:val="center"/>
        <w:rPr>
          <w:rFonts w:ascii="Arial" w:hAnsi="Arial" w:cs="Arial"/>
          <w:sz w:val="20"/>
          <w:szCs w:val="20"/>
        </w:rPr>
      </w:pPr>
      <w:r w:rsidRPr="00F913E0">
        <w:rPr>
          <w:rFonts w:ascii="Arial" w:hAnsi="Arial" w:cs="Arial"/>
          <w:sz w:val="20"/>
          <w:szCs w:val="20"/>
        </w:rPr>
        <w:t>130</w:t>
      </w:r>
      <w:r w:rsidRPr="00F913E0">
        <w:rPr>
          <w:rFonts w:ascii="Arial" w:hAnsi="Arial" w:cs="Arial"/>
          <w:sz w:val="20"/>
          <w:szCs w:val="20"/>
          <w:vertAlign w:val="superscript"/>
        </w:rPr>
        <w:t>o</w:t>
      </w:r>
      <w:r w:rsidRPr="00F913E0">
        <w:rPr>
          <w:rFonts w:ascii="Arial" w:hAnsi="Arial" w:cs="Arial"/>
          <w:sz w:val="20"/>
          <w:szCs w:val="20"/>
        </w:rPr>
        <w:t xml:space="preserve">E </w:t>
      </w:r>
      <w:r w:rsidR="00470EC5">
        <w:rPr>
          <w:rFonts w:ascii="Arial" w:hAnsi="Arial" w:cs="Arial"/>
          <w:sz w:val="20"/>
          <w:szCs w:val="20"/>
        </w:rPr>
        <w:t>Longitude</w:t>
      </w:r>
    </w:p>
    <w:p w14:paraId="54B55BF5" w14:textId="60D74728" w:rsidR="00495442" w:rsidRDefault="00F913E0" w:rsidP="00F913E0">
      <w:pPr>
        <w:jc w:val="center"/>
        <w:rPr>
          <w:b/>
        </w:rPr>
      </w:pPr>
      <w:r>
        <w:rPr>
          <w:b/>
          <w:noProof/>
        </w:rPr>
        <w:drawing>
          <wp:inline distT="0" distB="0" distL="0" distR="0" wp14:anchorId="4895F74F" wp14:editId="00AE511B">
            <wp:extent cx="2709250" cy="2034132"/>
            <wp:effectExtent l="0" t="0" r="8890" b="0"/>
            <wp:docPr id="20" name="Picture 20" descr="Media999:senior_thesis:Plots:Final:Density:130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edia999:senior_thesis:Plots:Final:Density:130 Summer.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11793" cy="2036041"/>
                    </a:xfrm>
                    <a:prstGeom prst="rect">
                      <a:avLst/>
                    </a:prstGeom>
                    <a:noFill/>
                    <a:ln>
                      <a:noFill/>
                    </a:ln>
                  </pic:spPr>
                </pic:pic>
              </a:graphicData>
            </a:graphic>
          </wp:inline>
        </w:drawing>
      </w:r>
      <w:r>
        <w:rPr>
          <w:b/>
          <w:noProof/>
        </w:rPr>
        <w:drawing>
          <wp:inline distT="0" distB="0" distL="0" distR="0" wp14:anchorId="4A10EB56" wp14:editId="3A7975B5">
            <wp:extent cx="2631163" cy="1975503"/>
            <wp:effectExtent l="0" t="0" r="10795" b="5715"/>
            <wp:docPr id="21" name="Picture 21" descr="Media999:senior_thesis:Plots:Final:Density:130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edia999:senior_thesis:Plots:Final:Density:130 Winter.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31997" cy="1976129"/>
                    </a:xfrm>
                    <a:prstGeom prst="rect">
                      <a:avLst/>
                    </a:prstGeom>
                    <a:noFill/>
                    <a:ln>
                      <a:noFill/>
                    </a:ln>
                  </pic:spPr>
                </pic:pic>
              </a:graphicData>
            </a:graphic>
          </wp:inline>
        </w:drawing>
      </w:r>
    </w:p>
    <w:p w14:paraId="7A919582" w14:textId="25F4DF0D" w:rsidR="00F913E0" w:rsidRPr="00F913E0" w:rsidRDefault="00F913E0" w:rsidP="00F913E0">
      <w:pPr>
        <w:jc w:val="center"/>
        <w:rPr>
          <w:rFonts w:ascii="Arial" w:hAnsi="Arial" w:cs="Arial"/>
          <w:sz w:val="20"/>
          <w:szCs w:val="20"/>
        </w:rPr>
      </w:pPr>
      <w:r w:rsidRPr="00F913E0">
        <w:rPr>
          <w:rFonts w:ascii="Arial" w:hAnsi="Arial" w:cs="Arial"/>
          <w:sz w:val="20"/>
          <w:szCs w:val="20"/>
        </w:rPr>
        <w:t>40</w:t>
      </w:r>
      <w:r w:rsidRPr="00F913E0">
        <w:rPr>
          <w:rFonts w:ascii="Arial" w:hAnsi="Arial" w:cs="Arial"/>
          <w:sz w:val="20"/>
          <w:szCs w:val="20"/>
          <w:vertAlign w:val="superscript"/>
        </w:rPr>
        <w:t>o</w:t>
      </w:r>
      <w:r w:rsidRPr="00F913E0">
        <w:rPr>
          <w:rFonts w:ascii="Arial" w:hAnsi="Arial" w:cs="Arial"/>
          <w:sz w:val="20"/>
          <w:szCs w:val="20"/>
        </w:rPr>
        <w:t xml:space="preserve">W </w:t>
      </w:r>
      <w:r w:rsidR="00470EC5">
        <w:rPr>
          <w:rFonts w:ascii="Arial" w:hAnsi="Arial" w:cs="Arial"/>
          <w:sz w:val="20"/>
          <w:szCs w:val="20"/>
        </w:rPr>
        <w:t>Longitude</w:t>
      </w:r>
    </w:p>
    <w:p w14:paraId="3E218FD7" w14:textId="583D0B00" w:rsidR="00F913E0" w:rsidRDefault="00F913E0" w:rsidP="00F913E0">
      <w:pPr>
        <w:jc w:val="center"/>
        <w:rPr>
          <w:b/>
        </w:rPr>
      </w:pPr>
      <w:r>
        <w:rPr>
          <w:b/>
          <w:noProof/>
        </w:rPr>
        <w:drawing>
          <wp:inline distT="0" distB="0" distL="0" distR="0" wp14:anchorId="29E70193" wp14:editId="4042C999">
            <wp:extent cx="2594950" cy="1948315"/>
            <wp:effectExtent l="0" t="0" r="0" b="7620"/>
            <wp:docPr id="22" name="Picture 22" descr="Media999:senior_thesis:Plots:Final:Density:320 Summ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edia999:senior_thesis:Plots:Final:Density:320 Summer.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5680" cy="1948863"/>
                    </a:xfrm>
                    <a:prstGeom prst="rect">
                      <a:avLst/>
                    </a:prstGeom>
                    <a:noFill/>
                    <a:ln>
                      <a:noFill/>
                    </a:ln>
                  </pic:spPr>
                </pic:pic>
              </a:graphicData>
            </a:graphic>
          </wp:inline>
        </w:drawing>
      </w:r>
      <w:r>
        <w:rPr>
          <w:b/>
          <w:noProof/>
        </w:rPr>
        <w:drawing>
          <wp:inline distT="0" distB="0" distL="0" distR="0" wp14:anchorId="52CA5E58" wp14:editId="407BBE96">
            <wp:extent cx="2631163" cy="1975504"/>
            <wp:effectExtent l="0" t="0" r="10795" b="5715"/>
            <wp:docPr id="23" name="Picture 23" descr="Media999:senior_thesis:Plots:Final:Density:320 W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edia999:senior_thesis:Plots:Final:Density:320 Winter.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33370" cy="1977161"/>
                    </a:xfrm>
                    <a:prstGeom prst="rect">
                      <a:avLst/>
                    </a:prstGeom>
                    <a:noFill/>
                    <a:ln>
                      <a:noFill/>
                    </a:ln>
                  </pic:spPr>
                </pic:pic>
              </a:graphicData>
            </a:graphic>
          </wp:inline>
        </w:drawing>
      </w:r>
    </w:p>
    <w:p w14:paraId="5CE3DFF4" w14:textId="3A5BDD34" w:rsidR="00495442" w:rsidRPr="003C008C" w:rsidRDefault="003C008C" w:rsidP="003C008C">
      <w:r>
        <w:rPr>
          <w:b/>
        </w:rPr>
        <w:t xml:space="preserve">Figure 3 </w:t>
      </w:r>
      <w:r w:rsidR="001C79E1">
        <w:t>Climatological potential densities of regions of large latitudinal variability in the winter and summer calculated from MIMOC data. Note that the shear is more prominent in the winter than the summer.</w:t>
      </w:r>
    </w:p>
    <w:p w14:paraId="2D137A85" w14:textId="77777777" w:rsidR="00495442" w:rsidRDefault="00495442" w:rsidP="00F913E0">
      <w:pPr>
        <w:jc w:val="center"/>
        <w:rPr>
          <w:b/>
        </w:rPr>
      </w:pPr>
    </w:p>
    <w:p w14:paraId="1F2E00FB" w14:textId="697587B3" w:rsidR="00E16EF1" w:rsidRDefault="00E16EF1">
      <w:pPr>
        <w:rPr>
          <w:b/>
        </w:rPr>
      </w:pPr>
      <w:r>
        <w:rPr>
          <w:b/>
        </w:rPr>
        <w:br w:type="page"/>
      </w:r>
    </w:p>
    <w:p w14:paraId="30E8D710" w14:textId="0A31D2A2" w:rsidR="0004270B" w:rsidRDefault="0004270B" w:rsidP="003C008C">
      <w:pPr>
        <w:rPr>
          <w:b/>
        </w:rPr>
      </w:pPr>
      <w:r w:rsidRPr="0004270B">
        <w:rPr>
          <w:b/>
        </w:rPr>
        <w:t>References</w:t>
      </w:r>
    </w:p>
    <w:p w14:paraId="25F9D0BE" w14:textId="77777777" w:rsidR="00306E51" w:rsidRPr="00306E51" w:rsidRDefault="00906DEE" w:rsidP="00306E51">
      <w:pPr>
        <w:pStyle w:val="EndNoteBibliography"/>
        <w:ind w:left="720" w:hanging="720"/>
        <w:rPr>
          <w:noProof/>
        </w:rPr>
      </w:pPr>
      <w:r>
        <w:rPr>
          <w:b/>
        </w:rPr>
        <w:fldChar w:fldCharType="begin"/>
      </w:r>
      <w:r>
        <w:rPr>
          <w:b/>
        </w:rPr>
        <w:instrText xml:space="preserve"> ADDIN EN.REFLIST </w:instrText>
      </w:r>
      <w:r>
        <w:rPr>
          <w:b/>
        </w:rPr>
        <w:fldChar w:fldCharType="separate"/>
      </w:r>
      <w:r w:rsidR="00306E51" w:rsidRPr="00306E51">
        <w:rPr>
          <w:noProof/>
        </w:rPr>
        <w:t xml:space="preserve">Freeman, N. M., Lovenduski, N. S., &amp; Gent, P. R. (2016). Temporal variability in the Antarctic Polar Front (2002-2014). </w:t>
      </w:r>
      <w:r w:rsidR="00306E51" w:rsidRPr="00306E51">
        <w:rPr>
          <w:i/>
          <w:noProof/>
        </w:rPr>
        <w:t>Journal of Geophysical Research: Oceans, 121</w:t>
      </w:r>
      <w:r w:rsidR="00306E51" w:rsidRPr="00306E51">
        <w:rPr>
          <w:noProof/>
        </w:rPr>
        <w:t>(10), 7263-7276. doi:10.1002/2016jc012145</w:t>
      </w:r>
    </w:p>
    <w:p w14:paraId="517B3F6A" w14:textId="77777777" w:rsidR="00306E51" w:rsidRPr="00306E51" w:rsidRDefault="00306E51" w:rsidP="00306E51">
      <w:pPr>
        <w:pStyle w:val="EndNoteBibliography"/>
        <w:ind w:left="720" w:hanging="720"/>
        <w:rPr>
          <w:noProof/>
        </w:rPr>
      </w:pPr>
      <w:r w:rsidRPr="00306E51">
        <w:rPr>
          <w:noProof/>
        </w:rPr>
        <w:t xml:space="preserve">Orsi, A. H., Whitworth III, T., &amp; Nowlin Jr., W. D. (1995). On the meridional extent and fronts of the Antarctic Circumpolar Current. </w:t>
      </w:r>
      <w:r w:rsidRPr="00306E51">
        <w:rPr>
          <w:i/>
          <w:noProof/>
        </w:rPr>
        <w:t>Deep Sea Res., Part I, 42</w:t>
      </w:r>
      <w:r w:rsidRPr="00306E51">
        <w:rPr>
          <w:noProof/>
        </w:rPr>
        <w:t xml:space="preserve">, 32. </w:t>
      </w:r>
    </w:p>
    <w:p w14:paraId="1CE45B4C" w14:textId="77777777" w:rsidR="00306E51" w:rsidRPr="00306E51" w:rsidRDefault="00306E51" w:rsidP="00306E51">
      <w:pPr>
        <w:pStyle w:val="EndNoteBibliography"/>
        <w:ind w:left="720" w:hanging="720"/>
        <w:rPr>
          <w:noProof/>
        </w:rPr>
      </w:pPr>
      <w:r w:rsidRPr="00306E51">
        <w:rPr>
          <w:noProof/>
        </w:rPr>
        <w:t xml:space="preserve">Pollard, R. T., Lucas, M. I., &amp; Read, J. F. (2002). Physical controls on biogeochemical zonation in the Southern Ocean. </w:t>
      </w:r>
      <w:r w:rsidRPr="00306E51">
        <w:rPr>
          <w:i/>
          <w:noProof/>
        </w:rPr>
        <w:t>Deep Sea Res., Part II, 49</w:t>
      </w:r>
      <w:r w:rsidRPr="00306E51">
        <w:rPr>
          <w:noProof/>
        </w:rPr>
        <w:t>, 16. doi:10.1016/S0967-0645(02)00084-X</w:t>
      </w:r>
    </w:p>
    <w:p w14:paraId="36273874" w14:textId="77777777" w:rsidR="00306E51" w:rsidRPr="00306E51" w:rsidRDefault="00306E51" w:rsidP="00306E51">
      <w:pPr>
        <w:pStyle w:val="EndNoteBibliography"/>
        <w:ind w:left="720" w:hanging="720"/>
        <w:rPr>
          <w:noProof/>
        </w:rPr>
      </w:pPr>
      <w:r w:rsidRPr="00306E51">
        <w:rPr>
          <w:noProof/>
        </w:rPr>
        <w:t xml:space="preserve">Rintoul, S. R., Hughes, C., &amp; Olbers, D. (2001). The Antarctic Circumpolar Current system, in Ocean Circulation and Climate. </w:t>
      </w:r>
      <w:r w:rsidRPr="00306E51">
        <w:rPr>
          <w:i/>
          <w:noProof/>
        </w:rPr>
        <w:t>International Geophysics, 77</w:t>
      </w:r>
      <w:r w:rsidRPr="00306E51">
        <w:rPr>
          <w:noProof/>
        </w:rPr>
        <w:t xml:space="preserve">, 31. </w:t>
      </w:r>
    </w:p>
    <w:p w14:paraId="579F3A90" w14:textId="77777777" w:rsidR="00306E51" w:rsidRPr="00306E51" w:rsidRDefault="00306E51" w:rsidP="00306E51">
      <w:pPr>
        <w:pStyle w:val="EndNoteBibliography"/>
        <w:ind w:left="720" w:hanging="720"/>
        <w:rPr>
          <w:noProof/>
        </w:rPr>
      </w:pPr>
      <w:r w:rsidRPr="00306E51">
        <w:rPr>
          <w:noProof/>
        </w:rPr>
        <w:t xml:space="preserve">Schmidtko, S., Johnson, G. C., &amp; Lyman, J. M. (2013). MIMOC: A Global Monthly Isopycnal Upper-Ocean Climatology with Mixed Layers. </w:t>
      </w:r>
      <w:r w:rsidRPr="00306E51">
        <w:rPr>
          <w:i/>
          <w:noProof/>
        </w:rPr>
        <w:t>Journal of Geophysical Research: Oceans, 118</w:t>
      </w:r>
      <w:r w:rsidRPr="00306E51">
        <w:rPr>
          <w:noProof/>
        </w:rPr>
        <w:t>. doi:10.1002/jgrc.20122</w:t>
      </w:r>
    </w:p>
    <w:p w14:paraId="6368B90F" w14:textId="2FEDFA11" w:rsidR="0004270B" w:rsidRPr="0004270B" w:rsidRDefault="00906DEE" w:rsidP="00FE564E">
      <w:pPr>
        <w:spacing w:line="480" w:lineRule="auto"/>
        <w:rPr>
          <w:b/>
        </w:rPr>
      </w:pPr>
      <w:r>
        <w:rPr>
          <w:b/>
        </w:rPr>
        <w:fldChar w:fldCharType="end"/>
      </w:r>
    </w:p>
    <w:sectPr w:rsidR="0004270B" w:rsidRPr="0004270B" w:rsidSect="00883D72">
      <w:pgSz w:w="12240" w:h="15840"/>
      <w:pgMar w:top="1440" w:right="1800" w:bottom="1440" w:left="180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5za2a5wiw2fr5eap0gprvw9v9dz2wxxxdep&quot;&gt;My EndNote Library&lt;record-ids&gt;&lt;item&gt;1&lt;/item&gt;&lt;item&gt;3&lt;/item&gt;&lt;item&gt;4&lt;/item&gt;&lt;item&gt;5&lt;/item&gt;&lt;item&gt;7&lt;/item&gt;&lt;/record-ids&gt;&lt;/item&gt;&lt;/Libraries&gt;"/>
  </w:docVars>
  <w:rsids>
    <w:rsidRoot w:val="00026246"/>
    <w:rsid w:val="00026246"/>
    <w:rsid w:val="00037152"/>
    <w:rsid w:val="0004270B"/>
    <w:rsid w:val="000834CF"/>
    <w:rsid w:val="00147170"/>
    <w:rsid w:val="001671DB"/>
    <w:rsid w:val="00193C02"/>
    <w:rsid w:val="001C79E1"/>
    <w:rsid w:val="002279F3"/>
    <w:rsid w:val="00306E51"/>
    <w:rsid w:val="00314610"/>
    <w:rsid w:val="003C008C"/>
    <w:rsid w:val="003E2229"/>
    <w:rsid w:val="00410A41"/>
    <w:rsid w:val="00470EC5"/>
    <w:rsid w:val="00492781"/>
    <w:rsid w:val="00495442"/>
    <w:rsid w:val="005301DF"/>
    <w:rsid w:val="00555D92"/>
    <w:rsid w:val="005973B8"/>
    <w:rsid w:val="00663E19"/>
    <w:rsid w:val="00846FF2"/>
    <w:rsid w:val="00881802"/>
    <w:rsid w:val="00883D72"/>
    <w:rsid w:val="008D2DEB"/>
    <w:rsid w:val="00906DEE"/>
    <w:rsid w:val="00922681"/>
    <w:rsid w:val="009804EE"/>
    <w:rsid w:val="00A1431F"/>
    <w:rsid w:val="00A534CB"/>
    <w:rsid w:val="00A8443F"/>
    <w:rsid w:val="00B010EC"/>
    <w:rsid w:val="00B2728C"/>
    <w:rsid w:val="00B43869"/>
    <w:rsid w:val="00B47391"/>
    <w:rsid w:val="00B75E5A"/>
    <w:rsid w:val="00C836BB"/>
    <w:rsid w:val="00CD0DFB"/>
    <w:rsid w:val="00DA1189"/>
    <w:rsid w:val="00DB4A37"/>
    <w:rsid w:val="00E16EF1"/>
    <w:rsid w:val="00F01ED8"/>
    <w:rsid w:val="00F250CB"/>
    <w:rsid w:val="00F913E0"/>
    <w:rsid w:val="00FC3EF2"/>
    <w:rsid w:val="00FE56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5375A9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624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4270B"/>
    <w:rPr>
      <w:color w:val="0000FF" w:themeColor="hyperlink"/>
      <w:u w:val="single"/>
    </w:rPr>
  </w:style>
  <w:style w:type="paragraph" w:styleId="BalloonText">
    <w:name w:val="Balloon Text"/>
    <w:basedOn w:val="Normal"/>
    <w:link w:val="BalloonTextChar"/>
    <w:uiPriority w:val="99"/>
    <w:semiHidden/>
    <w:unhideWhenUsed/>
    <w:rsid w:val="00F01ED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01ED8"/>
    <w:rPr>
      <w:rFonts w:ascii="Lucida Grande" w:hAnsi="Lucida Grande" w:cs="Lucida Grande"/>
      <w:sz w:val="18"/>
      <w:szCs w:val="18"/>
    </w:rPr>
  </w:style>
  <w:style w:type="character" w:styleId="PlaceholderText">
    <w:name w:val="Placeholder Text"/>
    <w:basedOn w:val="DefaultParagraphFont"/>
    <w:uiPriority w:val="99"/>
    <w:semiHidden/>
    <w:rsid w:val="003E2229"/>
    <w:rPr>
      <w:color w:val="808080"/>
    </w:rPr>
  </w:style>
  <w:style w:type="paragraph" w:customStyle="1" w:styleId="EndNoteBibliographyTitle">
    <w:name w:val="EndNote Bibliography Title"/>
    <w:basedOn w:val="Normal"/>
    <w:rsid w:val="00906DEE"/>
    <w:pPr>
      <w:jc w:val="center"/>
    </w:pPr>
    <w:rPr>
      <w:rFonts w:ascii="Cambria" w:hAnsi="Cambria"/>
    </w:rPr>
  </w:style>
  <w:style w:type="paragraph" w:customStyle="1" w:styleId="EndNoteBibliography">
    <w:name w:val="EndNote Bibliography"/>
    <w:basedOn w:val="Normal"/>
    <w:rsid w:val="00906DEE"/>
    <w:rPr>
      <w:rFonts w:ascii="Cambria" w:hAnsi="Cambri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624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4270B"/>
    <w:rPr>
      <w:color w:val="0000FF" w:themeColor="hyperlink"/>
      <w:u w:val="single"/>
    </w:rPr>
  </w:style>
  <w:style w:type="paragraph" w:styleId="BalloonText">
    <w:name w:val="Balloon Text"/>
    <w:basedOn w:val="Normal"/>
    <w:link w:val="BalloonTextChar"/>
    <w:uiPriority w:val="99"/>
    <w:semiHidden/>
    <w:unhideWhenUsed/>
    <w:rsid w:val="00F01ED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01ED8"/>
    <w:rPr>
      <w:rFonts w:ascii="Lucida Grande" w:hAnsi="Lucida Grande" w:cs="Lucida Grande"/>
      <w:sz w:val="18"/>
      <w:szCs w:val="18"/>
    </w:rPr>
  </w:style>
  <w:style w:type="character" w:styleId="PlaceholderText">
    <w:name w:val="Placeholder Text"/>
    <w:basedOn w:val="DefaultParagraphFont"/>
    <w:uiPriority w:val="99"/>
    <w:semiHidden/>
    <w:rsid w:val="003E2229"/>
    <w:rPr>
      <w:color w:val="808080"/>
    </w:rPr>
  </w:style>
  <w:style w:type="paragraph" w:customStyle="1" w:styleId="EndNoteBibliographyTitle">
    <w:name w:val="EndNote Bibliography Title"/>
    <w:basedOn w:val="Normal"/>
    <w:rsid w:val="00906DEE"/>
    <w:pPr>
      <w:jc w:val="center"/>
    </w:pPr>
    <w:rPr>
      <w:rFonts w:ascii="Cambria" w:hAnsi="Cambria"/>
    </w:rPr>
  </w:style>
  <w:style w:type="paragraph" w:customStyle="1" w:styleId="EndNoteBibliography">
    <w:name w:val="EndNote Bibliography"/>
    <w:basedOn w:val="Normal"/>
    <w:rsid w:val="00906DEE"/>
    <w:rPr>
      <w:rFonts w:ascii="Cambria" w:hAnsi="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768077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4.png"/><Relationship Id="rId20" Type="http://schemas.openxmlformats.org/officeDocument/2006/relationships/theme" Target="theme/theme1.xml"/><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35589A88-B0A5-BA4F-9AD0-CBC1AC16C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3091</Words>
  <Characters>17622</Characters>
  <Application>Microsoft Macintosh Word</Application>
  <DocSecurity>0</DocSecurity>
  <Lines>146</Lines>
  <Paragraphs>41</Paragraphs>
  <ScaleCrop>false</ScaleCrop>
  <Company/>
  <LinksUpToDate>false</LinksUpToDate>
  <CharactersWithSpaces>20672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Pesavento</dc:creator>
  <cp:keywords/>
  <dc:description/>
  <cp:lastModifiedBy>Juliana Pesavento</cp:lastModifiedBy>
  <cp:revision>2</cp:revision>
  <dcterms:created xsi:type="dcterms:W3CDTF">2017-05-30T13:50:00Z</dcterms:created>
  <dcterms:modified xsi:type="dcterms:W3CDTF">2017-05-30T13:50:00Z</dcterms:modified>
</cp:coreProperties>
</file>