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27348" w14:textId="77777777" w:rsidR="00740802" w:rsidRPr="00740802" w:rsidRDefault="00740802" w:rsidP="00740802">
      <w:pPr>
        <w:spacing w:line="480" w:lineRule="auto"/>
        <w:jc w:val="center"/>
        <w:rPr>
          <w:rFonts w:ascii="Times" w:hAnsi="Times"/>
        </w:rPr>
      </w:pPr>
    </w:p>
    <w:p w14:paraId="74DD515E" w14:textId="77777777" w:rsidR="00740802" w:rsidRPr="00740802" w:rsidRDefault="00740802" w:rsidP="00740802">
      <w:pPr>
        <w:spacing w:line="480" w:lineRule="auto"/>
        <w:jc w:val="center"/>
        <w:rPr>
          <w:rFonts w:ascii="Times" w:hAnsi="Times"/>
        </w:rPr>
      </w:pPr>
    </w:p>
    <w:p w14:paraId="69877689" w14:textId="5097C161" w:rsidR="00740802" w:rsidRPr="00740802" w:rsidRDefault="00740802" w:rsidP="00740802">
      <w:pPr>
        <w:spacing w:line="480" w:lineRule="auto"/>
        <w:jc w:val="center"/>
        <w:rPr>
          <w:rFonts w:ascii="Times" w:hAnsi="Times"/>
          <w:bCs/>
        </w:rPr>
      </w:pPr>
      <w:r w:rsidRPr="00740802">
        <w:rPr>
          <w:rFonts w:ascii="Times" w:hAnsi="Times"/>
        </w:rPr>
        <w:t xml:space="preserve">“Where’s Waldo?”: Unraveling the puzzle of </w:t>
      </w:r>
      <w:r w:rsidRPr="00740802">
        <w:rPr>
          <w:rFonts w:ascii="Times" w:hAnsi="Times"/>
          <w:i/>
          <w:iCs/>
        </w:rPr>
        <w:t xml:space="preserve">Idotea </w:t>
      </w:r>
      <w:r w:rsidRPr="00B92BCC">
        <w:rPr>
          <w:rFonts w:ascii="Times" w:hAnsi="Times"/>
          <w:i/>
          <w:iCs/>
        </w:rPr>
        <w:t>wosnesenskii</w:t>
      </w:r>
      <w:r w:rsidRPr="00740802">
        <w:rPr>
          <w:rFonts w:ascii="Times" w:hAnsi="Times"/>
        </w:rPr>
        <w:t xml:space="preserve"> abundance across San Juan Island</w:t>
      </w:r>
    </w:p>
    <w:p w14:paraId="0CDB5B7C" w14:textId="77777777" w:rsidR="00740802" w:rsidRPr="00740802" w:rsidRDefault="00740802" w:rsidP="00740802">
      <w:pPr>
        <w:spacing w:line="480" w:lineRule="auto"/>
        <w:jc w:val="center"/>
        <w:rPr>
          <w:rFonts w:ascii="Times" w:hAnsi="Times"/>
          <w:b/>
          <w:bCs/>
        </w:rPr>
      </w:pPr>
    </w:p>
    <w:p w14:paraId="5651653C" w14:textId="77777777" w:rsidR="00740802" w:rsidRPr="00740802" w:rsidRDefault="00740802" w:rsidP="00740802">
      <w:pPr>
        <w:spacing w:line="480" w:lineRule="auto"/>
        <w:jc w:val="center"/>
        <w:rPr>
          <w:rFonts w:ascii="Times" w:hAnsi="Times"/>
          <w:bCs/>
        </w:rPr>
      </w:pPr>
      <w:r w:rsidRPr="00740802">
        <w:rPr>
          <w:rFonts w:ascii="Times" w:hAnsi="Times"/>
          <w:bCs/>
        </w:rPr>
        <w:t xml:space="preserve">Abigail Huber </w:t>
      </w:r>
      <w:r w:rsidRPr="00740802">
        <w:rPr>
          <w:rFonts w:ascii="Times" w:hAnsi="Times"/>
          <w:bCs/>
          <w:vertAlign w:val="superscript"/>
        </w:rPr>
        <w:t>1</w:t>
      </w:r>
    </w:p>
    <w:p w14:paraId="0BA589B0" w14:textId="77777777" w:rsidR="00740802" w:rsidRPr="00740802" w:rsidRDefault="00740802" w:rsidP="00740802">
      <w:pPr>
        <w:spacing w:line="480" w:lineRule="auto"/>
        <w:jc w:val="center"/>
        <w:rPr>
          <w:rFonts w:ascii="Times" w:hAnsi="Times"/>
          <w:bCs/>
        </w:rPr>
      </w:pPr>
    </w:p>
    <w:p w14:paraId="689FE513" w14:textId="77777777" w:rsidR="00740802" w:rsidRPr="00740802" w:rsidRDefault="00740802" w:rsidP="00740802">
      <w:pPr>
        <w:spacing w:line="480" w:lineRule="auto"/>
        <w:jc w:val="center"/>
        <w:rPr>
          <w:rFonts w:ascii="Times" w:hAnsi="Times"/>
          <w:bCs/>
        </w:rPr>
      </w:pPr>
      <w:r w:rsidRPr="00740802">
        <w:rPr>
          <w:rFonts w:ascii="Times" w:hAnsi="Times"/>
          <w:bCs/>
          <w:vertAlign w:val="superscript"/>
        </w:rPr>
        <w:t>1</w:t>
      </w:r>
      <w:r w:rsidRPr="00740802">
        <w:rPr>
          <w:rFonts w:ascii="Times" w:hAnsi="Times"/>
          <w:bCs/>
        </w:rPr>
        <w:t xml:space="preserve"> School of Aquatic and Fishery Sciences</w:t>
      </w:r>
    </w:p>
    <w:p w14:paraId="5923F653" w14:textId="77777777" w:rsidR="00740802" w:rsidRPr="00740802" w:rsidRDefault="00740802" w:rsidP="00740802">
      <w:pPr>
        <w:spacing w:line="480" w:lineRule="auto"/>
        <w:jc w:val="center"/>
        <w:rPr>
          <w:rFonts w:ascii="Times" w:hAnsi="Times"/>
          <w:bCs/>
        </w:rPr>
      </w:pPr>
      <w:r w:rsidRPr="00740802">
        <w:rPr>
          <w:rFonts w:ascii="Times" w:hAnsi="Times"/>
          <w:bCs/>
        </w:rPr>
        <w:t>Box 355020</w:t>
      </w:r>
    </w:p>
    <w:p w14:paraId="53ADA19F" w14:textId="77777777" w:rsidR="00740802" w:rsidRPr="00740802" w:rsidRDefault="00740802" w:rsidP="00740802">
      <w:pPr>
        <w:spacing w:line="480" w:lineRule="auto"/>
        <w:jc w:val="center"/>
        <w:rPr>
          <w:rFonts w:ascii="Times" w:hAnsi="Times"/>
          <w:bCs/>
        </w:rPr>
      </w:pPr>
      <w:r w:rsidRPr="00740802">
        <w:rPr>
          <w:rFonts w:ascii="Times" w:hAnsi="Times"/>
          <w:bCs/>
        </w:rPr>
        <w:t>University of Washington</w:t>
      </w:r>
    </w:p>
    <w:p w14:paraId="471E37F0" w14:textId="77777777" w:rsidR="00740802" w:rsidRPr="00740802" w:rsidRDefault="00740802" w:rsidP="00740802">
      <w:pPr>
        <w:spacing w:line="480" w:lineRule="auto"/>
        <w:jc w:val="center"/>
        <w:rPr>
          <w:rFonts w:ascii="Times" w:hAnsi="Times"/>
          <w:bCs/>
        </w:rPr>
      </w:pPr>
      <w:r w:rsidRPr="00740802">
        <w:rPr>
          <w:rFonts w:ascii="Times" w:hAnsi="Times"/>
          <w:bCs/>
        </w:rPr>
        <w:t>Seattle 98195, USA</w:t>
      </w:r>
    </w:p>
    <w:p w14:paraId="6D54D098" w14:textId="77777777" w:rsidR="00740802" w:rsidRPr="00740802" w:rsidRDefault="00740802" w:rsidP="00740802">
      <w:pPr>
        <w:spacing w:line="480" w:lineRule="auto"/>
        <w:jc w:val="center"/>
        <w:rPr>
          <w:rFonts w:ascii="Times" w:hAnsi="Times"/>
          <w:bCs/>
        </w:rPr>
      </w:pPr>
    </w:p>
    <w:p w14:paraId="69D35253" w14:textId="77777777" w:rsidR="00740802" w:rsidRPr="00740802" w:rsidRDefault="00740802" w:rsidP="00740802">
      <w:pPr>
        <w:spacing w:line="480" w:lineRule="auto"/>
        <w:jc w:val="center"/>
        <w:rPr>
          <w:rFonts w:ascii="Times" w:hAnsi="Times"/>
          <w:bCs/>
        </w:rPr>
      </w:pPr>
      <w:r w:rsidRPr="00740802">
        <w:rPr>
          <w:rFonts w:ascii="Times" w:hAnsi="Times"/>
        </w:rPr>
        <w:t>ahuber3@uw.edu</w:t>
      </w:r>
    </w:p>
    <w:p w14:paraId="6B0A24C6" w14:textId="77777777" w:rsidR="00740802" w:rsidRPr="00740802" w:rsidRDefault="00740802" w:rsidP="00740802">
      <w:pPr>
        <w:spacing w:line="480" w:lineRule="auto"/>
        <w:rPr>
          <w:rFonts w:ascii="Times" w:hAnsi="Times"/>
          <w:b/>
          <w:bCs/>
        </w:rPr>
      </w:pPr>
      <w:r w:rsidRPr="00740802">
        <w:rPr>
          <w:rFonts w:ascii="Times" w:hAnsi="Times"/>
          <w:b/>
          <w:bCs/>
        </w:rPr>
        <w:br w:type="page"/>
      </w:r>
    </w:p>
    <w:p w14:paraId="7F31ABF9" w14:textId="77777777" w:rsidR="00740802" w:rsidRPr="00B92BCC" w:rsidRDefault="00740802" w:rsidP="00740802">
      <w:pPr>
        <w:spacing w:line="480" w:lineRule="auto"/>
        <w:rPr>
          <w:rFonts w:ascii="Times" w:hAnsi="Times"/>
          <w:b/>
          <w:bCs/>
          <w:color w:val="0E101A"/>
        </w:rPr>
      </w:pPr>
      <w:r w:rsidRPr="00B92BCC">
        <w:rPr>
          <w:rFonts w:ascii="Times" w:hAnsi="Times"/>
          <w:b/>
          <w:bCs/>
          <w:color w:val="0E101A"/>
        </w:rPr>
        <w:lastRenderedPageBreak/>
        <w:t>ABSTRACT</w:t>
      </w:r>
    </w:p>
    <w:p w14:paraId="2F9F6CF7" w14:textId="523E86BD" w:rsidR="00740802" w:rsidRPr="00B92BCC" w:rsidRDefault="00740802" w:rsidP="00740802">
      <w:pPr>
        <w:spacing w:line="480" w:lineRule="auto"/>
        <w:rPr>
          <w:rFonts w:ascii="Times" w:hAnsi="Times"/>
        </w:rPr>
      </w:pPr>
      <w:r w:rsidRPr="00B92BCC">
        <w:rPr>
          <w:rFonts w:ascii="Times" w:hAnsi="Times"/>
          <w:i/>
          <w:iCs/>
          <w:color w:val="0E101A"/>
        </w:rPr>
        <w:t>Idotea wosnesenskii </w:t>
      </w:r>
      <w:r w:rsidRPr="00B92BCC">
        <w:rPr>
          <w:rFonts w:ascii="Times" w:hAnsi="Times"/>
        </w:rPr>
        <w:t>are intertidal isopods typically found on kelp, mussel beds, and intertidal rocks. With a relatively large geographical range, </w:t>
      </w:r>
      <w:r w:rsidRPr="00B92BCC">
        <w:rPr>
          <w:rFonts w:ascii="Times" w:hAnsi="Times"/>
          <w:i/>
          <w:iCs/>
          <w:color w:val="0E101A"/>
        </w:rPr>
        <w:t xml:space="preserve">I. wosnesenskii </w:t>
      </w:r>
      <w:r w:rsidRPr="00B92BCC">
        <w:rPr>
          <w:rFonts w:ascii="Times" w:hAnsi="Times"/>
        </w:rPr>
        <w:t>can be found from Alaska to northern Mexico while also appearing along the coastlines of Siberia. This study examined the influence of rock width, substrate preference, shore crab presence, and intertidal height on the abundance and distribution of </w:t>
      </w:r>
      <w:r w:rsidRPr="00B92BCC">
        <w:rPr>
          <w:rFonts w:ascii="Times" w:hAnsi="Times"/>
          <w:i/>
          <w:iCs/>
          <w:color w:val="0E101A"/>
        </w:rPr>
        <w:t xml:space="preserve">I. wosnesenskii </w:t>
      </w:r>
      <w:r w:rsidRPr="00B92BCC">
        <w:rPr>
          <w:rFonts w:ascii="Times" w:hAnsi="Times"/>
          <w:color w:val="0E101A"/>
        </w:rPr>
        <w:t>across San Juan Island</w:t>
      </w:r>
      <w:r w:rsidRPr="00B92BCC">
        <w:rPr>
          <w:rFonts w:ascii="Times" w:hAnsi="Times"/>
        </w:rPr>
        <w:t>. We found that aggregations of </w:t>
      </w:r>
      <w:r w:rsidRPr="00B92BCC">
        <w:rPr>
          <w:rFonts w:ascii="Times" w:hAnsi="Times"/>
          <w:i/>
          <w:iCs/>
          <w:color w:val="0E101A"/>
        </w:rPr>
        <w:t>I. wosnesenskii </w:t>
      </w:r>
      <w:r w:rsidRPr="00B92BCC">
        <w:rPr>
          <w:rFonts w:ascii="Times" w:hAnsi="Times"/>
        </w:rPr>
        <w:t>are likely to be found under rocks with width larger than 25.6 cm (</w:t>
      </w:r>
      <w:r w:rsidRPr="00B92BCC">
        <w:rPr>
          <w:rStyle w:val="Emphasis"/>
          <w:rFonts w:ascii="Times" w:hAnsi="Times"/>
          <w:color w:val="0E101A"/>
        </w:rPr>
        <w:t>R</w:t>
      </w:r>
      <w:r w:rsidRPr="00B92BCC">
        <w:rPr>
          <w:rStyle w:val="Emphasis"/>
          <w:rFonts w:ascii="Times" w:hAnsi="Times"/>
          <w:color w:val="0E101A"/>
          <w:vertAlign w:val="superscript"/>
        </w:rPr>
        <w:t>2</w:t>
      </w:r>
      <w:r w:rsidRPr="00B92BCC">
        <w:rPr>
          <w:rFonts w:ascii="Times" w:hAnsi="Times"/>
          <w:color w:val="0E101A"/>
        </w:rPr>
        <w:t> = 0.36, </w:t>
      </w:r>
      <w:r w:rsidRPr="00B92BCC">
        <w:rPr>
          <w:rStyle w:val="Emphasis"/>
          <w:rFonts w:ascii="Times" w:hAnsi="Times"/>
          <w:color w:val="0E101A"/>
        </w:rPr>
        <w:t>p</w:t>
      </w:r>
      <w:r w:rsidRPr="00B92BCC">
        <w:rPr>
          <w:rFonts w:ascii="Times" w:hAnsi="Times"/>
          <w:color w:val="0E101A"/>
        </w:rPr>
        <w:t> = 0.028)</w:t>
      </w:r>
      <w:r w:rsidRPr="00B92BCC">
        <w:rPr>
          <w:rFonts w:ascii="Times" w:hAnsi="Times"/>
        </w:rPr>
        <w:t>. In comparison, singular individuals of </w:t>
      </w:r>
      <w:r w:rsidRPr="00B92BCC">
        <w:rPr>
          <w:rFonts w:ascii="Times" w:hAnsi="Times"/>
          <w:i/>
          <w:iCs/>
          <w:color w:val="0E101A"/>
        </w:rPr>
        <w:t>I. wosnesenskii</w:t>
      </w:r>
      <w:r w:rsidRPr="00B92BCC">
        <w:rPr>
          <w:rFonts w:ascii="Times" w:hAnsi="Times"/>
        </w:rPr>
        <w:t xml:space="preserve"> are more likely to be found under rocks with width smaller than 25.6 cm. </w:t>
      </w:r>
      <w:r w:rsidRPr="00B92BCC">
        <w:rPr>
          <w:rFonts w:ascii="Times" w:hAnsi="Times"/>
          <w:i/>
          <w:iCs/>
        </w:rPr>
        <w:t>Idotea wosnesenskii</w:t>
      </w:r>
      <w:r w:rsidRPr="00B92BCC">
        <w:rPr>
          <w:rFonts w:ascii="Times" w:hAnsi="Times"/>
        </w:rPr>
        <w:t xml:space="preserve"> also had a substrate preference of seaweed, cobble, and bedrock </w:t>
      </w:r>
      <w:r w:rsidRPr="00B92BCC">
        <w:rPr>
          <w:rFonts w:ascii="Times" w:hAnsi="Times"/>
          <w:color w:val="0E101A"/>
        </w:rPr>
        <w:t>(</w:t>
      </w:r>
      <w:r w:rsidRPr="00B92BCC">
        <w:rPr>
          <w:rStyle w:val="Emphasis"/>
          <w:rFonts w:ascii="Times" w:hAnsi="Times"/>
          <w:color w:val="0E101A"/>
        </w:rPr>
        <w:t>F</w:t>
      </w:r>
      <w:r w:rsidRPr="00B92BCC">
        <w:rPr>
          <w:rFonts w:ascii="Times" w:hAnsi="Times"/>
          <w:color w:val="0E101A"/>
        </w:rPr>
        <w:t> = 10.9, </w:t>
      </w:r>
      <w:r w:rsidRPr="00B92BCC">
        <w:rPr>
          <w:rStyle w:val="Emphasis"/>
          <w:rFonts w:ascii="Times" w:hAnsi="Times"/>
          <w:color w:val="0E101A"/>
        </w:rPr>
        <w:t>p </w:t>
      </w:r>
      <w:r w:rsidRPr="00B92BCC">
        <w:rPr>
          <w:rFonts w:ascii="Times" w:hAnsi="Times"/>
          <w:color w:val="0E101A"/>
        </w:rPr>
        <w:t xml:space="preserve">= 0.01). </w:t>
      </w:r>
      <w:r w:rsidRPr="00B92BCC">
        <w:rPr>
          <w:rFonts w:ascii="Times" w:hAnsi="Times"/>
        </w:rPr>
        <w:t>Shore crab presence and intertidal height had no significant effect on the abundance of </w:t>
      </w:r>
      <w:r w:rsidRPr="00B92BCC">
        <w:rPr>
          <w:rFonts w:ascii="Times" w:hAnsi="Times"/>
          <w:i/>
          <w:iCs/>
          <w:color w:val="0E101A"/>
        </w:rPr>
        <w:t>I. wosnesenskii</w:t>
      </w:r>
      <w:r w:rsidRPr="00B92BCC">
        <w:rPr>
          <w:rFonts w:ascii="Times" w:hAnsi="Times"/>
          <w:color w:val="0E101A"/>
        </w:rPr>
        <w:t xml:space="preserve"> (p &gt; 0.05)</w:t>
      </w:r>
      <w:r w:rsidRPr="00B92BCC">
        <w:rPr>
          <w:rFonts w:ascii="Times" w:hAnsi="Times"/>
        </w:rPr>
        <w:t xml:space="preserve">. These findings may support observations from past studies that </w:t>
      </w:r>
      <w:r w:rsidRPr="00B92BCC">
        <w:rPr>
          <w:rFonts w:ascii="Times" w:hAnsi="Times"/>
          <w:i/>
          <w:iCs/>
        </w:rPr>
        <w:t xml:space="preserve">Idotea </w:t>
      </w:r>
      <w:r w:rsidRPr="00B92BCC">
        <w:rPr>
          <w:rFonts w:ascii="Times" w:hAnsi="Times"/>
        </w:rPr>
        <w:t xml:space="preserve">are primarily mesograzers who can also be omnivorous depending on food availability. However, further research is required to determine the full impact of shore crab presence, and intertidal height on the distribution of </w:t>
      </w:r>
      <w:r w:rsidRPr="00B92BCC">
        <w:rPr>
          <w:rFonts w:ascii="Times" w:hAnsi="Times"/>
          <w:i/>
          <w:iCs/>
        </w:rPr>
        <w:t>I. wosnesenskii</w:t>
      </w:r>
      <w:r w:rsidRPr="00B92BCC">
        <w:rPr>
          <w:rFonts w:ascii="Times" w:hAnsi="Times"/>
        </w:rPr>
        <w:t xml:space="preserve">. </w:t>
      </w:r>
    </w:p>
    <w:p w14:paraId="09A5F960" w14:textId="77777777" w:rsidR="00740802" w:rsidRPr="00B92BCC" w:rsidRDefault="00740802" w:rsidP="00740802">
      <w:pPr>
        <w:spacing w:line="480" w:lineRule="auto"/>
        <w:rPr>
          <w:rFonts w:ascii="Times" w:hAnsi="Times"/>
          <w:b/>
          <w:bCs/>
          <w:color w:val="0E101A"/>
        </w:rPr>
      </w:pPr>
      <w:r w:rsidRPr="00B92BCC">
        <w:rPr>
          <w:rFonts w:ascii="Times" w:hAnsi="Times"/>
          <w:b/>
          <w:bCs/>
          <w:color w:val="0E101A"/>
        </w:rPr>
        <w:br w:type="page"/>
      </w:r>
    </w:p>
    <w:p w14:paraId="3F5C947E" w14:textId="77777777" w:rsidR="00740802" w:rsidRPr="00B92BCC" w:rsidRDefault="00740802" w:rsidP="00740802">
      <w:pPr>
        <w:spacing w:line="480" w:lineRule="auto"/>
        <w:rPr>
          <w:rFonts w:ascii="Times" w:hAnsi="Times"/>
        </w:rPr>
      </w:pPr>
      <w:r w:rsidRPr="00B92BCC">
        <w:rPr>
          <w:rFonts w:ascii="Times" w:hAnsi="Times"/>
          <w:b/>
          <w:bCs/>
          <w:color w:val="0E101A"/>
        </w:rPr>
        <w:lastRenderedPageBreak/>
        <w:t>INTRODUCTION</w:t>
      </w:r>
      <w:r w:rsidRPr="00B92BCC">
        <w:rPr>
          <w:rFonts w:ascii="Times" w:hAnsi="Times"/>
          <w:color w:val="0E101A"/>
        </w:rPr>
        <w:t> </w:t>
      </w:r>
    </w:p>
    <w:p w14:paraId="5DB97D97" w14:textId="77777777" w:rsidR="00740802" w:rsidRPr="00740802" w:rsidRDefault="00740802" w:rsidP="00740802">
      <w:pPr>
        <w:spacing w:line="480" w:lineRule="auto"/>
        <w:ind w:firstLine="720"/>
        <w:rPr>
          <w:rFonts w:ascii="Times" w:hAnsi="Times"/>
          <w:color w:val="0E101A"/>
        </w:rPr>
      </w:pPr>
      <w:r w:rsidRPr="00740802">
        <w:rPr>
          <w:rFonts w:ascii="Times" w:hAnsi="Times"/>
          <w:color w:val="0E101A"/>
        </w:rPr>
        <w:t xml:space="preserve">In 1798, </w:t>
      </w:r>
      <w:proofErr w:type="spellStart"/>
      <w:r w:rsidRPr="00740802">
        <w:rPr>
          <w:rFonts w:ascii="Times" w:hAnsi="Times"/>
          <w:color w:val="0E101A"/>
        </w:rPr>
        <w:t>Fabricus</w:t>
      </w:r>
      <w:proofErr w:type="spellEnd"/>
      <w:r w:rsidRPr="00740802">
        <w:rPr>
          <w:rFonts w:ascii="Times" w:hAnsi="Times"/>
          <w:color w:val="0E101A"/>
        </w:rPr>
        <w:t xml:space="preserve"> described a new genus within the order Isopoda: </w:t>
      </w:r>
      <w:r w:rsidRPr="00740802">
        <w:rPr>
          <w:rFonts w:ascii="Times" w:hAnsi="Times"/>
          <w:i/>
          <w:iCs/>
          <w:color w:val="0E101A"/>
        </w:rPr>
        <w:t>Idotea</w:t>
      </w:r>
      <w:r w:rsidRPr="00740802">
        <w:rPr>
          <w:rFonts w:ascii="Times" w:hAnsi="Times"/>
          <w:color w:val="0E101A"/>
        </w:rPr>
        <w:t>. </w:t>
      </w:r>
      <w:r w:rsidRPr="00740802">
        <w:rPr>
          <w:rFonts w:ascii="Times" w:hAnsi="Times"/>
          <w:i/>
          <w:iCs/>
          <w:color w:val="0E101A"/>
        </w:rPr>
        <w:t>Idotea</w:t>
      </w:r>
      <w:r w:rsidRPr="00740802">
        <w:rPr>
          <w:rFonts w:ascii="Times" w:hAnsi="Times"/>
          <w:color w:val="0E101A"/>
        </w:rPr>
        <w:t> are small littoral and sublittoral marine crustaceans with flattened, segmented bodies (</w:t>
      </w:r>
      <w:proofErr w:type="spellStart"/>
      <w:r w:rsidRPr="00740802">
        <w:rPr>
          <w:rFonts w:ascii="Times" w:hAnsi="Times"/>
          <w:color w:val="0E101A"/>
        </w:rPr>
        <w:t>Salemaa</w:t>
      </w:r>
      <w:proofErr w:type="spellEnd"/>
      <w:r w:rsidRPr="00740802">
        <w:rPr>
          <w:rFonts w:ascii="Times" w:hAnsi="Times"/>
          <w:color w:val="0E101A"/>
        </w:rPr>
        <w:t>, 1979). Mainly found across the northern hemisphere and in temperate waters, </w:t>
      </w:r>
      <w:r w:rsidRPr="00740802">
        <w:rPr>
          <w:rFonts w:ascii="Times" w:hAnsi="Times"/>
          <w:i/>
          <w:iCs/>
          <w:color w:val="0E101A"/>
        </w:rPr>
        <w:t>Idotea</w:t>
      </w:r>
      <w:r w:rsidRPr="00740802">
        <w:rPr>
          <w:rFonts w:ascii="Times" w:hAnsi="Times"/>
          <w:color w:val="0E101A"/>
        </w:rPr>
        <w:t> are ecologically important herbivores that graze on algae and seagrass (</w:t>
      </w:r>
      <w:proofErr w:type="spellStart"/>
      <w:r w:rsidRPr="00740802">
        <w:rPr>
          <w:rFonts w:ascii="Times" w:hAnsi="Times"/>
          <w:color w:val="0E101A"/>
        </w:rPr>
        <w:t>Jaschinski</w:t>
      </w:r>
      <w:proofErr w:type="spellEnd"/>
      <w:r w:rsidRPr="00740802">
        <w:rPr>
          <w:rFonts w:ascii="Times" w:hAnsi="Times"/>
          <w:color w:val="0E101A"/>
        </w:rPr>
        <w:t xml:space="preserve"> &amp; Sommer, 2008; Roth et al., 2010; </w:t>
      </w:r>
      <w:proofErr w:type="spellStart"/>
      <w:r w:rsidRPr="00740802">
        <w:rPr>
          <w:rFonts w:ascii="Times" w:hAnsi="Times"/>
          <w:color w:val="0E101A"/>
        </w:rPr>
        <w:t>Starko</w:t>
      </w:r>
      <w:proofErr w:type="spellEnd"/>
      <w:r w:rsidRPr="00740802">
        <w:rPr>
          <w:rFonts w:ascii="Times" w:hAnsi="Times"/>
          <w:color w:val="0E101A"/>
        </w:rPr>
        <w:t xml:space="preserve"> et al., 2016). Within the genus </w:t>
      </w:r>
      <w:r w:rsidRPr="00740802">
        <w:rPr>
          <w:rFonts w:ascii="Times" w:hAnsi="Times"/>
          <w:i/>
          <w:iCs/>
          <w:color w:val="0E101A"/>
        </w:rPr>
        <w:t>Idotea</w:t>
      </w:r>
      <w:r w:rsidRPr="00740802">
        <w:rPr>
          <w:rFonts w:ascii="Times" w:hAnsi="Times"/>
          <w:color w:val="0E101A"/>
        </w:rPr>
        <w:t>, species are polymorphic - with pigmentation ranging between black, yellow, tan, and pink (</w:t>
      </w:r>
      <w:proofErr w:type="spellStart"/>
      <w:r w:rsidRPr="00740802">
        <w:rPr>
          <w:rFonts w:ascii="Times" w:hAnsi="Times"/>
          <w:color w:val="0E101A"/>
        </w:rPr>
        <w:t>Merilaita</w:t>
      </w:r>
      <w:proofErr w:type="spellEnd"/>
      <w:r w:rsidRPr="00740802">
        <w:rPr>
          <w:rFonts w:ascii="Times" w:hAnsi="Times"/>
          <w:color w:val="0E101A"/>
        </w:rPr>
        <w:t>, 2001). Over the years, polymorphism has been shown to play a crucial role in assisting with mate selection and reducing the likelihood of predation (</w:t>
      </w:r>
      <w:proofErr w:type="spellStart"/>
      <w:r w:rsidRPr="00740802">
        <w:rPr>
          <w:rFonts w:ascii="Times" w:hAnsi="Times"/>
          <w:color w:val="0E101A"/>
        </w:rPr>
        <w:t>Merilaita</w:t>
      </w:r>
      <w:proofErr w:type="spellEnd"/>
      <w:r w:rsidRPr="00740802">
        <w:rPr>
          <w:rFonts w:ascii="Times" w:hAnsi="Times"/>
          <w:color w:val="0E101A"/>
        </w:rPr>
        <w:t>, 2001). Much research has focused on examining these color-inducing mechanisms and how they influence </w:t>
      </w:r>
      <w:r w:rsidRPr="00740802">
        <w:rPr>
          <w:rFonts w:ascii="Times" w:hAnsi="Times"/>
          <w:i/>
          <w:iCs/>
          <w:color w:val="0E101A"/>
        </w:rPr>
        <w:t>Idotea </w:t>
      </w:r>
      <w:r w:rsidRPr="00740802">
        <w:rPr>
          <w:rFonts w:ascii="Times" w:hAnsi="Times"/>
          <w:color w:val="0E101A"/>
        </w:rPr>
        <w:t xml:space="preserve">ecology, distribution, and sexual selection (Lee &amp; Gilchrist, 1972; </w:t>
      </w:r>
      <w:proofErr w:type="spellStart"/>
      <w:r w:rsidRPr="00740802">
        <w:rPr>
          <w:rFonts w:ascii="Times" w:hAnsi="Times"/>
          <w:color w:val="0E101A"/>
        </w:rPr>
        <w:t>Jormalainen</w:t>
      </w:r>
      <w:proofErr w:type="spellEnd"/>
      <w:r w:rsidRPr="00740802">
        <w:rPr>
          <w:rFonts w:ascii="Times" w:hAnsi="Times"/>
          <w:color w:val="0E101A"/>
        </w:rPr>
        <w:t xml:space="preserve">, 1995; </w:t>
      </w:r>
      <w:proofErr w:type="spellStart"/>
      <w:r w:rsidRPr="00740802">
        <w:rPr>
          <w:rFonts w:ascii="Times" w:hAnsi="Times"/>
          <w:color w:val="0E101A"/>
        </w:rPr>
        <w:t>Merilaita</w:t>
      </w:r>
      <w:proofErr w:type="spellEnd"/>
      <w:r w:rsidRPr="00740802">
        <w:rPr>
          <w:rFonts w:ascii="Times" w:hAnsi="Times"/>
          <w:color w:val="0E101A"/>
        </w:rPr>
        <w:t>, 2001). </w:t>
      </w:r>
    </w:p>
    <w:p w14:paraId="05667D19" w14:textId="21EC57B9" w:rsidR="00740802" w:rsidRPr="00740802" w:rsidRDefault="00740802" w:rsidP="00740802">
      <w:pPr>
        <w:spacing w:line="480" w:lineRule="auto"/>
        <w:rPr>
          <w:rFonts w:ascii="Times" w:hAnsi="Times"/>
          <w:color w:val="0E101A"/>
        </w:rPr>
      </w:pPr>
      <w:r w:rsidRPr="00B92BCC">
        <w:rPr>
          <w:rFonts w:ascii="Times" w:hAnsi="Times"/>
          <w:color w:val="0E101A"/>
        </w:rPr>
        <w:tab/>
      </w:r>
      <w:r w:rsidRPr="00740802">
        <w:rPr>
          <w:rFonts w:ascii="Times" w:hAnsi="Times"/>
          <w:color w:val="0E101A"/>
        </w:rPr>
        <w:t>In comparison to their polymorphic traits however, the distribution of individual species within the genus Idotea remains vastly understudied and primarily focused on species concentrated along the European coast (</w:t>
      </w:r>
      <w:proofErr w:type="spellStart"/>
      <w:r w:rsidRPr="00740802">
        <w:rPr>
          <w:rFonts w:ascii="Times" w:hAnsi="Times"/>
          <w:color w:val="0E101A"/>
        </w:rPr>
        <w:t>Gutow</w:t>
      </w:r>
      <w:proofErr w:type="spellEnd"/>
      <w:r w:rsidRPr="00740802">
        <w:rPr>
          <w:rFonts w:ascii="Times" w:hAnsi="Times"/>
          <w:color w:val="0E101A"/>
        </w:rPr>
        <w:t xml:space="preserve">, 2003; </w:t>
      </w:r>
      <w:proofErr w:type="spellStart"/>
      <w:r w:rsidRPr="00740802">
        <w:rPr>
          <w:rFonts w:ascii="Times" w:hAnsi="Times"/>
          <w:color w:val="0E101A"/>
        </w:rPr>
        <w:t>Panova</w:t>
      </w:r>
      <w:proofErr w:type="spellEnd"/>
      <w:r w:rsidRPr="00740802">
        <w:rPr>
          <w:rFonts w:ascii="Times" w:hAnsi="Times"/>
          <w:color w:val="0E101A"/>
        </w:rPr>
        <w:t xml:space="preserve"> et al., 2016). Furthermore, the distribution of </w:t>
      </w:r>
      <w:r w:rsidRPr="00740802">
        <w:rPr>
          <w:rFonts w:ascii="Times" w:hAnsi="Times"/>
          <w:i/>
          <w:iCs/>
          <w:color w:val="0E101A"/>
        </w:rPr>
        <w:t>Idotea</w:t>
      </w:r>
      <w:r w:rsidRPr="00740802">
        <w:rPr>
          <w:rFonts w:ascii="Times" w:hAnsi="Times"/>
          <w:color w:val="0E101A"/>
        </w:rPr>
        <w:t> native to the Pacific is almost nonexistent, with studies mainly focusing on genetic analyses or the influence of water currents on </w:t>
      </w:r>
      <w:proofErr w:type="spellStart"/>
      <w:r w:rsidRPr="00740802">
        <w:rPr>
          <w:rFonts w:ascii="Times" w:hAnsi="Times"/>
          <w:i/>
          <w:iCs/>
          <w:color w:val="0E101A"/>
        </w:rPr>
        <w:t>Idotea</w:t>
      </w:r>
      <w:proofErr w:type="spellEnd"/>
      <w:r w:rsidRPr="00740802">
        <w:rPr>
          <w:rFonts w:ascii="Times" w:hAnsi="Times"/>
          <w:color w:val="0E101A"/>
        </w:rPr>
        <w:t> behavior (</w:t>
      </w:r>
      <w:proofErr w:type="spellStart"/>
      <w:r w:rsidRPr="00740802">
        <w:rPr>
          <w:rFonts w:ascii="Times" w:hAnsi="Times"/>
          <w:color w:val="0E101A"/>
        </w:rPr>
        <w:t>Gurjanova</w:t>
      </w:r>
      <w:proofErr w:type="spellEnd"/>
      <w:r w:rsidRPr="00740802">
        <w:rPr>
          <w:rFonts w:ascii="Times" w:hAnsi="Times"/>
          <w:color w:val="0E101A"/>
        </w:rPr>
        <w:t xml:space="preserve">, 1968; Rafi &amp; </w:t>
      </w:r>
      <w:proofErr w:type="spellStart"/>
      <w:r w:rsidRPr="00740802">
        <w:rPr>
          <w:rFonts w:ascii="Times" w:hAnsi="Times"/>
          <w:color w:val="0E101A"/>
        </w:rPr>
        <w:t>Laubitz</w:t>
      </w:r>
      <w:proofErr w:type="spellEnd"/>
      <w:r w:rsidRPr="00740802">
        <w:rPr>
          <w:rFonts w:ascii="Times" w:hAnsi="Times"/>
          <w:color w:val="0E101A"/>
        </w:rPr>
        <w:t>, 1990). </w:t>
      </w:r>
    </w:p>
    <w:p w14:paraId="0E46F1EA" w14:textId="77777777" w:rsidR="00740802" w:rsidRPr="00740802" w:rsidRDefault="00740802" w:rsidP="00740802">
      <w:pPr>
        <w:spacing w:line="480" w:lineRule="auto"/>
        <w:ind w:firstLine="720"/>
        <w:rPr>
          <w:rFonts w:ascii="Times" w:hAnsi="Times"/>
          <w:color w:val="0E101A"/>
        </w:rPr>
      </w:pPr>
      <w:r w:rsidRPr="00B92BCC">
        <w:rPr>
          <w:rFonts w:ascii="Times" w:hAnsi="Times"/>
          <w:color w:val="0E101A"/>
        </w:rPr>
        <w:t>Within the Pacific Northwest, </w:t>
      </w:r>
      <w:r w:rsidRPr="00B92BCC">
        <w:rPr>
          <w:rStyle w:val="Emphasis"/>
          <w:rFonts w:ascii="Times" w:hAnsi="Times"/>
          <w:color w:val="0E101A"/>
        </w:rPr>
        <w:t>Idotea</w:t>
      </w:r>
      <w:r w:rsidRPr="00B92BCC">
        <w:rPr>
          <w:rFonts w:ascii="Times" w:hAnsi="Times"/>
          <w:color w:val="0E101A"/>
        </w:rPr>
        <w:t xml:space="preserve"> are known to range between Prince William Sound, Alaska, to Juan de Fuca Strait, Washington (Rafi &amp; </w:t>
      </w:r>
      <w:proofErr w:type="spellStart"/>
      <w:r w:rsidRPr="00B92BCC">
        <w:rPr>
          <w:rFonts w:ascii="Times" w:hAnsi="Times"/>
          <w:color w:val="0E101A"/>
        </w:rPr>
        <w:t>Laubitz</w:t>
      </w:r>
      <w:proofErr w:type="spellEnd"/>
      <w:r w:rsidRPr="00B92BCC">
        <w:rPr>
          <w:rFonts w:ascii="Times" w:hAnsi="Times"/>
          <w:color w:val="0E101A"/>
        </w:rPr>
        <w:t>, 1990). Two of the most extensively studied species indigenous to the Pacific Northwest are </w:t>
      </w:r>
      <w:r w:rsidRPr="00B92BCC">
        <w:rPr>
          <w:rStyle w:val="Emphasis"/>
          <w:rFonts w:ascii="Times" w:hAnsi="Times"/>
          <w:color w:val="0E101A"/>
        </w:rPr>
        <w:t xml:space="preserve">I. </w:t>
      </w:r>
      <w:proofErr w:type="spellStart"/>
      <w:r w:rsidRPr="00B92BCC">
        <w:rPr>
          <w:rStyle w:val="Emphasis"/>
          <w:rFonts w:ascii="Times" w:hAnsi="Times"/>
          <w:color w:val="0E101A"/>
        </w:rPr>
        <w:t>resecata</w:t>
      </w:r>
      <w:proofErr w:type="spellEnd"/>
      <w:r w:rsidRPr="00B92BCC">
        <w:rPr>
          <w:rStyle w:val="Emphasis"/>
          <w:rFonts w:ascii="Times" w:hAnsi="Times"/>
          <w:color w:val="0E101A"/>
        </w:rPr>
        <w:t> </w:t>
      </w:r>
      <w:r w:rsidRPr="00B92BCC">
        <w:rPr>
          <w:rFonts w:ascii="Times" w:hAnsi="Times"/>
          <w:color w:val="0E101A"/>
        </w:rPr>
        <w:t>and </w:t>
      </w:r>
      <w:r w:rsidRPr="00B92BCC">
        <w:rPr>
          <w:rStyle w:val="Emphasis"/>
          <w:rFonts w:ascii="Times" w:hAnsi="Times"/>
          <w:color w:val="0E101A"/>
        </w:rPr>
        <w:t>I. wosnesenskii</w:t>
      </w:r>
      <w:r w:rsidRPr="00B92BCC">
        <w:rPr>
          <w:rFonts w:ascii="Times" w:hAnsi="Times"/>
          <w:color w:val="0E101A"/>
        </w:rPr>
        <w:t xml:space="preserve">, with many reports examining temporal patterns, attachment strength, and swimming capabilities (Alexander, 1988; Thom et al., 1995; </w:t>
      </w:r>
      <w:proofErr w:type="spellStart"/>
      <w:r w:rsidRPr="00B92BCC">
        <w:rPr>
          <w:rFonts w:ascii="Times" w:hAnsi="Times"/>
          <w:color w:val="0E101A"/>
        </w:rPr>
        <w:t>Starko</w:t>
      </w:r>
      <w:proofErr w:type="spellEnd"/>
      <w:r w:rsidRPr="00B92BCC">
        <w:rPr>
          <w:rFonts w:ascii="Times" w:hAnsi="Times"/>
          <w:color w:val="0E101A"/>
        </w:rPr>
        <w:t xml:space="preserve"> et al., 2016). However, no study currently has analyzed small scale distribution or abundance for either species. </w:t>
      </w:r>
    </w:p>
    <w:p w14:paraId="7800CA67" w14:textId="77777777" w:rsidR="00740802" w:rsidRPr="00B92BCC" w:rsidRDefault="00740802" w:rsidP="00740802">
      <w:pPr>
        <w:pStyle w:val="NormalWeb"/>
        <w:spacing w:before="0" w:beforeAutospacing="0" w:after="0" w:afterAutospacing="0" w:line="480" w:lineRule="auto"/>
        <w:ind w:firstLine="720"/>
        <w:rPr>
          <w:rFonts w:ascii="Times" w:hAnsi="Times"/>
          <w:color w:val="0E101A"/>
        </w:rPr>
      </w:pPr>
      <w:r w:rsidRPr="00B92BCC">
        <w:rPr>
          <w:rFonts w:ascii="Times" w:hAnsi="Times"/>
          <w:color w:val="0E101A"/>
        </w:rPr>
        <w:lastRenderedPageBreak/>
        <w:t>This study aims to survey the distribution and abundance of </w:t>
      </w:r>
      <w:r w:rsidRPr="00B92BCC">
        <w:rPr>
          <w:rStyle w:val="Emphasis"/>
          <w:rFonts w:ascii="Times" w:hAnsi="Times"/>
          <w:color w:val="0E101A"/>
        </w:rPr>
        <w:t>I. wosnesenskii </w:t>
      </w:r>
      <w:r w:rsidRPr="00B92BCC">
        <w:rPr>
          <w:rFonts w:ascii="Times" w:hAnsi="Times"/>
          <w:color w:val="0E101A"/>
        </w:rPr>
        <w:t>across several sites on San Juan Island, Washington, USA. We hypothesized that </w:t>
      </w:r>
      <w:r w:rsidRPr="00B92BCC">
        <w:rPr>
          <w:rStyle w:val="Emphasis"/>
          <w:rFonts w:ascii="Times" w:hAnsi="Times"/>
          <w:color w:val="0E101A"/>
        </w:rPr>
        <w:t>I. wosnesenskii </w:t>
      </w:r>
      <w:r w:rsidRPr="00B92BCC">
        <w:rPr>
          <w:rFonts w:ascii="Times" w:hAnsi="Times"/>
          <w:color w:val="0E101A"/>
        </w:rPr>
        <w:t xml:space="preserve">abundance would be higher under rocks of width over 25.6 cm, and that </w:t>
      </w:r>
      <w:r w:rsidRPr="00B92BCC">
        <w:rPr>
          <w:rFonts w:ascii="Times" w:hAnsi="Times"/>
          <w:i/>
          <w:iCs/>
          <w:color w:val="0E101A"/>
        </w:rPr>
        <w:t>I.  wosnesenskii</w:t>
      </w:r>
      <w:r w:rsidRPr="00B92BCC">
        <w:rPr>
          <w:rFonts w:ascii="Times" w:hAnsi="Times"/>
          <w:color w:val="0E101A"/>
        </w:rPr>
        <w:t xml:space="preserve"> would prefer boulders to other substrates such as seaweed, rocks, and sand. We also hypothesized that </w:t>
      </w:r>
      <w:r w:rsidRPr="00B92BCC">
        <w:rPr>
          <w:rStyle w:val="Emphasis"/>
          <w:rFonts w:ascii="Times" w:hAnsi="Times"/>
          <w:color w:val="0E101A"/>
        </w:rPr>
        <w:t>I. wosnesenskii</w:t>
      </w:r>
      <w:r w:rsidRPr="00B92BCC">
        <w:rPr>
          <w:rFonts w:ascii="Times" w:hAnsi="Times"/>
          <w:color w:val="0E101A"/>
        </w:rPr>
        <w:t xml:space="preserve"> abundance would be inversely proportional to crab abundance, as well as proportional to intertidal height. We then analyze the findings using a general linearized model, one-way ANOVA, and Tukey tests, and relate our findings and implications to past studies. </w:t>
      </w:r>
    </w:p>
    <w:p w14:paraId="322941B3" w14:textId="77777777" w:rsidR="00740802" w:rsidRPr="00B92BCC" w:rsidRDefault="00740802" w:rsidP="00740802">
      <w:pPr>
        <w:pStyle w:val="NormalWeb"/>
        <w:spacing w:before="0" w:beforeAutospacing="0" w:after="0" w:afterAutospacing="0" w:line="480" w:lineRule="auto"/>
        <w:rPr>
          <w:rFonts w:ascii="Times" w:hAnsi="Times"/>
          <w:color w:val="0E101A"/>
        </w:rPr>
      </w:pPr>
      <w:r w:rsidRPr="00B92BCC">
        <w:rPr>
          <w:rFonts w:ascii="Times" w:hAnsi="Times"/>
          <w:b/>
          <w:bCs/>
          <w:color w:val="000000"/>
        </w:rPr>
        <w:t>METHODS</w:t>
      </w:r>
    </w:p>
    <w:p w14:paraId="73CA2B5E" w14:textId="77777777" w:rsidR="00740802" w:rsidRPr="00B92BCC" w:rsidRDefault="00740802" w:rsidP="00740802">
      <w:pPr>
        <w:spacing w:line="480" w:lineRule="auto"/>
        <w:rPr>
          <w:rFonts w:ascii="Times" w:hAnsi="Times"/>
          <w:color w:val="000000"/>
        </w:rPr>
      </w:pPr>
      <w:r w:rsidRPr="00B92BCC">
        <w:rPr>
          <w:rFonts w:ascii="Times" w:hAnsi="Times"/>
          <w:i/>
          <w:iCs/>
          <w:color w:val="000000"/>
        </w:rPr>
        <w:t>Study Location</w:t>
      </w:r>
    </w:p>
    <w:p w14:paraId="2DEEAFF5" w14:textId="2B77DD48" w:rsidR="00740802" w:rsidRPr="00B92BCC" w:rsidRDefault="00740802" w:rsidP="00740802">
      <w:pPr>
        <w:spacing w:line="480" w:lineRule="auto"/>
        <w:rPr>
          <w:rFonts w:ascii="Times" w:hAnsi="Times"/>
          <w:color w:val="000000"/>
        </w:rPr>
      </w:pPr>
      <w:r w:rsidRPr="00B92BCC">
        <w:rPr>
          <w:rFonts w:ascii="Times" w:hAnsi="Times"/>
          <w:color w:val="000000"/>
        </w:rPr>
        <w:tab/>
        <w:t>Four sites were surveyed across San Juan Island, Washington: Eagle Cove, Third Lagoon, Cattle Point, and Beaverton Cove. All surveys were conducted during the lowest tide of the day (Table 1).</w:t>
      </w:r>
    </w:p>
    <w:p w14:paraId="38E118C1" w14:textId="77777777" w:rsidR="00740802" w:rsidRPr="00B92BCC" w:rsidRDefault="00740802" w:rsidP="00740802">
      <w:pPr>
        <w:spacing w:line="480" w:lineRule="auto"/>
        <w:rPr>
          <w:rFonts w:ascii="Times" w:hAnsi="Times"/>
          <w:color w:val="000000"/>
        </w:rPr>
      </w:pPr>
      <w:r w:rsidRPr="00B92BCC">
        <w:rPr>
          <w:rFonts w:ascii="Times" w:hAnsi="Times"/>
          <w:i/>
          <w:iCs/>
          <w:color w:val="000000"/>
        </w:rPr>
        <w:t>Data Collection</w:t>
      </w:r>
    </w:p>
    <w:p w14:paraId="2E7F7A48" w14:textId="77777777" w:rsidR="00740802" w:rsidRPr="00740802" w:rsidRDefault="00740802" w:rsidP="00740802">
      <w:pPr>
        <w:spacing w:line="480" w:lineRule="auto"/>
        <w:ind w:firstLine="720"/>
        <w:rPr>
          <w:rFonts w:ascii="Times" w:hAnsi="Times"/>
          <w:color w:val="0E101A"/>
        </w:rPr>
      </w:pPr>
      <w:r w:rsidRPr="00740802">
        <w:rPr>
          <w:rFonts w:ascii="Times" w:hAnsi="Times"/>
          <w:color w:val="0E101A"/>
        </w:rPr>
        <w:t xml:space="preserve">Three transects were laid parallel to the waterline and spaced five meters apart at each site. Transects were categorized as a low, medium, or high depending on the distance away from the waterline (Fig. 1). Ten 0.5 m2 quadrats were randomly placed along each transect on both sides of the transect tape. Substrates and sediment grain size were recorded for each quadrat and organized into the following: </w:t>
      </w:r>
      <w:r w:rsidRPr="00B92BCC">
        <w:rPr>
          <w:rFonts w:ascii="Times" w:hAnsi="Times"/>
          <w:color w:val="0E101A"/>
        </w:rPr>
        <w:t xml:space="preserve">seaweed, </w:t>
      </w:r>
      <w:r w:rsidRPr="00740802">
        <w:rPr>
          <w:rFonts w:ascii="Times" w:hAnsi="Times"/>
          <w:color w:val="0E101A"/>
        </w:rPr>
        <w:t xml:space="preserve">pebbles (0.2-6.5cm), cobbles (6.5-25.6cm), boulders (25.6-409.6cm), </w:t>
      </w:r>
      <w:r w:rsidRPr="00B92BCC">
        <w:rPr>
          <w:rFonts w:ascii="Times" w:hAnsi="Times"/>
          <w:color w:val="0E101A"/>
        </w:rPr>
        <w:t xml:space="preserve">and </w:t>
      </w:r>
      <w:r w:rsidRPr="00740802">
        <w:rPr>
          <w:rFonts w:ascii="Times" w:hAnsi="Times"/>
          <w:color w:val="0E101A"/>
        </w:rPr>
        <w:t>bedrock (&gt;409.6cm). The sediment grain size was determined using the Wentworth scale, published by Chester K. Wentworth in 1992 and measured using a caliper, tape, or meter stick. Rock width was calculated by measuring the width of the rock.</w:t>
      </w:r>
    </w:p>
    <w:p w14:paraId="6B82F1A6" w14:textId="77777777" w:rsidR="00740802" w:rsidRPr="00740802" w:rsidRDefault="00740802" w:rsidP="00740802">
      <w:pPr>
        <w:spacing w:line="480" w:lineRule="auto"/>
        <w:ind w:firstLine="720"/>
        <w:rPr>
          <w:rFonts w:ascii="Times" w:hAnsi="Times"/>
          <w:color w:val="0E101A"/>
        </w:rPr>
      </w:pPr>
      <w:r w:rsidRPr="00740802">
        <w:rPr>
          <w:rFonts w:ascii="Times" w:hAnsi="Times"/>
          <w:color w:val="0E101A"/>
        </w:rPr>
        <w:lastRenderedPageBreak/>
        <w:t>Total counts of </w:t>
      </w:r>
      <w:r w:rsidRPr="00740802">
        <w:rPr>
          <w:rFonts w:ascii="Times" w:hAnsi="Times"/>
          <w:i/>
          <w:iCs/>
          <w:color w:val="0E101A"/>
        </w:rPr>
        <w:t xml:space="preserve">I. </w:t>
      </w:r>
      <w:r w:rsidRPr="00B92BCC">
        <w:rPr>
          <w:rFonts w:ascii="Times" w:hAnsi="Times"/>
          <w:i/>
          <w:iCs/>
          <w:color w:val="0E101A"/>
        </w:rPr>
        <w:t>wosnesenskii</w:t>
      </w:r>
      <w:r w:rsidRPr="00740802">
        <w:rPr>
          <w:rFonts w:ascii="Times" w:hAnsi="Times"/>
          <w:color w:val="0E101A"/>
        </w:rPr>
        <w:t> were recorded for each quadrat. Rock width was also measured for all isopods found under rocks. Only the substrate was recorded if the isopod was not located under a rock. The presence or absence of crabs within the quadrat was also noted. </w:t>
      </w:r>
    </w:p>
    <w:p w14:paraId="7791F76D" w14:textId="77777777" w:rsidR="00740802" w:rsidRPr="00B92BCC" w:rsidRDefault="00740802" w:rsidP="00740802">
      <w:pPr>
        <w:spacing w:line="480" w:lineRule="auto"/>
        <w:rPr>
          <w:rFonts w:ascii="Times" w:hAnsi="Times"/>
          <w:color w:val="000000"/>
        </w:rPr>
      </w:pPr>
      <w:r w:rsidRPr="00B92BCC">
        <w:rPr>
          <w:rFonts w:ascii="Times" w:hAnsi="Times"/>
          <w:i/>
          <w:iCs/>
          <w:color w:val="000000"/>
        </w:rPr>
        <w:t>Data Analysis</w:t>
      </w:r>
    </w:p>
    <w:p w14:paraId="35CE15D2" w14:textId="61D9543E" w:rsidR="00740802" w:rsidRPr="00B92BCC" w:rsidRDefault="00740802" w:rsidP="00740802">
      <w:pPr>
        <w:spacing w:line="480" w:lineRule="auto"/>
        <w:ind w:firstLine="720"/>
        <w:rPr>
          <w:rFonts w:ascii="Times" w:hAnsi="Times"/>
        </w:rPr>
      </w:pPr>
      <w:r w:rsidRPr="00B92BCC">
        <w:rPr>
          <w:rFonts w:ascii="Times" w:hAnsi="Times"/>
          <w:color w:val="000000"/>
        </w:rPr>
        <w:t xml:space="preserve">A generalized linear regression was then performed to analyze the influence of the rock width on the distribution of </w:t>
      </w:r>
      <w:r w:rsidRPr="00B92BCC">
        <w:rPr>
          <w:rFonts w:ascii="Times" w:hAnsi="Times"/>
          <w:i/>
          <w:iCs/>
          <w:color w:val="000000"/>
        </w:rPr>
        <w:t>I. wosnesenskii</w:t>
      </w:r>
      <w:r w:rsidRPr="00B92BCC">
        <w:rPr>
          <w:rFonts w:ascii="Times" w:hAnsi="Times"/>
          <w:color w:val="000000"/>
        </w:rPr>
        <w:t xml:space="preserve">. In addition, a one-way ANOVA was performed to examine the impact of shore crab presence, substrate preference, and tidal height on the abundance of </w:t>
      </w:r>
      <w:r w:rsidRPr="00B92BCC">
        <w:rPr>
          <w:rFonts w:ascii="Times" w:hAnsi="Times"/>
          <w:i/>
          <w:iCs/>
          <w:color w:val="000000"/>
        </w:rPr>
        <w:t>I. wosnesenskii</w:t>
      </w:r>
      <w:r w:rsidRPr="00B92BCC">
        <w:rPr>
          <w:rFonts w:ascii="Times" w:hAnsi="Times"/>
          <w:color w:val="000000"/>
        </w:rPr>
        <w:t xml:space="preserve">. </w:t>
      </w:r>
    </w:p>
    <w:p w14:paraId="3E27F1A1" w14:textId="77777777" w:rsidR="00740802" w:rsidRPr="00B92BCC" w:rsidRDefault="00740802" w:rsidP="00740802">
      <w:pPr>
        <w:spacing w:line="480" w:lineRule="auto"/>
        <w:rPr>
          <w:rFonts w:ascii="Times" w:hAnsi="Times"/>
        </w:rPr>
      </w:pPr>
      <w:r w:rsidRPr="00B92BCC">
        <w:rPr>
          <w:rFonts w:ascii="Times" w:hAnsi="Times"/>
          <w:b/>
          <w:bCs/>
          <w:color w:val="0E101A"/>
          <w:shd w:val="clear" w:color="auto" w:fill="FCFCFC"/>
        </w:rPr>
        <w:t>RESULTS</w:t>
      </w:r>
    </w:p>
    <w:p w14:paraId="0ED088F9" w14:textId="7119B11C" w:rsidR="00740802" w:rsidRPr="00B92BCC" w:rsidRDefault="00740802" w:rsidP="00740802">
      <w:pPr>
        <w:pStyle w:val="NormalWeb"/>
        <w:spacing w:before="0" w:beforeAutospacing="0" w:after="0" w:afterAutospacing="0" w:line="480" w:lineRule="auto"/>
        <w:ind w:firstLine="720"/>
        <w:rPr>
          <w:rFonts w:ascii="Times" w:hAnsi="Times"/>
          <w:i/>
          <w:iCs/>
          <w:color w:val="0E101A"/>
        </w:rPr>
      </w:pPr>
      <w:r w:rsidRPr="00B92BCC">
        <w:rPr>
          <w:rFonts w:ascii="Times" w:hAnsi="Times"/>
          <w:color w:val="0E101A"/>
        </w:rPr>
        <w:t>The influence of rock width on the abundance of </w:t>
      </w:r>
      <w:r w:rsidRPr="00B92BCC">
        <w:rPr>
          <w:rStyle w:val="Emphasis"/>
          <w:rFonts w:ascii="Times" w:hAnsi="Times"/>
          <w:color w:val="0E101A"/>
        </w:rPr>
        <w:t>I. wosnesenskii</w:t>
      </w:r>
      <w:r w:rsidRPr="00B92BCC">
        <w:rPr>
          <w:rFonts w:ascii="Times" w:hAnsi="Times"/>
          <w:color w:val="0E101A"/>
        </w:rPr>
        <w:t> was statistically significant (</w:t>
      </w:r>
      <w:r w:rsidRPr="00B92BCC">
        <w:rPr>
          <w:rStyle w:val="Emphasis"/>
          <w:rFonts w:ascii="Times" w:hAnsi="Times"/>
          <w:color w:val="0E101A"/>
        </w:rPr>
        <w:t>R</w:t>
      </w:r>
      <w:r w:rsidRPr="00740802">
        <w:rPr>
          <w:rStyle w:val="Emphasis"/>
          <w:rFonts w:ascii="Times" w:hAnsi="Times"/>
          <w:color w:val="0E101A"/>
          <w:vertAlign w:val="superscript"/>
        </w:rPr>
        <w:t>2</w:t>
      </w:r>
      <w:r w:rsidRPr="00B92BCC">
        <w:rPr>
          <w:rFonts w:ascii="Times" w:hAnsi="Times"/>
          <w:color w:val="0E101A"/>
        </w:rPr>
        <w:t> = 0.36, </w:t>
      </w:r>
      <w:r w:rsidRPr="00B92BCC">
        <w:rPr>
          <w:rStyle w:val="Emphasis"/>
          <w:rFonts w:ascii="Times" w:hAnsi="Times"/>
          <w:color w:val="0E101A"/>
        </w:rPr>
        <w:t>p</w:t>
      </w:r>
      <w:r w:rsidRPr="00B92BCC">
        <w:rPr>
          <w:rFonts w:ascii="Times" w:hAnsi="Times"/>
          <w:color w:val="0E101A"/>
        </w:rPr>
        <w:t> = 0.028) (Fig. 1). Aggregations (more than two individuals) of </w:t>
      </w:r>
      <w:r w:rsidRPr="00B92BCC">
        <w:rPr>
          <w:rStyle w:val="Emphasis"/>
          <w:rFonts w:ascii="Times" w:hAnsi="Times"/>
          <w:color w:val="0E101A"/>
        </w:rPr>
        <w:t>I. wosnesenskii</w:t>
      </w:r>
      <w:r w:rsidRPr="00B92BCC">
        <w:rPr>
          <w:rFonts w:ascii="Times" w:hAnsi="Times"/>
          <w:color w:val="0E101A"/>
        </w:rPr>
        <w:t> were more likely to be found under rocks over 25.6cm width. In contrast, single individuals of </w:t>
      </w:r>
      <w:r w:rsidRPr="00B92BCC">
        <w:rPr>
          <w:rStyle w:val="Emphasis"/>
          <w:rFonts w:ascii="Times" w:hAnsi="Times"/>
          <w:color w:val="0E101A"/>
        </w:rPr>
        <w:t>I. wosnesenskii</w:t>
      </w:r>
      <w:r w:rsidRPr="00B92BCC">
        <w:rPr>
          <w:rFonts w:ascii="Times" w:hAnsi="Times"/>
          <w:color w:val="0E101A"/>
        </w:rPr>
        <w:t xml:space="preserve"> were more likely to be found under rocks less than 25.6cm in width.</w:t>
      </w:r>
      <w:r w:rsidRPr="00B92BCC">
        <w:rPr>
          <w:rStyle w:val="Emphasis"/>
          <w:rFonts w:ascii="Times" w:hAnsi="Times"/>
          <w:color w:val="0E101A"/>
        </w:rPr>
        <w:t xml:space="preserve"> The data also show that there is a strong likelihood that I. wosnesenskii</w:t>
      </w:r>
      <w:r w:rsidRPr="00B92BCC">
        <w:rPr>
          <w:rFonts w:ascii="Times" w:hAnsi="Times"/>
          <w:color w:val="0E101A"/>
        </w:rPr>
        <w:t> prefer substrates such as seaweed, cobbles, and bedrock (</w:t>
      </w:r>
      <w:r w:rsidRPr="00B92BCC">
        <w:rPr>
          <w:rStyle w:val="Emphasis"/>
          <w:rFonts w:ascii="Times" w:hAnsi="Times"/>
          <w:color w:val="0E101A"/>
        </w:rPr>
        <w:t>F</w:t>
      </w:r>
      <w:r w:rsidRPr="00B92BCC">
        <w:rPr>
          <w:rFonts w:ascii="Times" w:hAnsi="Times"/>
          <w:color w:val="0E101A"/>
        </w:rPr>
        <w:t xml:space="preserve"> = </w:t>
      </w:r>
      <w:r w:rsidRPr="00740802">
        <w:rPr>
          <w:rFonts w:ascii="Times" w:hAnsi="Times"/>
          <w:color w:val="0E101A"/>
        </w:rPr>
        <w:t>10.9</w:t>
      </w:r>
      <w:r w:rsidRPr="00B92BCC">
        <w:rPr>
          <w:rFonts w:ascii="Times" w:hAnsi="Times"/>
          <w:color w:val="0E101A"/>
        </w:rPr>
        <w:t>, </w:t>
      </w:r>
      <w:r w:rsidRPr="00B92BCC">
        <w:rPr>
          <w:rStyle w:val="Emphasis"/>
          <w:rFonts w:ascii="Times" w:hAnsi="Times"/>
          <w:color w:val="0E101A"/>
        </w:rPr>
        <w:t>p </w:t>
      </w:r>
      <w:r w:rsidRPr="00740802">
        <w:rPr>
          <w:rFonts w:ascii="Times" w:hAnsi="Times"/>
          <w:color w:val="0E101A"/>
        </w:rPr>
        <w:t>=</w:t>
      </w:r>
      <w:r w:rsidRPr="00B92BCC">
        <w:rPr>
          <w:rFonts w:ascii="Times" w:hAnsi="Times"/>
          <w:color w:val="0E101A"/>
        </w:rPr>
        <w:t xml:space="preserve"> 0.0</w:t>
      </w:r>
      <w:r w:rsidRPr="00740802">
        <w:rPr>
          <w:rFonts w:ascii="Times" w:hAnsi="Times"/>
          <w:color w:val="0E101A"/>
        </w:rPr>
        <w:t>1</w:t>
      </w:r>
      <w:r w:rsidRPr="00B92BCC">
        <w:rPr>
          <w:rFonts w:ascii="Times" w:hAnsi="Times"/>
          <w:color w:val="0E101A"/>
        </w:rPr>
        <w:t>) (Fig. 2).</w:t>
      </w:r>
    </w:p>
    <w:p w14:paraId="71237F30" w14:textId="1B9B23FF" w:rsidR="00740802" w:rsidRPr="00B92BCC" w:rsidRDefault="00740802" w:rsidP="00740802">
      <w:pPr>
        <w:pStyle w:val="NormalWeb"/>
        <w:spacing w:before="0" w:beforeAutospacing="0" w:after="0" w:afterAutospacing="0" w:line="480" w:lineRule="auto"/>
        <w:ind w:firstLine="720"/>
        <w:rPr>
          <w:rFonts w:ascii="Times" w:hAnsi="Times"/>
          <w:color w:val="0E101A"/>
        </w:rPr>
      </w:pPr>
      <w:r w:rsidRPr="00B92BCC">
        <w:rPr>
          <w:rFonts w:ascii="Times" w:hAnsi="Times"/>
          <w:color w:val="0E101A"/>
        </w:rPr>
        <w:t>Furthermore, the presence of shore crabs had no significant effect on the abundance of </w:t>
      </w:r>
      <w:r w:rsidRPr="00B92BCC">
        <w:rPr>
          <w:rStyle w:val="Emphasis"/>
          <w:rFonts w:ascii="Times" w:hAnsi="Times"/>
          <w:color w:val="0E101A"/>
        </w:rPr>
        <w:t>I. wosnesenskii</w:t>
      </w:r>
      <w:r w:rsidRPr="00B92BCC">
        <w:rPr>
          <w:rFonts w:ascii="Times" w:hAnsi="Times"/>
          <w:color w:val="0E101A"/>
        </w:rPr>
        <w:t> across all sites sampled (</w:t>
      </w:r>
      <w:r w:rsidRPr="00B92BCC">
        <w:rPr>
          <w:rStyle w:val="Emphasis"/>
          <w:rFonts w:ascii="Times" w:hAnsi="Times"/>
          <w:color w:val="0E101A"/>
        </w:rPr>
        <w:t>F </w:t>
      </w:r>
      <w:r w:rsidRPr="00B92BCC">
        <w:rPr>
          <w:rFonts w:ascii="Times" w:hAnsi="Times"/>
          <w:color w:val="0E101A"/>
        </w:rPr>
        <w:t>= 2.84, </w:t>
      </w:r>
      <w:r w:rsidRPr="00B92BCC">
        <w:rPr>
          <w:rStyle w:val="Emphasis"/>
          <w:rFonts w:ascii="Times" w:hAnsi="Times"/>
          <w:color w:val="0E101A"/>
        </w:rPr>
        <w:t>p</w:t>
      </w:r>
      <w:r w:rsidRPr="00B92BCC">
        <w:rPr>
          <w:rFonts w:ascii="Times" w:hAnsi="Times"/>
          <w:color w:val="0E101A"/>
        </w:rPr>
        <w:t> = 0.09) (Fig. 3). Finally, we detected no significant influence of tidal height on the distribution of </w:t>
      </w:r>
      <w:r w:rsidRPr="00B92BCC">
        <w:rPr>
          <w:rStyle w:val="Emphasis"/>
          <w:rFonts w:ascii="Times" w:hAnsi="Times"/>
          <w:color w:val="0E101A"/>
        </w:rPr>
        <w:t>I. wosnesenskii</w:t>
      </w:r>
      <w:r w:rsidRPr="00B92BCC">
        <w:rPr>
          <w:rFonts w:ascii="Times" w:hAnsi="Times"/>
          <w:color w:val="0E101A"/>
        </w:rPr>
        <w:t xml:space="preserve"> (Fig. 4). </w:t>
      </w:r>
    </w:p>
    <w:p w14:paraId="79D34042" w14:textId="77777777" w:rsidR="00740802" w:rsidRPr="00B92BCC" w:rsidRDefault="00740802" w:rsidP="00740802">
      <w:pPr>
        <w:spacing w:line="480" w:lineRule="auto"/>
        <w:rPr>
          <w:rFonts w:ascii="Times" w:hAnsi="Times"/>
          <w:b/>
          <w:bCs/>
          <w:color w:val="0E101A"/>
          <w:shd w:val="clear" w:color="auto" w:fill="FCFCFC"/>
        </w:rPr>
      </w:pPr>
      <w:r w:rsidRPr="00B92BCC">
        <w:rPr>
          <w:rFonts w:ascii="Times" w:hAnsi="Times"/>
          <w:b/>
          <w:bCs/>
          <w:color w:val="0E101A"/>
          <w:shd w:val="clear" w:color="auto" w:fill="FCFCFC"/>
        </w:rPr>
        <w:t>DISCUSSION </w:t>
      </w:r>
    </w:p>
    <w:p w14:paraId="38550C81" w14:textId="77777777" w:rsidR="00740802" w:rsidRPr="00B92BCC" w:rsidRDefault="00740802" w:rsidP="00740802">
      <w:pPr>
        <w:pStyle w:val="NormalWeb"/>
        <w:spacing w:before="0" w:beforeAutospacing="0" w:after="0" w:afterAutospacing="0" w:line="480" w:lineRule="auto"/>
        <w:ind w:firstLine="720"/>
        <w:rPr>
          <w:rFonts w:ascii="Times" w:hAnsi="Times"/>
          <w:color w:val="0E101A"/>
        </w:rPr>
      </w:pPr>
      <w:r w:rsidRPr="00B92BCC">
        <w:rPr>
          <w:rFonts w:ascii="Times" w:hAnsi="Times"/>
          <w:color w:val="0E101A"/>
        </w:rPr>
        <w:t>This study is the first to examine the influence of rock width, substrate preference, crab presence, and intertidal height on the abundance of </w:t>
      </w:r>
      <w:r w:rsidRPr="00B92BCC">
        <w:rPr>
          <w:rStyle w:val="Emphasis"/>
          <w:rFonts w:ascii="Times" w:hAnsi="Times"/>
          <w:color w:val="0E101A"/>
        </w:rPr>
        <w:t>I. wosnesenskii</w:t>
      </w:r>
      <w:r w:rsidRPr="00B92BCC">
        <w:rPr>
          <w:rFonts w:ascii="Times" w:hAnsi="Times"/>
          <w:color w:val="0E101A"/>
        </w:rPr>
        <w:t>. Furthermore, this study is also the first to examine the influence of intertidal rock width on any species of </w:t>
      </w:r>
      <w:r w:rsidRPr="00B92BCC">
        <w:rPr>
          <w:rStyle w:val="Emphasis"/>
          <w:rFonts w:ascii="Times" w:hAnsi="Times"/>
          <w:color w:val="0E101A"/>
        </w:rPr>
        <w:t>Idotea.</w:t>
      </w:r>
      <w:r w:rsidRPr="00B92BCC">
        <w:rPr>
          <w:rFonts w:ascii="Times" w:hAnsi="Times"/>
          <w:color w:val="0E101A"/>
        </w:rPr>
        <w:t> </w:t>
      </w:r>
    </w:p>
    <w:p w14:paraId="31CD7353" w14:textId="47CEFB2E" w:rsidR="00740802" w:rsidRPr="00B92BCC" w:rsidRDefault="00740802" w:rsidP="00740802">
      <w:pPr>
        <w:spacing w:line="480" w:lineRule="auto"/>
        <w:rPr>
          <w:rFonts w:ascii="Times" w:hAnsi="Times"/>
        </w:rPr>
      </w:pPr>
      <w:r w:rsidRPr="00B92BCC">
        <w:rPr>
          <w:rFonts w:ascii="Times" w:hAnsi="Times"/>
        </w:rPr>
        <w:lastRenderedPageBreak/>
        <w:t>Our finding is that aggregating </w:t>
      </w:r>
      <w:r w:rsidRPr="00B92BCC">
        <w:rPr>
          <w:rStyle w:val="Emphasis"/>
          <w:rFonts w:ascii="Times" w:hAnsi="Times"/>
          <w:color w:val="0E101A"/>
        </w:rPr>
        <w:t>I. wosnesenskii</w:t>
      </w:r>
      <w:r w:rsidRPr="00B92BCC">
        <w:rPr>
          <w:rFonts w:ascii="Times" w:hAnsi="Times"/>
        </w:rPr>
        <w:t> (&gt; 2 individuals) are more likely to inhabit boulders, while solitary </w:t>
      </w:r>
      <w:r w:rsidRPr="00B92BCC">
        <w:rPr>
          <w:rStyle w:val="Emphasis"/>
          <w:rFonts w:ascii="Times" w:hAnsi="Times"/>
          <w:color w:val="0E101A"/>
        </w:rPr>
        <w:t>I. wosnesenskii</w:t>
      </w:r>
      <w:r w:rsidRPr="00B92BCC">
        <w:rPr>
          <w:rFonts w:ascii="Times" w:hAnsi="Times"/>
        </w:rPr>
        <w:t> (&lt; 2 individuals) are more likely to inhabit areas with cobbles and pebbles. This aggregating behavior is not yet well understood, but it may be a form of social aggregation seen in other genera of isopods (Shuster &amp; Wade, 1991; Shuster, 1990). Social aggregation amongst isopods has been found to reduce risks such as predation or desiccation and increase the odds of finding a mate (Salma &amp; Thomson, 2016; Salma &amp; Thomson, 2017). The aggregating behavior observed in </w:t>
      </w:r>
      <w:r w:rsidRPr="00B92BCC">
        <w:rPr>
          <w:rStyle w:val="Emphasis"/>
          <w:rFonts w:ascii="Times" w:hAnsi="Times"/>
          <w:color w:val="0E101A"/>
        </w:rPr>
        <w:t>I. wosnesenskii</w:t>
      </w:r>
      <w:r w:rsidRPr="00B92BCC">
        <w:rPr>
          <w:rFonts w:ascii="Times" w:hAnsi="Times"/>
        </w:rPr>
        <w:t> may also be explained by the findings of Salma &amp; Thomson, 2016, and Salma &amp; Thomson, 2017, but requires further examination to validate this conclusion.</w:t>
      </w:r>
    </w:p>
    <w:p w14:paraId="20E7D1DB" w14:textId="6697CE4F" w:rsidR="00740802" w:rsidRPr="00F77C52" w:rsidRDefault="00740802" w:rsidP="00740802">
      <w:pPr>
        <w:spacing w:line="480" w:lineRule="auto"/>
        <w:rPr>
          <w:rFonts w:ascii="Times" w:hAnsi="Times"/>
        </w:rPr>
      </w:pPr>
      <w:r w:rsidRPr="00B92BCC">
        <w:rPr>
          <w:rFonts w:ascii="Times" w:hAnsi="Times"/>
        </w:rPr>
        <w:tab/>
      </w:r>
      <w:r w:rsidRPr="00F77C52">
        <w:rPr>
          <w:rFonts w:ascii="Times" w:hAnsi="Times"/>
          <w:i/>
          <w:iCs/>
          <w:color w:val="0E101A"/>
        </w:rPr>
        <w:t>Idotea </w:t>
      </w:r>
      <w:r w:rsidRPr="00F77C52">
        <w:rPr>
          <w:rFonts w:ascii="Times" w:hAnsi="Times"/>
        </w:rPr>
        <w:t>are also herbivorous crustaceans feeding on filamentous macroalga (</w:t>
      </w:r>
      <w:proofErr w:type="spellStart"/>
      <w:r w:rsidRPr="00F77C52">
        <w:rPr>
          <w:rFonts w:ascii="Times" w:hAnsi="Times"/>
        </w:rPr>
        <w:t>Orav</w:t>
      </w:r>
      <w:proofErr w:type="spellEnd"/>
      <w:r w:rsidRPr="00F77C52">
        <w:rPr>
          <w:rFonts w:ascii="Times" w:hAnsi="Times"/>
        </w:rPr>
        <w:t>-Kotta &amp; Kotta, 2004, Naylor, 1995a). However, depending upon food availability, </w:t>
      </w:r>
      <w:r w:rsidRPr="00F77C52">
        <w:rPr>
          <w:rFonts w:ascii="Times" w:hAnsi="Times"/>
          <w:i/>
          <w:iCs/>
          <w:color w:val="0E101A"/>
        </w:rPr>
        <w:t>Idotea</w:t>
      </w:r>
      <w:r w:rsidRPr="00F77C52">
        <w:rPr>
          <w:rFonts w:ascii="Times" w:hAnsi="Times"/>
        </w:rPr>
        <w:t> may be omnivorous (Naylor, 1995b). Our finding that </w:t>
      </w:r>
      <w:r w:rsidRPr="00F77C52">
        <w:rPr>
          <w:rFonts w:ascii="Times" w:hAnsi="Times"/>
          <w:i/>
          <w:iCs/>
          <w:color w:val="0E101A"/>
        </w:rPr>
        <w:t>I. wosnesenskii</w:t>
      </w:r>
      <w:r w:rsidRPr="00F77C52">
        <w:rPr>
          <w:rFonts w:ascii="Times" w:hAnsi="Times"/>
        </w:rPr>
        <w:t> preferred seaweed, cobbles, and boulders, supports the likelihood of omnivorous feeding within </w:t>
      </w:r>
      <w:r w:rsidRPr="00F77C52">
        <w:rPr>
          <w:rFonts w:ascii="Times" w:hAnsi="Times"/>
          <w:i/>
          <w:iCs/>
          <w:color w:val="0E101A"/>
        </w:rPr>
        <w:t>I. wosnesenskii</w:t>
      </w:r>
      <w:r w:rsidRPr="00F77C52">
        <w:rPr>
          <w:rFonts w:ascii="Times" w:hAnsi="Times"/>
        </w:rPr>
        <w:t>. However, our finding that </w:t>
      </w:r>
      <w:r w:rsidRPr="00F77C52">
        <w:rPr>
          <w:rFonts w:ascii="Times" w:hAnsi="Times"/>
          <w:i/>
          <w:iCs/>
          <w:color w:val="0E101A"/>
        </w:rPr>
        <w:t>I. wosnesenskii</w:t>
      </w:r>
      <w:r w:rsidRPr="00F77C52">
        <w:rPr>
          <w:rFonts w:ascii="Times" w:hAnsi="Times"/>
        </w:rPr>
        <w:t xml:space="preserve"> are likely to be found on other substrates besides seaweed directly contradicts a study performed by </w:t>
      </w:r>
      <w:proofErr w:type="spellStart"/>
      <w:r w:rsidRPr="00F77C52">
        <w:rPr>
          <w:rFonts w:ascii="Times" w:hAnsi="Times"/>
        </w:rPr>
        <w:t>Starko</w:t>
      </w:r>
      <w:proofErr w:type="spellEnd"/>
      <w:r w:rsidRPr="00F77C52">
        <w:rPr>
          <w:rFonts w:ascii="Times" w:hAnsi="Times"/>
        </w:rPr>
        <w:t xml:space="preserve"> et al., 2016. Due to morphological constraints, those researchers determined that most </w:t>
      </w:r>
      <w:r w:rsidRPr="00F77C52">
        <w:rPr>
          <w:rFonts w:ascii="Times" w:hAnsi="Times"/>
          <w:i/>
          <w:iCs/>
          <w:color w:val="0E101A"/>
        </w:rPr>
        <w:t>I. wosnesenskii</w:t>
      </w:r>
      <w:r w:rsidRPr="00F77C52">
        <w:rPr>
          <w:rFonts w:ascii="Times" w:hAnsi="Times"/>
        </w:rPr>
        <w:t> are limited to habitats with thicker seaweed and higher wave intensity. However, our study found very similar numbers of </w:t>
      </w:r>
      <w:r w:rsidRPr="00F77C52">
        <w:rPr>
          <w:rFonts w:ascii="Times" w:hAnsi="Times"/>
          <w:i/>
          <w:iCs/>
          <w:color w:val="0E101A"/>
        </w:rPr>
        <w:t>I. wosnesenskii</w:t>
      </w:r>
      <w:r w:rsidRPr="00F77C52">
        <w:rPr>
          <w:rFonts w:ascii="Times" w:hAnsi="Times"/>
        </w:rPr>
        <w:t> amongst seaweed, cobbles, and bedrock. We believe this may be because researchers did not survey equal amounts of each substrate at all locations.</w:t>
      </w:r>
    </w:p>
    <w:p w14:paraId="786A7C85" w14:textId="77777777" w:rsidR="00740802" w:rsidRPr="00B92BCC" w:rsidRDefault="00740802" w:rsidP="00740802">
      <w:pPr>
        <w:pStyle w:val="NormalWeb"/>
        <w:spacing w:before="0" w:beforeAutospacing="0" w:after="0" w:afterAutospacing="0" w:line="480" w:lineRule="auto"/>
        <w:ind w:firstLine="720"/>
        <w:rPr>
          <w:rFonts w:ascii="Times" w:hAnsi="Times"/>
          <w:color w:val="0E101A"/>
        </w:rPr>
      </w:pPr>
      <w:r w:rsidRPr="00B92BCC">
        <w:rPr>
          <w:rFonts w:ascii="Times" w:hAnsi="Times"/>
          <w:color w:val="0E101A"/>
        </w:rPr>
        <w:t>While macroalgae were present at all locations, only two of the four sites had significant amounts of algae, specifically </w:t>
      </w:r>
      <w:r w:rsidRPr="00B92BCC">
        <w:rPr>
          <w:rStyle w:val="Emphasis"/>
          <w:rFonts w:ascii="Times" w:hAnsi="Times"/>
          <w:color w:val="0E101A"/>
        </w:rPr>
        <w:t>Fucus</w:t>
      </w:r>
      <w:r w:rsidRPr="00B92BCC">
        <w:rPr>
          <w:rFonts w:ascii="Times" w:hAnsi="Times"/>
          <w:color w:val="0E101A"/>
        </w:rPr>
        <w:t>, or were prone to high wave action. Whether </w:t>
      </w:r>
      <w:r w:rsidRPr="00B92BCC">
        <w:rPr>
          <w:rStyle w:val="Emphasis"/>
          <w:rFonts w:ascii="Times" w:hAnsi="Times"/>
          <w:color w:val="0E101A"/>
        </w:rPr>
        <w:t>I. wosnesenskii</w:t>
      </w:r>
      <w:r w:rsidRPr="00B92BCC">
        <w:rPr>
          <w:rFonts w:ascii="Times" w:hAnsi="Times"/>
          <w:color w:val="0E101A"/>
        </w:rPr>
        <w:t> directly feeds on </w:t>
      </w:r>
      <w:r w:rsidRPr="00B92BCC">
        <w:rPr>
          <w:rStyle w:val="Emphasis"/>
          <w:rFonts w:ascii="Times" w:hAnsi="Times"/>
          <w:color w:val="0E101A"/>
        </w:rPr>
        <w:t>Fucus</w:t>
      </w:r>
      <w:r w:rsidRPr="00B92BCC">
        <w:rPr>
          <w:rFonts w:ascii="Times" w:hAnsi="Times"/>
          <w:color w:val="0E101A"/>
        </w:rPr>
        <w:t xml:space="preserve"> rather than inhabiting it is still unknown, but several studies along the European coast suggest that it may be a possibility (Roth et al., 2010; </w:t>
      </w:r>
      <w:proofErr w:type="spellStart"/>
      <w:r w:rsidRPr="00B92BCC">
        <w:rPr>
          <w:rFonts w:ascii="Times" w:hAnsi="Times"/>
          <w:color w:val="0E101A"/>
        </w:rPr>
        <w:t>Engkvist</w:t>
      </w:r>
      <w:proofErr w:type="spellEnd"/>
      <w:r w:rsidRPr="00B92BCC">
        <w:rPr>
          <w:rFonts w:ascii="Times" w:hAnsi="Times"/>
          <w:color w:val="0E101A"/>
        </w:rPr>
        <w:t xml:space="preserve"> </w:t>
      </w:r>
      <w:r w:rsidRPr="00B92BCC">
        <w:rPr>
          <w:rFonts w:ascii="Times" w:hAnsi="Times"/>
          <w:color w:val="0E101A"/>
        </w:rPr>
        <w:lastRenderedPageBreak/>
        <w:t xml:space="preserve">&amp; </w:t>
      </w:r>
      <w:proofErr w:type="spellStart"/>
      <w:r w:rsidRPr="00B92BCC">
        <w:rPr>
          <w:rFonts w:ascii="Times" w:hAnsi="Times"/>
          <w:color w:val="0E101A"/>
        </w:rPr>
        <w:t>Tobiasson</w:t>
      </w:r>
      <w:proofErr w:type="spellEnd"/>
      <w:r w:rsidRPr="00B92BCC">
        <w:rPr>
          <w:rFonts w:ascii="Times" w:hAnsi="Times"/>
          <w:color w:val="0E101A"/>
        </w:rPr>
        <w:t xml:space="preserve">, 2000; </w:t>
      </w:r>
      <w:proofErr w:type="spellStart"/>
      <w:r w:rsidRPr="00B92BCC">
        <w:rPr>
          <w:rFonts w:ascii="Times" w:hAnsi="Times"/>
          <w:color w:val="0E101A"/>
        </w:rPr>
        <w:t>Salemaa</w:t>
      </w:r>
      <w:proofErr w:type="spellEnd"/>
      <w:r w:rsidRPr="00B92BCC">
        <w:rPr>
          <w:rFonts w:ascii="Times" w:hAnsi="Times"/>
          <w:color w:val="0E101A"/>
        </w:rPr>
        <w:t>, 2012). Therefore, to quantify the true impact of macroalgae on the abundance of </w:t>
      </w:r>
      <w:r w:rsidRPr="00B92BCC">
        <w:rPr>
          <w:rStyle w:val="Emphasis"/>
          <w:rFonts w:ascii="Times" w:hAnsi="Times"/>
          <w:color w:val="0E101A"/>
        </w:rPr>
        <w:t>I. wosnesenskii</w:t>
      </w:r>
      <w:r w:rsidRPr="00B92BCC">
        <w:rPr>
          <w:rFonts w:ascii="Times" w:hAnsi="Times"/>
          <w:color w:val="0E101A"/>
        </w:rPr>
        <w:t>, we recommend that future research direct attention towards limiting transects to areas strictly covered by macroalgae and areas strictly without macroalgae instead of sampling areas with a combination of both. </w:t>
      </w:r>
    </w:p>
    <w:p w14:paraId="108519E8" w14:textId="77777777" w:rsidR="00740802" w:rsidRPr="00B92BCC" w:rsidRDefault="00740802" w:rsidP="00740802">
      <w:pPr>
        <w:spacing w:line="480" w:lineRule="auto"/>
        <w:rPr>
          <w:rFonts w:ascii="Times" w:hAnsi="Times"/>
        </w:rPr>
      </w:pPr>
      <w:r w:rsidRPr="00B92BCC">
        <w:rPr>
          <w:rFonts w:ascii="Times" w:hAnsi="Times"/>
        </w:rPr>
        <w:t>     This study found no statistically significant influence of shore crab presence on the abundance of </w:t>
      </w:r>
      <w:r w:rsidRPr="00B92BCC">
        <w:rPr>
          <w:rStyle w:val="Emphasis"/>
          <w:rFonts w:ascii="Times" w:hAnsi="Times"/>
          <w:color w:val="0E101A"/>
        </w:rPr>
        <w:t>I. wosnesenskii</w:t>
      </w:r>
      <w:r w:rsidRPr="00B92BCC">
        <w:rPr>
          <w:rFonts w:ascii="Times" w:hAnsi="Times"/>
        </w:rPr>
        <w:t xml:space="preserve"> despite observations of a higher abundance of </w:t>
      </w:r>
      <w:r w:rsidRPr="00B92BCC">
        <w:rPr>
          <w:rFonts w:ascii="Times" w:hAnsi="Times"/>
          <w:i/>
          <w:iCs/>
        </w:rPr>
        <w:t xml:space="preserve">I. wosnesenskii </w:t>
      </w:r>
      <w:r w:rsidRPr="00B92BCC">
        <w:rPr>
          <w:rFonts w:ascii="Times" w:hAnsi="Times"/>
        </w:rPr>
        <w:t>in areas with no crabs present. While common shore crabs and alien crabs can negatively affect other intertidal species via predation or competition, this study, at first glance, suggests that there does not seem to be competition for space or resources with </w:t>
      </w:r>
      <w:r w:rsidRPr="00B92BCC">
        <w:rPr>
          <w:rStyle w:val="Emphasis"/>
          <w:rFonts w:ascii="Times" w:hAnsi="Times"/>
          <w:color w:val="0E101A"/>
        </w:rPr>
        <w:t>I. wosnesenskii</w:t>
      </w:r>
      <w:r w:rsidRPr="00B92BCC">
        <w:rPr>
          <w:rFonts w:ascii="Times" w:hAnsi="Times"/>
        </w:rPr>
        <w:t>. However, this finding requires further research. Therefore, we recommend that future research investigate the behaviors between </w:t>
      </w:r>
      <w:r w:rsidRPr="00B92BCC">
        <w:rPr>
          <w:rStyle w:val="Emphasis"/>
          <w:rFonts w:ascii="Times" w:hAnsi="Times"/>
          <w:color w:val="0E101A"/>
        </w:rPr>
        <w:t>I. wosnesenskii </w:t>
      </w:r>
      <w:r w:rsidRPr="00B92BCC">
        <w:rPr>
          <w:rFonts w:ascii="Times" w:hAnsi="Times"/>
        </w:rPr>
        <w:t>and shore crabs before concluding that there is no impact of shore crabs on the distribution or abundance of </w:t>
      </w:r>
      <w:r w:rsidRPr="00B92BCC">
        <w:rPr>
          <w:rStyle w:val="Emphasis"/>
          <w:rFonts w:ascii="Times" w:hAnsi="Times"/>
          <w:color w:val="0E101A"/>
        </w:rPr>
        <w:t>I. wosnesenskii</w:t>
      </w:r>
      <w:r w:rsidRPr="00B92BCC">
        <w:rPr>
          <w:rFonts w:ascii="Times" w:hAnsi="Times"/>
        </w:rPr>
        <w:t>.</w:t>
      </w:r>
    </w:p>
    <w:p w14:paraId="32273F7D" w14:textId="27524467" w:rsidR="00740802" w:rsidRPr="00B92BCC" w:rsidRDefault="00740802" w:rsidP="00740802">
      <w:pPr>
        <w:spacing w:line="480" w:lineRule="auto"/>
        <w:rPr>
          <w:rFonts w:ascii="Times" w:hAnsi="Times"/>
          <w:color w:val="0E101A"/>
        </w:rPr>
      </w:pPr>
      <w:r w:rsidRPr="00B92BCC">
        <w:rPr>
          <w:rFonts w:ascii="Times" w:hAnsi="Times"/>
          <w:color w:val="0E101A"/>
        </w:rPr>
        <w:tab/>
      </w:r>
      <w:r w:rsidRPr="00B92BCC">
        <w:rPr>
          <w:rFonts w:ascii="Times" w:hAnsi="Times"/>
        </w:rPr>
        <w:t>Finally, we found that intertidal height does not influence </w:t>
      </w:r>
      <w:r w:rsidRPr="00B92BCC">
        <w:rPr>
          <w:rStyle w:val="Emphasis"/>
          <w:rFonts w:ascii="Times" w:hAnsi="Times"/>
          <w:color w:val="0E101A"/>
        </w:rPr>
        <w:t>I. wosnesenskii</w:t>
      </w:r>
      <w:r w:rsidRPr="00B92BCC">
        <w:rPr>
          <w:rFonts w:ascii="Times" w:hAnsi="Times"/>
        </w:rPr>
        <w:t> abundance. This finding directly supports observations that the genus </w:t>
      </w:r>
      <w:r w:rsidRPr="00B92BCC">
        <w:rPr>
          <w:rStyle w:val="Emphasis"/>
          <w:rFonts w:ascii="Times" w:hAnsi="Times"/>
          <w:color w:val="0E101A"/>
        </w:rPr>
        <w:t xml:space="preserve">Idotea </w:t>
      </w:r>
      <w:r w:rsidRPr="00B92BCC">
        <w:rPr>
          <w:rStyle w:val="Emphasis"/>
          <w:rFonts w:ascii="Times" w:hAnsi="Times"/>
          <w:i w:val="0"/>
          <w:iCs w:val="0"/>
          <w:color w:val="0E101A"/>
        </w:rPr>
        <w:t>are</w:t>
      </w:r>
      <w:r w:rsidRPr="00B92BCC">
        <w:rPr>
          <w:rStyle w:val="Emphasis"/>
          <w:rFonts w:ascii="Times" w:hAnsi="Times"/>
          <w:color w:val="0E101A"/>
        </w:rPr>
        <w:t> </w:t>
      </w:r>
      <w:r w:rsidRPr="00B92BCC">
        <w:rPr>
          <w:rFonts w:ascii="Times" w:hAnsi="Times"/>
        </w:rPr>
        <w:t>spatially distributed throughout the intertidal shore (</w:t>
      </w:r>
      <w:proofErr w:type="spellStart"/>
      <w:r w:rsidRPr="00B92BCC">
        <w:rPr>
          <w:rFonts w:ascii="Times" w:hAnsi="Times"/>
        </w:rPr>
        <w:t>Ranta</w:t>
      </w:r>
      <w:proofErr w:type="spellEnd"/>
      <w:r w:rsidRPr="00B92BCC">
        <w:rPr>
          <w:rFonts w:ascii="Times" w:hAnsi="Times"/>
        </w:rPr>
        <w:t xml:space="preserve"> &amp; </w:t>
      </w:r>
      <w:proofErr w:type="spellStart"/>
      <w:r w:rsidRPr="00B92BCC">
        <w:rPr>
          <w:rFonts w:ascii="Times" w:hAnsi="Times"/>
        </w:rPr>
        <w:t>Salemaa</w:t>
      </w:r>
      <w:proofErr w:type="spellEnd"/>
      <w:r w:rsidRPr="00B92BCC">
        <w:rPr>
          <w:rFonts w:ascii="Times" w:hAnsi="Times"/>
        </w:rPr>
        <w:t xml:space="preserve">, 1991; </w:t>
      </w:r>
      <w:proofErr w:type="spellStart"/>
      <w:r w:rsidRPr="00B92BCC">
        <w:rPr>
          <w:rFonts w:ascii="Times" w:hAnsi="Times"/>
        </w:rPr>
        <w:t>Salemaa</w:t>
      </w:r>
      <w:proofErr w:type="spellEnd"/>
      <w:r w:rsidRPr="00B92BCC">
        <w:rPr>
          <w:rFonts w:ascii="Times" w:hAnsi="Times"/>
        </w:rPr>
        <w:t xml:space="preserve">, 1986; </w:t>
      </w:r>
      <w:proofErr w:type="spellStart"/>
      <w:r w:rsidRPr="00B92BCC">
        <w:rPr>
          <w:rFonts w:ascii="Times" w:hAnsi="Times"/>
        </w:rPr>
        <w:t>Salemaa</w:t>
      </w:r>
      <w:proofErr w:type="spellEnd"/>
      <w:r w:rsidRPr="00B92BCC">
        <w:rPr>
          <w:rFonts w:ascii="Times" w:hAnsi="Times"/>
        </w:rPr>
        <w:t xml:space="preserve">, 1997). Furthermore, in a study by </w:t>
      </w:r>
      <w:proofErr w:type="spellStart"/>
      <w:r w:rsidRPr="00B92BCC">
        <w:rPr>
          <w:rFonts w:ascii="Times" w:hAnsi="Times"/>
        </w:rPr>
        <w:t>Leifsson</w:t>
      </w:r>
      <w:proofErr w:type="spellEnd"/>
      <w:r w:rsidRPr="00B92BCC">
        <w:rPr>
          <w:rFonts w:ascii="Times" w:hAnsi="Times"/>
        </w:rPr>
        <w:t>, 1998, the vertical distribution of </w:t>
      </w:r>
      <w:r w:rsidRPr="00B92BCC">
        <w:rPr>
          <w:rStyle w:val="Emphasis"/>
          <w:rFonts w:ascii="Times" w:hAnsi="Times"/>
          <w:color w:val="0E101A"/>
        </w:rPr>
        <w:t>Idotea</w:t>
      </w:r>
      <w:r w:rsidRPr="00B92BCC">
        <w:rPr>
          <w:rFonts w:ascii="Times" w:hAnsi="Times"/>
        </w:rPr>
        <w:t> were found to be subject to change depending on the season or food availability. These observations may explain why the current study found no significant preference between tidal height and </w:t>
      </w:r>
      <w:r w:rsidRPr="00B92BCC">
        <w:rPr>
          <w:rStyle w:val="Emphasis"/>
          <w:rFonts w:ascii="Times" w:hAnsi="Times"/>
          <w:color w:val="0E101A"/>
        </w:rPr>
        <w:t>I. wosnesenskii</w:t>
      </w:r>
      <w:r w:rsidRPr="00B92BCC">
        <w:rPr>
          <w:rFonts w:ascii="Times" w:hAnsi="Times"/>
        </w:rPr>
        <w:t> abundance. To quantify the influence of seasonality on </w:t>
      </w:r>
      <w:r w:rsidRPr="00B92BCC">
        <w:rPr>
          <w:rStyle w:val="Emphasis"/>
          <w:rFonts w:ascii="Times" w:hAnsi="Times"/>
          <w:color w:val="0E101A"/>
        </w:rPr>
        <w:t>I. wosnesenskii </w:t>
      </w:r>
      <w:r w:rsidRPr="00B92BCC">
        <w:rPr>
          <w:rFonts w:ascii="Times" w:hAnsi="Times"/>
        </w:rPr>
        <w:t>distribution, we recommend that future research repeat this experiment during the summer, fall, and winter.</w:t>
      </w:r>
    </w:p>
    <w:p w14:paraId="26BB6645" w14:textId="77777777" w:rsidR="00740802" w:rsidRPr="00B92BCC" w:rsidRDefault="00740802" w:rsidP="00740802">
      <w:pPr>
        <w:pStyle w:val="NormalWeb"/>
        <w:spacing w:before="0" w:beforeAutospacing="0" w:after="0" w:afterAutospacing="0" w:line="480" w:lineRule="auto"/>
        <w:ind w:firstLine="720"/>
        <w:rPr>
          <w:rFonts w:ascii="Times" w:hAnsi="Times"/>
          <w:color w:val="0E101A"/>
        </w:rPr>
      </w:pPr>
      <w:r w:rsidRPr="00B92BCC">
        <w:rPr>
          <w:rFonts w:ascii="Times" w:hAnsi="Times"/>
          <w:color w:val="0E101A"/>
        </w:rPr>
        <w:t>As an intertidal crustacean, the genus </w:t>
      </w:r>
      <w:r w:rsidRPr="00B92BCC">
        <w:rPr>
          <w:rStyle w:val="Emphasis"/>
          <w:rFonts w:ascii="Times" w:hAnsi="Times"/>
          <w:color w:val="0E101A"/>
        </w:rPr>
        <w:t>Idotea are</w:t>
      </w:r>
      <w:r w:rsidRPr="00B92BCC">
        <w:rPr>
          <w:rFonts w:ascii="Times" w:hAnsi="Times"/>
          <w:color w:val="0E101A"/>
        </w:rPr>
        <w:t xml:space="preserve"> well adapted to life in the intertidal (Hultgren &amp; </w:t>
      </w:r>
      <w:proofErr w:type="spellStart"/>
      <w:r w:rsidRPr="00B92BCC">
        <w:rPr>
          <w:rFonts w:ascii="Times" w:hAnsi="Times"/>
          <w:color w:val="0E101A"/>
        </w:rPr>
        <w:t>Mittelstaedt</w:t>
      </w:r>
      <w:proofErr w:type="spellEnd"/>
      <w:r w:rsidRPr="00B92BCC">
        <w:rPr>
          <w:rFonts w:ascii="Times" w:hAnsi="Times"/>
          <w:color w:val="0E101A"/>
        </w:rPr>
        <w:t xml:space="preserve">, 2015; </w:t>
      </w:r>
      <w:proofErr w:type="spellStart"/>
      <w:r w:rsidRPr="00B92BCC">
        <w:rPr>
          <w:rFonts w:ascii="Times" w:hAnsi="Times"/>
          <w:color w:val="0E101A"/>
        </w:rPr>
        <w:t>Starko</w:t>
      </w:r>
      <w:proofErr w:type="spellEnd"/>
      <w:r w:rsidRPr="00B92BCC">
        <w:rPr>
          <w:rFonts w:ascii="Times" w:hAnsi="Times"/>
          <w:color w:val="0E101A"/>
        </w:rPr>
        <w:t xml:space="preserve"> et al., 2019; </w:t>
      </w:r>
      <w:proofErr w:type="spellStart"/>
      <w:r w:rsidRPr="00B92BCC">
        <w:rPr>
          <w:rFonts w:ascii="Times" w:hAnsi="Times"/>
          <w:color w:val="0E101A"/>
        </w:rPr>
        <w:t>Wethey</w:t>
      </w:r>
      <w:proofErr w:type="spellEnd"/>
      <w:r w:rsidRPr="00B92BCC">
        <w:rPr>
          <w:rFonts w:ascii="Times" w:hAnsi="Times"/>
          <w:color w:val="0E101A"/>
        </w:rPr>
        <w:t xml:space="preserve"> &amp; </w:t>
      </w:r>
      <w:proofErr w:type="spellStart"/>
      <w:r w:rsidRPr="00B92BCC">
        <w:rPr>
          <w:rFonts w:ascii="Times" w:hAnsi="Times"/>
          <w:color w:val="0E101A"/>
        </w:rPr>
        <w:t>Woodin</w:t>
      </w:r>
      <w:proofErr w:type="spellEnd"/>
      <w:r w:rsidRPr="00B92BCC">
        <w:rPr>
          <w:rFonts w:ascii="Times" w:hAnsi="Times"/>
          <w:color w:val="0E101A"/>
        </w:rPr>
        <w:t xml:space="preserve">, 2008). With adaptations such as lipid storage and plastic physiology, these herbivores may be well-equipped to face some </w:t>
      </w:r>
      <w:r w:rsidRPr="00B92BCC">
        <w:rPr>
          <w:rFonts w:ascii="Times" w:hAnsi="Times"/>
          <w:color w:val="0E101A"/>
        </w:rPr>
        <w:lastRenderedPageBreak/>
        <w:t>of the challenges posed by climate change. However, ocean acidification still poses a threat - reducing survival rates, genetic diversity, and overall immunocompetence (</w:t>
      </w:r>
      <w:proofErr w:type="spellStart"/>
      <w:r w:rsidRPr="00B92BCC">
        <w:rPr>
          <w:rFonts w:ascii="Times" w:hAnsi="Times"/>
          <w:color w:val="0E101A"/>
        </w:rPr>
        <w:t>Rugiu</w:t>
      </w:r>
      <w:proofErr w:type="spellEnd"/>
      <w:r w:rsidRPr="00B92BCC">
        <w:rPr>
          <w:rFonts w:ascii="Times" w:hAnsi="Times"/>
          <w:color w:val="0E101A"/>
        </w:rPr>
        <w:t xml:space="preserve"> et al., 2021; Wood et al., 2014; Roth et al., 2010).</w:t>
      </w:r>
    </w:p>
    <w:p w14:paraId="7E4F1FF5" w14:textId="77777777" w:rsidR="00740802" w:rsidRPr="00601804" w:rsidRDefault="00740802" w:rsidP="00740802">
      <w:pPr>
        <w:pStyle w:val="NormalWeb"/>
        <w:spacing w:before="0" w:beforeAutospacing="0" w:after="0" w:afterAutospacing="0" w:line="480" w:lineRule="auto"/>
        <w:ind w:firstLine="720"/>
        <w:rPr>
          <w:rFonts w:ascii="Times" w:hAnsi="Times"/>
        </w:rPr>
      </w:pPr>
      <w:r w:rsidRPr="00601804">
        <w:rPr>
          <w:rFonts w:ascii="Times" w:hAnsi="Times"/>
          <w:color w:val="0E101A"/>
        </w:rPr>
        <w:t>Furthermore,</w:t>
      </w:r>
      <w:r w:rsidRPr="00601804">
        <w:rPr>
          <w:rFonts w:ascii="Times" w:hAnsi="Times"/>
          <w:i/>
          <w:iCs/>
          <w:color w:val="0E101A"/>
        </w:rPr>
        <w:t xml:space="preserve"> Idotea </w:t>
      </w:r>
      <w:r w:rsidRPr="00601804">
        <w:rPr>
          <w:rFonts w:ascii="Times" w:hAnsi="Times"/>
          <w:color w:val="0E101A"/>
        </w:rPr>
        <w:t>are</w:t>
      </w:r>
      <w:r w:rsidRPr="00601804">
        <w:rPr>
          <w:rFonts w:ascii="Times" w:hAnsi="Times"/>
        </w:rPr>
        <w:t> ecologically important mesograzers that influence the structure of intertidal communities (</w:t>
      </w:r>
      <w:proofErr w:type="spellStart"/>
      <w:r w:rsidRPr="00601804">
        <w:rPr>
          <w:rFonts w:ascii="Times" w:hAnsi="Times"/>
        </w:rPr>
        <w:t>Jaschinski</w:t>
      </w:r>
      <w:proofErr w:type="spellEnd"/>
      <w:r w:rsidRPr="00601804">
        <w:rPr>
          <w:rFonts w:ascii="Times" w:hAnsi="Times"/>
        </w:rPr>
        <w:t xml:space="preserve"> &amp; Sommer, 2008). A sudden plummet in the abundance of </w:t>
      </w:r>
      <w:r w:rsidRPr="00601804">
        <w:rPr>
          <w:rFonts w:ascii="Times" w:hAnsi="Times"/>
          <w:i/>
          <w:iCs/>
          <w:color w:val="0E101A"/>
        </w:rPr>
        <w:t>Idotea</w:t>
      </w:r>
      <w:r w:rsidRPr="00601804">
        <w:rPr>
          <w:rFonts w:ascii="Times" w:hAnsi="Times"/>
        </w:rPr>
        <w:t> due to increasing effects of climate change may then result in the restructuring of current intertidal communities (</w:t>
      </w:r>
      <w:proofErr w:type="spellStart"/>
      <w:r w:rsidRPr="00601804">
        <w:rPr>
          <w:rFonts w:ascii="Times" w:hAnsi="Times"/>
        </w:rPr>
        <w:t>Engkvist</w:t>
      </w:r>
      <w:proofErr w:type="spellEnd"/>
      <w:r w:rsidRPr="00601804">
        <w:rPr>
          <w:rFonts w:ascii="Times" w:hAnsi="Times"/>
        </w:rPr>
        <w:t xml:space="preserve"> et al., 2000; Gonzalez &amp; </w:t>
      </w:r>
      <w:proofErr w:type="spellStart"/>
      <w:r w:rsidRPr="00601804">
        <w:rPr>
          <w:rFonts w:ascii="Times" w:hAnsi="Times"/>
        </w:rPr>
        <w:t>Biddanda</w:t>
      </w:r>
      <w:proofErr w:type="spellEnd"/>
      <w:r w:rsidRPr="00601804">
        <w:rPr>
          <w:rFonts w:ascii="Times" w:hAnsi="Times"/>
        </w:rPr>
        <w:t xml:space="preserve">, 1990; </w:t>
      </w:r>
      <w:proofErr w:type="spellStart"/>
      <w:r w:rsidRPr="00601804">
        <w:rPr>
          <w:rFonts w:ascii="Times" w:hAnsi="Times"/>
        </w:rPr>
        <w:t>Boström</w:t>
      </w:r>
      <w:proofErr w:type="spellEnd"/>
      <w:r w:rsidRPr="00601804">
        <w:rPr>
          <w:rFonts w:ascii="Times" w:hAnsi="Times"/>
        </w:rPr>
        <w:t xml:space="preserve"> &amp; Mattila, 1999). Because of the ecological importance of </w:t>
      </w:r>
      <w:r w:rsidRPr="00601804">
        <w:rPr>
          <w:rFonts w:ascii="Times" w:hAnsi="Times"/>
          <w:i/>
          <w:iCs/>
          <w:color w:val="0E101A"/>
        </w:rPr>
        <w:t>Idotea</w:t>
      </w:r>
      <w:r w:rsidRPr="00601804">
        <w:rPr>
          <w:rFonts w:ascii="Times" w:hAnsi="Times"/>
        </w:rPr>
        <w:t xml:space="preserve">, we must better understand what influences their abundance and distribution not just across San Juan Island but also globally to predict future implications of climate change on the structuring of intertidal communities (Hultgren &amp; </w:t>
      </w:r>
      <w:proofErr w:type="spellStart"/>
      <w:r w:rsidRPr="00601804">
        <w:rPr>
          <w:rFonts w:ascii="Times" w:hAnsi="Times"/>
        </w:rPr>
        <w:t>Mittelstaedt</w:t>
      </w:r>
      <w:proofErr w:type="spellEnd"/>
      <w:r w:rsidRPr="00601804">
        <w:rPr>
          <w:rFonts w:ascii="Times" w:hAnsi="Times"/>
        </w:rPr>
        <w:t>, 2015). </w:t>
      </w:r>
    </w:p>
    <w:p w14:paraId="6F20F899" w14:textId="77777777" w:rsidR="00740802" w:rsidRPr="00B92BCC" w:rsidRDefault="00740802" w:rsidP="00740802">
      <w:pPr>
        <w:spacing w:line="480" w:lineRule="auto"/>
        <w:rPr>
          <w:rFonts w:ascii="Times" w:hAnsi="Times"/>
          <w:b/>
          <w:bCs/>
          <w:color w:val="0E101A"/>
        </w:rPr>
      </w:pPr>
    </w:p>
    <w:p w14:paraId="5EEDF1A1" w14:textId="77777777" w:rsidR="00740802" w:rsidRPr="00B92BCC" w:rsidRDefault="00740802" w:rsidP="00740802">
      <w:pPr>
        <w:spacing w:line="480" w:lineRule="auto"/>
        <w:rPr>
          <w:rFonts w:ascii="Times" w:hAnsi="Times"/>
        </w:rPr>
      </w:pPr>
      <w:r w:rsidRPr="00B92BCC">
        <w:rPr>
          <w:rFonts w:ascii="Times" w:hAnsi="Times"/>
          <w:b/>
          <w:bCs/>
          <w:color w:val="0E101A"/>
        </w:rPr>
        <w:t>ACKNOWLEDGEMENTS</w:t>
      </w:r>
    </w:p>
    <w:p w14:paraId="695B84A1" w14:textId="77777777" w:rsidR="00740802" w:rsidRPr="00740802" w:rsidRDefault="00740802" w:rsidP="00740802">
      <w:pPr>
        <w:pStyle w:val="NormalWeb"/>
        <w:spacing w:before="0" w:beforeAutospacing="0" w:after="0" w:afterAutospacing="0" w:line="480" w:lineRule="auto"/>
        <w:rPr>
          <w:rFonts w:ascii="Times" w:hAnsi="Times"/>
          <w:color w:val="0E101A"/>
        </w:rPr>
      </w:pPr>
      <w:r w:rsidRPr="00740802">
        <w:rPr>
          <w:rFonts w:ascii="Times" w:hAnsi="Times"/>
          <w:color w:val="0E101A"/>
        </w:rPr>
        <w:t xml:space="preserve">Firstly, I would like to thank Hanna </w:t>
      </w:r>
      <w:proofErr w:type="spellStart"/>
      <w:r w:rsidRPr="00740802">
        <w:rPr>
          <w:rFonts w:ascii="Times" w:hAnsi="Times"/>
          <w:color w:val="0E101A"/>
        </w:rPr>
        <w:t>Zulmuthi</w:t>
      </w:r>
      <w:proofErr w:type="spellEnd"/>
      <w:r w:rsidRPr="00740802">
        <w:rPr>
          <w:rFonts w:ascii="Times" w:hAnsi="Times"/>
          <w:color w:val="0E101A"/>
        </w:rPr>
        <w:t xml:space="preserve"> for making this project enjoyable with her support and humor during data collection and analyses. Throughout this project, thank you to Terrie Klinger for her invaluable advice, assistance, and patience. Thank you, Joe Dupree, for your aid in analyses and coding. Thank you to Megan </w:t>
      </w:r>
      <w:proofErr w:type="spellStart"/>
      <w:r w:rsidRPr="00740802">
        <w:rPr>
          <w:rFonts w:ascii="Times" w:hAnsi="Times"/>
          <w:color w:val="0E101A"/>
        </w:rPr>
        <w:t>Dethier</w:t>
      </w:r>
      <w:proofErr w:type="spellEnd"/>
      <w:r w:rsidRPr="00740802">
        <w:rPr>
          <w:rFonts w:ascii="Times" w:hAnsi="Times"/>
          <w:color w:val="0E101A"/>
        </w:rPr>
        <w:t xml:space="preserve"> for </w:t>
      </w:r>
      <w:r w:rsidRPr="00B92BCC">
        <w:rPr>
          <w:rFonts w:ascii="Times" w:hAnsi="Times"/>
          <w:color w:val="0E101A"/>
        </w:rPr>
        <w:t>helping</w:t>
      </w:r>
      <w:r w:rsidRPr="00740802">
        <w:rPr>
          <w:rFonts w:ascii="Times" w:hAnsi="Times"/>
          <w:color w:val="0E101A"/>
        </w:rPr>
        <w:t xml:space="preserve"> us </w:t>
      </w:r>
      <w:r w:rsidRPr="00B92BCC">
        <w:rPr>
          <w:rFonts w:ascii="Times" w:hAnsi="Times"/>
          <w:color w:val="0E101A"/>
        </w:rPr>
        <w:t xml:space="preserve">develop </w:t>
      </w:r>
      <w:r w:rsidRPr="00740802">
        <w:rPr>
          <w:rFonts w:ascii="Times" w:hAnsi="Times"/>
          <w:color w:val="0E101A"/>
        </w:rPr>
        <w:t xml:space="preserve">the project </w:t>
      </w:r>
      <w:r w:rsidRPr="00B92BCC">
        <w:rPr>
          <w:rFonts w:ascii="Times" w:hAnsi="Times"/>
          <w:color w:val="0E101A"/>
        </w:rPr>
        <w:t>question</w:t>
      </w:r>
      <w:r w:rsidRPr="00740802">
        <w:rPr>
          <w:rFonts w:ascii="Times" w:hAnsi="Times"/>
          <w:color w:val="0E101A"/>
        </w:rPr>
        <w:t>.</w:t>
      </w:r>
    </w:p>
    <w:p w14:paraId="76FBF7D7" w14:textId="77777777" w:rsidR="00740802" w:rsidRPr="00740802" w:rsidRDefault="00740802" w:rsidP="00740802">
      <w:pPr>
        <w:pStyle w:val="NormalWeb"/>
        <w:spacing w:before="0" w:beforeAutospacing="0" w:after="0" w:afterAutospacing="0" w:line="480" w:lineRule="auto"/>
        <w:rPr>
          <w:rFonts w:ascii="Times" w:hAnsi="Times"/>
          <w:color w:val="0E101A"/>
        </w:rPr>
      </w:pPr>
      <w:r w:rsidRPr="00740802">
        <w:rPr>
          <w:rStyle w:val="Strong"/>
          <w:rFonts w:ascii="Times" w:hAnsi="Times"/>
          <w:color w:val="0E101A"/>
        </w:rPr>
        <w:t> </w:t>
      </w:r>
    </w:p>
    <w:p w14:paraId="3B5FEDC4" w14:textId="77777777" w:rsidR="00740802" w:rsidRPr="00B92BCC" w:rsidRDefault="00740802" w:rsidP="00740802">
      <w:pPr>
        <w:spacing w:line="480" w:lineRule="auto"/>
        <w:rPr>
          <w:rFonts w:ascii="Times" w:hAnsi="Times"/>
          <w:b/>
          <w:bCs/>
          <w:color w:val="0E101A"/>
        </w:rPr>
      </w:pPr>
      <w:r w:rsidRPr="00B92BCC">
        <w:rPr>
          <w:rFonts w:ascii="Times" w:hAnsi="Times"/>
          <w:b/>
          <w:bCs/>
          <w:color w:val="0E101A"/>
        </w:rPr>
        <w:br w:type="page"/>
      </w:r>
    </w:p>
    <w:p w14:paraId="6A313904" w14:textId="77777777" w:rsidR="00740802" w:rsidRPr="00B92BCC" w:rsidRDefault="00740802" w:rsidP="00740802">
      <w:pPr>
        <w:spacing w:line="480" w:lineRule="auto"/>
        <w:rPr>
          <w:rFonts w:ascii="Times" w:hAnsi="Times"/>
          <w:b/>
          <w:bCs/>
          <w:color w:val="0E101A"/>
        </w:rPr>
      </w:pPr>
      <w:r w:rsidRPr="00B92BCC">
        <w:rPr>
          <w:rFonts w:ascii="Times" w:hAnsi="Times"/>
          <w:b/>
          <w:bCs/>
          <w:color w:val="0E101A"/>
        </w:rPr>
        <w:lastRenderedPageBreak/>
        <w:t>TABLES AND FIGURES</w:t>
      </w:r>
    </w:p>
    <w:p w14:paraId="7D652CDC" w14:textId="77777777" w:rsidR="00740802" w:rsidRPr="00B92BCC" w:rsidRDefault="00740802" w:rsidP="00740802">
      <w:pPr>
        <w:spacing w:line="480" w:lineRule="auto"/>
        <w:rPr>
          <w:rFonts w:ascii="Times" w:hAnsi="Times"/>
          <w:color w:val="0E101A"/>
        </w:rPr>
      </w:pPr>
      <w:r w:rsidRPr="00B92BCC">
        <w:rPr>
          <w:rFonts w:ascii="Times" w:hAnsi="Times"/>
          <w:b/>
          <w:bCs/>
          <w:color w:val="0E101A"/>
        </w:rPr>
        <w:t>Table 1.</w:t>
      </w:r>
      <w:r w:rsidRPr="00B92BCC">
        <w:rPr>
          <w:rFonts w:ascii="Times" w:hAnsi="Times"/>
          <w:color w:val="0E101A"/>
        </w:rPr>
        <w:t xml:space="preserve"> The time researchers began surveying each transect and the tidal height associated with the transect.</w:t>
      </w:r>
    </w:p>
    <w:tbl>
      <w:tblPr>
        <w:tblW w:w="8720" w:type="dxa"/>
        <w:jc w:val="center"/>
        <w:tblLook w:val="04A0" w:firstRow="1" w:lastRow="0" w:firstColumn="1" w:lastColumn="0" w:noHBand="0" w:noVBand="1"/>
      </w:tblPr>
      <w:tblGrid>
        <w:gridCol w:w="1820"/>
        <w:gridCol w:w="1920"/>
        <w:gridCol w:w="1520"/>
        <w:gridCol w:w="1420"/>
        <w:gridCol w:w="2040"/>
      </w:tblGrid>
      <w:tr w:rsidR="00740802" w:rsidRPr="00B92BCC" w14:paraId="28FA885D" w14:textId="77777777" w:rsidTr="0096361D">
        <w:trPr>
          <w:trHeight w:val="320"/>
          <w:jc w:val="center"/>
        </w:trPr>
        <w:tc>
          <w:tcPr>
            <w:tcW w:w="1820" w:type="dxa"/>
            <w:tcBorders>
              <w:top w:val="nil"/>
              <w:left w:val="nil"/>
              <w:bottom w:val="single" w:sz="4" w:space="0" w:color="000000"/>
              <w:right w:val="nil"/>
            </w:tcBorders>
            <w:shd w:val="clear" w:color="auto" w:fill="auto"/>
            <w:noWrap/>
            <w:vAlign w:val="bottom"/>
            <w:hideMark/>
          </w:tcPr>
          <w:p w14:paraId="2D76EF08" w14:textId="77777777" w:rsidR="00740802" w:rsidRPr="00740802" w:rsidRDefault="00740802" w:rsidP="0096361D">
            <w:pPr>
              <w:rPr>
                <w:rFonts w:ascii="Times" w:hAnsi="Times" w:cs="Calibri"/>
                <w:color w:val="000000"/>
              </w:rPr>
            </w:pPr>
            <w:r w:rsidRPr="00740802">
              <w:rPr>
                <w:rFonts w:ascii="Times" w:hAnsi="Times" w:cs="Calibri"/>
                <w:color w:val="000000"/>
              </w:rPr>
              <w:t>Date</w:t>
            </w:r>
          </w:p>
        </w:tc>
        <w:tc>
          <w:tcPr>
            <w:tcW w:w="1920" w:type="dxa"/>
            <w:tcBorders>
              <w:top w:val="nil"/>
              <w:left w:val="nil"/>
              <w:bottom w:val="single" w:sz="4" w:space="0" w:color="000000"/>
              <w:right w:val="nil"/>
            </w:tcBorders>
            <w:shd w:val="clear" w:color="auto" w:fill="auto"/>
            <w:noWrap/>
            <w:vAlign w:val="bottom"/>
            <w:hideMark/>
          </w:tcPr>
          <w:p w14:paraId="46BCCA2A" w14:textId="77777777" w:rsidR="00740802" w:rsidRPr="00740802" w:rsidRDefault="00740802" w:rsidP="0096361D">
            <w:pPr>
              <w:rPr>
                <w:rFonts w:ascii="Times" w:hAnsi="Times" w:cs="Calibri"/>
                <w:color w:val="000000"/>
              </w:rPr>
            </w:pPr>
            <w:r w:rsidRPr="00740802">
              <w:rPr>
                <w:rFonts w:ascii="Times" w:hAnsi="Times" w:cs="Calibri"/>
                <w:color w:val="000000"/>
              </w:rPr>
              <w:t>Location</w:t>
            </w:r>
          </w:p>
        </w:tc>
        <w:tc>
          <w:tcPr>
            <w:tcW w:w="1520" w:type="dxa"/>
            <w:tcBorders>
              <w:top w:val="nil"/>
              <w:left w:val="nil"/>
              <w:bottom w:val="single" w:sz="4" w:space="0" w:color="000000"/>
              <w:right w:val="nil"/>
            </w:tcBorders>
            <w:shd w:val="clear" w:color="auto" w:fill="auto"/>
            <w:noWrap/>
            <w:vAlign w:val="bottom"/>
            <w:hideMark/>
          </w:tcPr>
          <w:p w14:paraId="53A4994E" w14:textId="77777777" w:rsidR="00740802" w:rsidRPr="00740802" w:rsidRDefault="00740802" w:rsidP="0096361D">
            <w:pPr>
              <w:rPr>
                <w:rFonts w:ascii="Times" w:hAnsi="Times" w:cs="Calibri"/>
                <w:color w:val="000000"/>
              </w:rPr>
            </w:pPr>
            <w:r w:rsidRPr="00740802">
              <w:rPr>
                <w:rFonts w:ascii="Times" w:hAnsi="Times" w:cs="Calibri"/>
                <w:color w:val="000000"/>
              </w:rPr>
              <w:t>Transect</w:t>
            </w:r>
          </w:p>
        </w:tc>
        <w:tc>
          <w:tcPr>
            <w:tcW w:w="1420" w:type="dxa"/>
            <w:tcBorders>
              <w:top w:val="nil"/>
              <w:left w:val="nil"/>
              <w:bottom w:val="single" w:sz="4" w:space="0" w:color="000000"/>
              <w:right w:val="nil"/>
            </w:tcBorders>
            <w:shd w:val="clear" w:color="auto" w:fill="auto"/>
            <w:noWrap/>
            <w:vAlign w:val="bottom"/>
            <w:hideMark/>
          </w:tcPr>
          <w:p w14:paraId="6C9A1C53" w14:textId="77777777" w:rsidR="00740802" w:rsidRPr="00740802" w:rsidRDefault="00740802" w:rsidP="0096361D">
            <w:pPr>
              <w:rPr>
                <w:rFonts w:ascii="Times" w:hAnsi="Times" w:cs="Calibri"/>
                <w:color w:val="000000"/>
              </w:rPr>
            </w:pPr>
            <w:r w:rsidRPr="00740802">
              <w:rPr>
                <w:rFonts w:ascii="Times" w:hAnsi="Times" w:cs="Calibri"/>
                <w:color w:val="000000"/>
              </w:rPr>
              <w:t>Time</w:t>
            </w:r>
          </w:p>
        </w:tc>
        <w:tc>
          <w:tcPr>
            <w:tcW w:w="2040" w:type="dxa"/>
            <w:tcBorders>
              <w:top w:val="nil"/>
              <w:left w:val="nil"/>
              <w:bottom w:val="single" w:sz="4" w:space="0" w:color="000000"/>
              <w:right w:val="nil"/>
            </w:tcBorders>
            <w:shd w:val="clear" w:color="auto" w:fill="auto"/>
            <w:noWrap/>
            <w:vAlign w:val="bottom"/>
            <w:hideMark/>
          </w:tcPr>
          <w:p w14:paraId="6F3D97EE" w14:textId="77777777" w:rsidR="00740802" w:rsidRPr="00740802" w:rsidRDefault="00740802" w:rsidP="0096361D">
            <w:pPr>
              <w:rPr>
                <w:rFonts w:ascii="Times" w:hAnsi="Times" w:cs="Calibri"/>
                <w:color w:val="000000"/>
              </w:rPr>
            </w:pPr>
            <w:r w:rsidRPr="00740802">
              <w:rPr>
                <w:rFonts w:ascii="Times" w:hAnsi="Times" w:cs="Calibri"/>
                <w:color w:val="000000"/>
              </w:rPr>
              <w:t>Tidal Height ('MLLW)</w:t>
            </w:r>
          </w:p>
        </w:tc>
      </w:tr>
      <w:tr w:rsidR="00740802" w:rsidRPr="00B92BCC" w14:paraId="39877E51"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2E4E17DA" w14:textId="77777777" w:rsidR="00740802" w:rsidRPr="00740802" w:rsidRDefault="00740802" w:rsidP="0096361D">
            <w:pPr>
              <w:rPr>
                <w:rFonts w:ascii="Times" w:hAnsi="Times" w:cs="Calibri"/>
                <w:color w:val="000000"/>
              </w:rPr>
            </w:pPr>
            <w:r w:rsidRPr="00740802">
              <w:rPr>
                <w:rFonts w:ascii="Times" w:hAnsi="Times" w:cs="Calibri"/>
                <w:color w:val="000000"/>
              </w:rPr>
              <w:t>16-May-22</w:t>
            </w:r>
          </w:p>
        </w:tc>
        <w:tc>
          <w:tcPr>
            <w:tcW w:w="1920" w:type="dxa"/>
            <w:tcBorders>
              <w:top w:val="nil"/>
              <w:left w:val="nil"/>
              <w:bottom w:val="nil"/>
              <w:right w:val="nil"/>
            </w:tcBorders>
            <w:shd w:val="clear" w:color="auto" w:fill="auto"/>
            <w:noWrap/>
            <w:vAlign w:val="bottom"/>
            <w:hideMark/>
          </w:tcPr>
          <w:p w14:paraId="04F5C54A" w14:textId="77777777" w:rsidR="00740802" w:rsidRPr="00740802" w:rsidRDefault="00740802" w:rsidP="0096361D">
            <w:pPr>
              <w:rPr>
                <w:rFonts w:ascii="Times" w:hAnsi="Times" w:cs="Calibri"/>
                <w:color w:val="000000"/>
              </w:rPr>
            </w:pPr>
            <w:r w:rsidRPr="00740802">
              <w:rPr>
                <w:rFonts w:ascii="Times" w:hAnsi="Times" w:cs="Calibri"/>
                <w:color w:val="000000"/>
              </w:rPr>
              <w:t>Third Lagoon</w:t>
            </w:r>
          </w:p>
        </w:tc>
        <w:tc>
          <w:tcPr>
            <w:tcW w:w="1520" w:type="dxa"/>
            <w:tcBorders>
              <w:top w:val="nil"/>
              <w:left w:val="nil"/>
              <w:bottom w:val="nil"/>
              <w:right w:val="nil"/>
            </w:tcBorders>
            <w:shd w:val="clear" w:color="auto" w:fill="auto"/>
            <w:noWrap/>
            <w:vAlign w:val="bottom"/>
            <w:hideMark/>
          </w:tcPr>
          <w:p w14:paraId="639E591C" w14:textId="77777777" w:rsidR="00740802" w:rsidRPr="00740802" w:rsidRDefault="00740802" w:rsidP="0096361D">
            <w:pPr>
              <w:rPr>
                <w:rFonts w:ascii="Times" w:hAnsi="Times" w:cs="Calibri"/>
                <w:color w:val="000000"/>
              </w:rPr>
            </w:pPr>
            <w:r w:rsidRPr="00740802">
              <w:rPr>
                <w:rFonts w:ascii="Times" w:hAnsi="Times" w:cs="Calibri"/>
                <w:color w:val="000000"/>
              </w:rPr>
              <w:t>Low</w:t>
            </w:r>
          </w:p>
        </w:tc>
        <w:tc>
          <w:tcPr>
            <w:tcW w:w="1420" w:type="dxa"/>
            <w:tcBorders>
              <w:top w:val="nil"/>
              <w:left w:val="nil"/>
              <w:bottom w:val="nil"/>
              <w:right w:val="nil"/>
            </w:tcBorders>
            <w:shd w:val="clear" w:color="auto" w:fill="auto"/>
            <w:noWrap/>
            <w:vAlign w:val="bottom"/>
            <w:hideMark/>
          </w:tcPr>
          <w:p w14:paraId="4CCD6DF9" w14:textId="77777777" w:rsidR="00740802" w:rsidRPr="00740802" w:rsidRDefault="00740802" w:rsidP="0096361D">
            <w:pPr>
              <w:rPr>
                <w:rFonts w:ascii="Times" w:hAnsi="Times" w:cs="Calibri"/>
                <w:color w:val="000000"/>
              </w:rPr>
            </w:pPr>
            <w:r w:rsidRPr="00740802">
              <w:rPr>
                <w:rFonts w:ascii="Times" w:hAnsi="Times" w:cs="Calibri"/>
                <w:color w:val="000000"/>
              </w:rPr>
              <w:t>9:28 AM</w:t>
            </w:r>
          </w:p>
        </w:tc>
        <w:tc>
          <w:tcPr>
            <w:tcW w:w="2040" w:type="dxa"/>
            <w:tcBorders>
              <w:top w:val="nil"/>
              <w:left w:val="nil"/>
              <w:bottom w:val="nil"/>
              <w:right w:val="nil"/>
            </w:tcBorders>
            <w:shd w:val="clear" w:color="auto" w:fill="auto"/>
            <w:noWrap/>
            <w:vAlign w:val="bottom"/>
            <w:hideMark/>
          </w:tcPr>
          <w:p w14:paraId="0000CB64" w14:textId="77777777" w:rsidR="00740802" w:rsidRPr="00740802" w:rsidRDefault="00740802" w:rsidP="0096361D">
            <w:pPr>
              <w:jc w:val="right"/>
              <w:rPr>
                <w:rFonts w:ascii="Times" w:hAnsi="Times" w:cs="Calibri"/>
                <w:color w:val="000000"/>
              </w:rPr>
            </w:pPr>
            <w:r w:rsidRPr="00740802">
              <w:rPr>
                <w:rFonts w:ascii="Times" w:hAnsi="Times" w:cs="Calibri"/>
                <w:color w:val="000000"/>
              </w:rPr>
              <w:t>-2</w:t>
            </w:r>
          </w:p>
        </w:tc>
      </w:tr>
      <w:tr w:rsidR="00740802" w:rsidRPr="00B92BCC" w14:paraId="568225F9"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1E05ABBE" w14:textId="77777777" w:rsidR="00740802" w:rsidRPr="00740802" w:rsidRDefault="00740802" w:rsidP="0096361D">
            <w:pPr>
              <w:rPr>
                <w:rFonts w:ascii="Times" w:hAnsi="Times" w:cs="Calibri"/>
                <w:color w:val="000000"/>
              </w:rPr>
            </w:pPr>
            <w:r w:rsidRPr="00740802">
              <w:rPr>
                <w:rFonts w:ascii="Times" w:hAnsi="Times" w:cs="Calibri"/>
                <w:color w:val="000000"/>
              </w:rPr>
              <w:t>16-May-22</w:t>
            </w:r>
          </w:p>
        </w:tc>
        <w:tc>
          <w:tcPr>
            <w:tcW w:w="1920" w:type="dxa"/>
            <w:tcBorders>
              <w:top w:val="nil"/>
              <w:left w:val="nil"/>
              <w:bottom w:val="nil"/>
              <w:right w:val="nil"/>
            </w:tcBorders>
            <w:shd w:val="clear" w:color="auto" w:fill="auto"/>
            <w:noWrap/>
            <w:vAlign w:val="bottom"/>
            <w:hideMark/>
          </w:tcPr>
          <w:p w14:paraId="5A9A4FC5" w14:textId="77777777" w:rsidR="00740802" w:rsidRPr="00740802" w:rsidRDefault="00740802" w:rsidP="0096361D">
            <w:pPr>
              <w:rPr>
                <w:rFonts w:ascii="Times" w:hAnsi="Times" w:cs="Calibri"/>
                <w:color w:val="000000"/>
              </w:rPr>
            </w:pPr>
            <w:r w:rsidRPr="00740802">
              <w:rPr>
                <w:rFonts w:ascii="Times" w:hAnsi="Times" w:cs="Calibri"/>
                <w:color w:val="000000"/>
              </w:rPr>
              <w:t>Third Lagoon</w:t>
            </w:r>
          </w:p>
        </w:tc>
        <w:tc>
          <w:tcPr>
            <w:tcW w:w="1520" w:type="dxa"/>
            <w:tcBorders>
              <w:top w:val="nil"/>
              <w:left w:val="nil"/>
              <w:bottom w:val="nil"/>
              <w:right w:val="nil"/>
            </w:tcBorders>
            <w:shd w:val="clear" w:color="auto" w:fill="auto"/>
            <w:noWrap/>
            <w:vAlign w:val="bottom"/>
            <w:hideMark/>
          </w:tcPr>
          <w:p w14:paraId="6CF317CC" w14:textId="77777777" w:rsidR="00740802" w:rsidRPr="00740802" w:rsidRDefault="00740802" w:rsidP="0096361D">
            <w:pPr>
              <w:rPr>
                <w:rFonts w:ascii="Times" w:hAnsi="Times" w:cs="Calibri"/>
                <w:color w:val="000000"/>
              </w:rPr>
            </w:pPr>
            <w:r w:rsidRPr="00740802">
              <w:rPr>
                <w:rFonts w:ascii="Times" w:hAnsi="Times" w:cs="Calibri"/>
                <w:color w:val="000000"/>
              </w:rPr>
              <w:t>Medium</w:t>
            </w:r>
          </w:p>
        </w:tc>
        <w:tc>
          <w:tcPr>
            <w:tcW w:w="1420" w:type="dxa"/>
            <w:tcBorders>
              <w:top w:val="nil"/>
              <w:left w:val="nil"/>
              <w:bottom w:val="nil"/>
              <w:right w:val="nil"/>
            </w:tcBorders>
            <w:shd w:val="clear" w:color="auto" w:fill="auto"/>
            <w:noWrap/>
            <w:vAlign w:val="bottom"/>
            <w:hideMark/>
          </w:tcPr>
          <w:p w14:paraId="44E4E824" w14:textId="77777777" w:rsidR="00740802" w:rsidRPr="00740802" w:rsidRDefault="00740802" w:rsidP="0096361D">
            <w:pPr>
              <w:rPr>
                <w:rFonts w:ascii="Times" w:hAnsi="Times" w:cs="Calibri"/>
                <w:color w:val="000000"/>
              </w:rPr>
            </w:pPr>
            <w:r w:rsidRPr="00740802">
              <w:rPr>
                <w:rFonts w:ascii="Times" w:hAnsi="Times" w:cs="Calibri"/>
                <w:color w:val="000000"/>
              </w:rPr>
              <w:t>10:16 AM</w:t>
            </w:r>
          </w:p>
        </w:tc>
        <w:tc>
          <w:tcPr>
            <w:tcW w:w="2040" w:type="dxa"/>
            <w:tcBorders>
              <w:top w:val="nil"/>
              <w:left w:val="nil"/>
              <w:bottom w:val="nil"/>
              <w:right w:val="nil"/>
            </w:tcBorders>
            <w:shd w:val="clear" w:color="auto" w:fill="auto"/>
            <w:noWrap/>
            <w:vAlign w:val="bottom"/>
            <w:hideMark/>
          </w:tcPr>
          <w:p w14:paraId="1CAA90CF" w14:textId="77777777" w:rsidR="00740802" w:rsidRPr="00740802" w:rsidRDefault="00740802" w:rsidP="0096361D">
            <w:pPr>
              <w:jc w:val="right"/>
              <w:rPr>
                <w:rFonts w:ascii="Times" w:hAnsi="Times" w:cs="Calibri"/>
                <w:color w:val="000000"/>
              </w:rPr>
            </w:pPr>
            <w:r w:rsidRPr="00740802">
              <w:rPr>
                <w:rFonts w:ascii="Times" w:hAnsi="Times" w:cs="Calibri"/>
                <w:color w:val="000000"/>
              </w:rPr>
              <w:t>-2.5</w:t>
            </w:r>
          </w:p>
        </w:tc>
      </w:tr>
      <w:tr w:rsidR="00740802" w:rsidRPr="00B92BCC" w14:paraId="2024ED89" w14:textId="77777777" w:rsidTr="0096361D">
        <w:trPr>
          <w:trHeight w:val="320"/>
          <w:jc w:val="center"/>
        </w:trPr>
        <w:tc>
          <w:tcPr>
            <w:tcW w:w="1820" w:type="dxa"/>
            <w:tcBorders>
              <w:top w:val="nil"/>
              <w:left w:val="nil"/>
              <w:bottom w:val="single" w:sz="4" w:space="0" w:color="AEAAAA"/>
              <w:right w:val="nil"/>
            </w:tcBorders>
            <w:shd w:val="clear" w:color="auto" w:fill="auto"/>
            <w:noWrap/>
            <w:vAlign w:val="bottom"/>
            <w:hideMark/>
          </w:tcPr>
          <w:p w14:paraId="59F793F4" w14:textId="77777777" w:rsidR="00740802" w:rsidRPr="00740802" w:rsidRDefault="00740802" w:rsidP="0096361D">
            <w:pPr>
              <w:rPr>
                <w:rFonts w:ascii="Times" w:hAnsi="Times" w:cs="Calibri"/>
                <w:color w:val="000000"/>
              </w:rPr>
            </w:pPr>
            <w:r w:rsidRPr="00740802">
              <w:rPr>
                <w:rFonts w:ascii="Times" w:hAnsi="Times" w:cs="Calibri"/>
                <w:color w:val="000000"/>
              </w:rPr>
              <w:t>16-May-22</w:t>
            </w:r>
          </w:p>
        </w:tc>
        <w:tc>
          <w:tcPr>
            <w:tcW w:w="1920" w:type="dxa"/>
            <w:tcBorders>
              <w:top w:val="nil"/>
              <w:left w:val="nil"/>
              <w:bottom w:val="single" w:sz="4" w:space="0" w:color="AEAAAA"/>
              <w:right w:val="nil"/>
            </w:tcBorders>
            <w:shd w:val="clear" w:color="auto" w:fill="auto"/>
            <w:noWrap/>
            <w:vAlign w:val="bottom"/>
            <w:hideMark/>
          </w:tcPr>
          <w:p w14:paraId="09F3D0F5" w14:textId="77777777" w:rsidR="00740802" w:rsidRPr="00740802" w:rsidRDefault="00740802" w:rsidP="0096361D">
            <w:pPr>
              <w:rPr>
                <w:rFonts w:ascii="Times" w:hAnsi="Times" w:cs="Calibri"/>
                <w:color w:val="000000"/>
              </w:rPr>
            </w:pPr>
            <w:r w:rsidRPr="00740802">
              <w:rPr>
                <w:rFonts w:ascii="Times" w:hAnsi="Times" w:cs="Calibri"/>
                <w:color w:val="000000"/>
              </w:rPr>
              <w:t>Third Lagoon</w:t>
            </w:r>
          </w:p>
        </w:tc>
        <w:tc>
          <w:tcPr>
            <w:tcW w:w="1520" w:type="dxa"/>
            <w:tcBorders>
              <w:top w:val="nil"/>
              <w:left w:val="nil"/>
              <w:bottom w:val="single" w:sz="4" w:space="0" w:color="AEAAAA"/>
              <w:right w:val="nil"/>
            </w:tcBorders>
            <w:shd w:val="clear" w:color="auto" w:fill="auto"/>
            <w:noWrap/>
            <w:vAlign w:val="bottom"/>
            <w:hideMark/>
          </w:tcPr>
          <w:p w14:paraId="69A40E42" w14:textId="77777777" w:rsidR="00740802" w:rsidRPr="00740802" w:rsidRDefault="00740802" w:rsidP="0096361D">
            <w:pPr>
              <w:rPr>
                <w:rFonts w:ascii="Times" w:hAnsi="Times" w:cs="Calibri"/>
                <w:color w:val="000000"/>
              </w:rPr>
            </w:pPr>
            <w:r w:rsidRPr="00740802">
              <w:rPr>
                <w:rFonts w:ascii="Times" w:hAnsi="Times" w:cs="Calibri"/>
                <w:color w:val="000000"/>
              </w:rPr>
              <w:t>High</w:t>
            </w:r>
          </w:p>
        </w:tc>
        <w:tc>
          <w:tcPr>
            <w:tcW w:w="1420" w:type="dxa"/>
            <w:tcBorders>
              <w:top w:val="nil"/>
              <w:left w:val="nil"/>
              <w:bottom w:val="single" w:sz="4" w:space="0" w:color="AEAAAA"/>
              <w:right w:val="nil"/>
            </w:tcBorders>
            <w:shd w:val="clear" w:color="auto" w:fill="auto"/>
            <w:noWrap/>
            <w:vAlign w:val="bottom"/>
            <w:hideMark/>
          </w:tcPr>
          <w:p w14:paraId="55C3F036" w14:textId="77777777" w:rsidR="00740802" w:rsidRPr="00740802" w:rsidRDefault="00740802" w:rsidP="0096361D">
            <w:pPr>
              <w:rPr>
                <w:rFonts w:ascii="Times" w:hAnsi="Times" w:cs="Calibri"/>
                <w:color w:val="000000"/>
              </w:rPr>
            </w:pPr>
            <w:r w:rsidRPr="00740802">
              <w:rPr>
                <w:rFonts w:ascii="Times" w:hAnsi="Times" w:cs="Calibri"/>
                <w:color w:val="000000"/>
              </w:rPr>
              <w:t>10:51 AM</w:t>
            </w:r>
          </w:p>
        </w:tc>
        <w:tc>
          <w:tcPr>
            <w:tcW w:w="2040" w:type="dxa"/>
            <w:tcBorders>
              <w:top w:val="nil"/>
              <w:left w:val="nil"/>
              <w:bottom w:val="single" w:sz="4" w:space="0" w:color="AEAAAA"/>
              <w:right w:val="nil"/>
            </w:tcBorders>
            <w:shd w:val="clear" w:color="auto" w:fill="auto"/>
            <w:noWrap/>
            <w:vAlign w:val="bottom"/>
            <w:hideMark/>
          </w:tcPr>
          <w:p w14:paraId="58E33995" w14:textId="77777777" w:rsidR="00740802" w:rsidRPr="00740802" w:rsidRDefault="00740802" w:rsidP="0096361D">
            <w:pPr>
              <w:jc w:val="right"/>
              <w:rPr>
                <w:rFonts w:ascii="Times" w:hAnsi="Times" w:cs="Calibri"/>
                <w:color w:val="000000"/>
              </w:rPr>
            </w:pPr>
            <w:r w:rsidRPr="00740802">
              <w:rPr>
                <w:rFonts w:ascii="Times" w:hAnsi="Times" w:cs="Calibri"/>
                <w:color w:val="000000"/>
              </w:rPr>
              <w:t>-2.5</w:t>
            </w:r>
          </w:p>
        </w:tc>
      </w:tr>
      <w:tr w:rsidR="00740802" w:rsidRPr="00B92BCC" w14:paraId="1D1C8852"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43B96388" w14:textId="77777777" w:rsidR="00740802" w:rsidRPr="00740802" w:rsidRDefault="00740802" w:rsidP="0096361D">
            <w:pPr>
              <w:rPr>
                <w:rFonts w:ascii="Times" w:hAnsi="Times" w:cs="Calibri"/>
                <w:color w:val="000000"/>
              </w:rPr>
            </w:pPr>
            <w:r w:rsidRPr="00740802">
              <w:rPr>
                <w:rFonts w:ascii="Times" w:hAnsi="Times" w:cs="Calibri"/>
                <w:color w:val="000000"/>
              </w:rPr>
              <w:t>17-May-22</w:t>
            </w:r>
          </w:p>
        </w:tc>
        <w:tc>
          <w:tcPr>
            <w:tcW w:w="1920" w:type="dxa"/>
            <w:tcBorders>
              <w:top w:val="nil"/>
              <w:left w:val="nil"/>
              <w:bottom w:val="nil"/>
              <w:right w:val="nil"/>
            </w:tcBorders>
            <w:shd w:val="clear" w:color="auto" w:fill="auto"/>
            <w:noWrap/>
            <w:vAlign w:val="bottom"/>
            <w:hideMark/>
          </w:tcPr>
          <w:p w14:paraId="3A2C2C2D" w14:textId="77777777" w:rsidR="00740802" w:rsidRPr="00740802" w:rsidRDefault="00740802" w:rsidP="0096361D">
            <w:pPr>
              <w:rPr>
                <w:rFonts w:ascii="Times" w:hAnsi="Times" w:cs="Calibri"/>
                <w:color w:val="000000"/>
              </w:rPr>
            </w:pPr>
            <w:r w:rsidRPr="00740802">
              <w:rPr>
                <w:rFonts w:ascii="Times" w:hAnsi="Times" w:cs="Calibri"/>
                <w:color w:val="000000"/>
              </w:rPr>
              <w:t>Cattle Point</w:t>
            </w:r>
          </w:p>
        </w:tc>
        <w:tc>
          <w:tcPr>
            <w:tcW w:w="1520" w:type="dxa"/>
            <w:tcBorders>
              <w:top w:val="nil"/>
              <w:left w:val="nil"/>
              <w:bottom w:val="nil"/>
              <w:right w:val="nil"/>
            </w:tcBorders>
            <w:shd w:val="clear" w:color="auto" w:fill="auto"/>
            <w:noWrap/>
            <w:vAlign w:val="bottom"/>
            <w:hideMark/>
          </w:tcPr>
          <w:p w14:paraId="4BA79709" w14:textId="77777777" w:rsidR="00740802" w:rsidRPr="00740802" w:rsidRDefault="00740802" w:rsidP="0096361D">
            <w:pPr>
              <w:rPr>
                <w:rFonts w:ascii="Times" w:hAnsi="Times" w:cs="Calibri"/>
                <w:color w:val="000000"/>
              </w:rPr>
            </w:pPr>
            <w:r w:rsidRPr="00740802">
              <w:rPr>
                <w:rFonts w:ascii="Times" w:hAnsi="Times" w:cs="Calibri"/>
                <w:color w:val="000000"/>
              </w:rPr>
              <w:t>Low</w:t>
            </w:r>
          </w:p>
        </w:tc>
        <w:tc>
          <w:tcPr>
            <w:tcW w:w="1420" w:type="dxa"/>
            <w:tcBorders>
              <w:top w:val="nil"/>
              <w:left w:val="nil"/>
              <w:bottom w:val="nil"/>
              <w:right w:val="nil"/>
            </w:tcBorders>
            <w:shd w:val="clear" w:color="auto" w:fill="auto"/>
            <w:noWrap/>
            <w:vAlign w:val="bottom"/>
            <w:hideMark/>
          </w:tcPr>
          <w:p w14:paraId="775A0231" w14:textId="77777777" w:rsidR="00740802" w:rsidRPr="00740802" w:rsidRDefault="00740802" w:rsidP="0096361D">
            <w:pPr>
              <w:rPr>
                <w:rFonts w:ascii="Times" w:hAnsi="Times" w:cs="Calibri"/>
                <w:color w:val="000000"/>
              </w:rPr>
            </w:pPr>
            <w:r w:rsidRPr="00740802">
              <w:rPr>
                <w:rFonts w:ascii="Times" w:hAnsi="Times" w:cs="Calibri"/>
                <w:color w:val="000000"/>
              </w:rPr>
              <w:t>10:35 AM</w:t>
            </w:r>
          </w:p>
        </w:tc>
        <w:tc>
          <w:tcPr>
            <w:tcW w:w="2040" w:type="dxa"/>
            <w:tcBorders>
              <w:top w:val="nil"/>
              <w:left w:val="nil"/>
              <w:bottom w:val="nil"/>
              <w:right w:val="nil"/>
            </w:tcBorders>
            <w:shd w:val="clear" w:color="auto" w:fill="auto"/>
            <w:noWrap/>
            <w:vAlign w:val="bottom"/>
            <w:hideMark/>
          </w:tcPr>
          <w:p w14:paraId="53130E68" w14:textId="77777777" w:rsidR="00740802" w:rsidRPr="00740802" w:rsidRDefault="00740802" w:rsidP="0096361D">
            <w:pPr>
              <w:jc w:val="right"/>
              <w:rPr>
                <w:rFonts w:ascii="Times" w:hAnsi="Times" w:cs="Calibri"/>
                <w:color w:val="000000"/>
              </w:rPr>
            </w:pPr>
            <w:r w:rsidRPr="00740802">
              <w:rPr>
                <w:rFonts w:ascii="Times" w:hAnsi="Times" w:cs="Calibri"/>
                <w:color w:val="000000"/>
              </w:rPr>
              <w:t>-2.9</w:t>
            </w:r>
          </w:p>
        </w:tc>
      </w:tr>
      <w:tr w:rsidR="00740802" w:rsidRPr="00B92BCC" w14:paraId="1EB34A56"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6AA671C7" w14:textId="77777777" w:rsidR="00740802" w:rsidRPr="00740802" w:rsidRDefault="00740802" w:rsidP="0096361D">
            <w:pPr>
              <w:rPr>
                <w:rFonts w:ascii="Times" w:hAnsi="Times" w:cs="Calibri"/>
                <w:color w:val="000000"/>
              </w:rPr>
            </w:pPr>
            <w:r w:rsidRPr="00740802">
              <w:rPr>
                <w:rFonts w:ascii="Times" w:hAnsi="Times" w:cs="Calibri"/>
                <w:color w:val="000000"/>
              </w:rPr>
              <w:t>17-May-22</w:t>
            </w:r>
          </w:p>
        </w:tc>
        <w:tc>
          <w:tcPr>
            <w:tcW w:w="1920" w:type="dxa"/>
            <w:tcBorders>
              <w:top w:val="nil"/>
              <w:left w:val="nil"/>
              <w:bottom w:val="nil"/>
              <w:right w:val="nil"/>
            </w:tcBorders>
            <w:shd w:val="clear" w:color="auto" w:fill="auto"/>
            <w:noWrap/>
            <w:vAlign w:val="bottom"/>
            <w:hideMark/>
          </w:tcPr>
          <w:p w14:paraId="0E67BDC8" w14:textId="77777777" w:rsidR="00740802" w:rsidRPr="00740802" w:rsidRDefault="00740802" w:rsidP="0096361D">
            <w:pPr>
              <w:rPr>
                <w:rFonts w:ascii="Times" w:hAnsi="Times" w:cs="Calibri"/>
                <w:color w:val="000000"/>
              </w:rPr>
            </w:pPr>
            <w:r w:rsidRPr="00740802">
              <w:rPr>
                <w:rFonts w:ascii="Times" w:hAnsi="Times" w:cs="Calibri"/>
                <w:color w:val="000000"/>
              </w:rPr>
              <w:t>Cattle Point</w:t>
            </w:r>
          </w:p>
        </w:tc>
        <w:tc>
          <w:tcPr>
            <w:tcW w:w="1520" w:type="dxa"/>
            <w:tcBorders>
              <w:top w:val="nil"/>
              <w:left w:val="nil"/>
              <w:bottom w:val="nil"/>
              <w:right w:val="nil"/>
            </w:tcBorders>
            <w:shd w:val="clear" w:color="auto" w:fill="auto"/>
            <w:noWrap/>
            <w:vAlign w:val="bottom"/>
            <w:hideMark/>
          </w:tcPr>
          <w:p w14:paraId="3CE85701" w14:textId="77777777" w:rsidR="00740802" w:rsidRPr="00740802" w:rsidRDefault="00740802" w:rsidP="0096361D">
            <w:pPr>
              <w:rPr>
                <w:rFonts w:ascii="Times" w:hAnsi="Times" w:cs="Calibri"/>
                <w:color w:val="000000"/>
              </w:rPr>
            </w:pPr>
            <w:r w:rsidRPr="00740802">
              <w:rPr>
                <w:rFonts w:ascii="Times" w:hAnsi="Times" w:cs="Calibri"/>
                <w:color w:val="000000"/>
              </w:rPr>
              <w:t>Medium</w:t>
            </w:r>
          </w:p>
        </w:tc>
        <w:tc>
          <w:tcPr>
            <w:tcW w:w="1420" w:type="dxa"/>
            <w:tcBorders>
              <w:top w:val="nil"/>
              <w:left w:val="nil"/>
              <w:bottom w:val="nil"/>
              <w:right w:val="nil"/>
            </w:tcBorders>
            <w:shd w:val="clear" w:color="auto" w:fill="auto"/>
            <w:noWrap/>
            <w:vAlign w:val="bottom"/>
            <w:hideMark/>
          </w:tcPr>
          <w:p w14:paraId="385EA7CB" w14:textId="77777777" w:rsidR="00740802" w:rsidRPr="00740802" w:rsidRDefault="00740802" w:rsidP="0096361D">
            <w:pPr>
              <w:rPr>
                <w:rFonts w:ascii="Times" w:hAnsi="Times" w:cs="Calibri"/>
                <w:color w:val="000000"/>
              </w:rPr>
            </w:pPr>
            <w:r w:rsidRPr="00740802">
              <w:rPr>
                <w:rFonts w:ascii="Times" w:hAnsi="Times" w:cs="Calibri"/>
                <w:color w:val="000000"/>
              </w:rPr>
              <w:t>11:18 AM</w:t>
            </w:r>
          </w:p>
        </w:tc>
        <w:tc>
          <w:tcPr>
            <w:tcW w:w="2040" w:type="dxa"/>
            <w:tcBorders>
              <w:top w:val="nil"/>
              <w:left w:val="nil"/>
              <w:bottom w:val="nil"/>
              <w:right w:val="nil"/>
            </w:tcBorders>
            <w:shd w:val="clear" w:color="auto" w:fill="auto"/>
            <w:noWrap/>
            <w:vAlign w:val="bottom"/>
            <w:hideMark/>
          </w:tcPr>
          <w:p w14:paraId="2257D5D6" w14:textId="77777777" w:rsidR="00740802" w:rsidRPr="00740802" w:rsidRDefault="00740802" w:rsidP="0096361D">
            <w:pPr>
              <w:jc w:val="right"/>
              <w:rPr>
                <w:rFonts w:ascii="Times" w:hAnsi="Times" w:cs="Calibri"/>
                <w:color w:val="000000"/>
              </w:rPr>
            </w:pPr>
            <w:r w:rsidRPr="00740802">
              <w:rPr>
                <w:rFonts w:ascii="Times" w:hAnsi="Times" w:cs="Calibri"/>
                <w:color w:val="000000"/>
              </w:rPr>
              <w:t>-3.2</w:t>
            </w:r>
          </w:p>
        </w:tc>
      </w:tr>
      <w:tr w:rsidR="00740802" w:rsidRPr="00B92BCC" w14:paraId="4F15E1F2" w14:textId="77777777" w:rsidTr="0096361D">
        <w:trPr>
          <w:trHeight w:val="320"/>
          <w:jc w:val="center"/>
        </w:trPr>
        <w:tc>
          <w:tcPr>
            <w:tcW w:w="1820" w:type="dxa"/>
            <w:tcBorders>
              <w:top w:val="nil"/>
              <w:left w:val="nil"/>
              <w:bottom w:val="single" w:sz="4" w:space="0" w:color="AEAAAA"/>
              <w:right w:val="nil"/>
            </w:tcBorders>
            <w:shd w:val="clear" w:color="auto" w:fill="auto"/>
            <w:noWrap/>
            <w:vAlign w:val="bottom"/>
            <w:hideMark/>
          </w:tcPr>
          <w:p w14:paraId="5F3785AE" w14:textId="77777777" w:rsidR="00740802" w:rsidRPr="00740802" w:rsidRDefault="00740802" w:rsidP="0096361D">
            <w:pPr>
              <w:rPr>
                <w:rFonts w:ascii="Times" w:hAnsi="Times" w:cs="Calibri"/>
                <w:color w:val="000000"/>
              </w:rPr>
            </w:pPr>
            <w:r w:rsidRPr="00740802">
              <w:rPr>
                <w:rFonts w:ascii="Times" w:hAnsi="Times" w:cs="Calibri"/>
                <w:color w:val="000000"/>
              </w:rPr>
              <w:t>17-May-22</w:t>
            </w:r>
          </w:p>
        </w:tc>
        <w:tc>
          <w:tcPr>
            <w:tcW w:w="1920" w:type="dxa"/>
            <w:tcBorders>
              <w:top w:val="nil"/>
              <w:left w:val="nil"/>
              <w:bottom w:val="single" w:sz="4" w:space="0" w:color="AEAAAA"/>
              <w:right w:val="nil"/>
            </w:tcBorders>
            <w:shd w:val="clear" w:color="auto" w:fill="auto"/>
            <w:noWrap/>
            <w:vAlign w:val="bottom"/>
            <w:hideMark/>
          </w:tcPr>
          <w:p w14:paraId="70104624" w14:textId="77777777" w:rsidR="00740802" w:rsidRPr="00740802" w:rsidRDefault="00740802" w:rsidP="0096361D">
            <w:pPr>
              <w:rPr>
                <w:rFonts w:ascii="Times" w:hAnsi="Times" w:cs="Calibri"/>
                <w:color w:val="000000"/>
              </w:rPr>
            </w:pPr>
            <w:r w:rsidRPr="00740802">
              <w:rPr>
                <w:rFonts w:ascii="Times" w:hAnsi="Times" w:cs="Calibri"/>
                <w:color w:val="000000"/>
              </w:rPr>
              <w:t>Cattle Point</w:t>
            </w:r>
          </w:p>
        </w:tc>
        <w:tc>
          <w:tcPr>
            <w:tcW w:w="1520" w:type="dxa"/>
            <w:tcBorders>
              <w:top w:val="nil"/>
              <w:left w:val="nil"/>
              <w:bottom w:val="single" w:sz="4" w:space="0" w:color="AEAAAA"/>
              <w:right w:val="nil"/>
            </w:tcBorders>
            <w:shd w:val="clear" w:color="auto" w:fill="auto"/>
            <w:noWrap/>
            <w:vAlign w:val="bottom"/>
            <w:hideMark/>
          </w:tcPr>
          <w:p w14:paraId="3B5FBC6E" w14:textId="77777777" w:rsidR="00740802" w:rsidRPr="00740802" w:rsidRDefault="00740802" w:rsidP="0096361D">
            <w:pPr>
              <w:rPr>
                <w:rFonts w:ascii="Times" w:hAnsi="Times" w:cs="Calibri"/>
                <w:color w:val="000000"/>
              </w:rPr>
            </w:pPr>
            <w:r w:rsidRPr="00740802">
              <w:rPr>
                <w:rFonts w:ascii="Times" w:hAnsi="Times" w:cs="Calibri"/>
                <w:color w:val="000000"/>
              </w:rPr>
              <w:t>High</w:t>
            </w:r>
          </w:p>
        </w:tc>
        <w:tc>
          <w:tcPr>
            <w:tcW w:w="1420" w:type="dxa"/>
            <w:tcBorders>
              <w:top w:val="nil"/>
              <w:left w:val="nil"/>
              <w:bottom w:val="single" w:sz="4" w:space="0" w:color="AEAAAA"/>
              <w:right w:val="nil"/>
            </w:tcBorders>
            <w:shd w:val="clear" w:color="auto" w:fill="auto"/>
            <w:noWrap/>
            <w:vAlign w:val="bottom"/>
            <w:hideMark/>
          </w:tcPr>
          <w:p w14:paraId="62CC8A6C" w14:textId="77777777" w:rsidR="00740802" w:rsidRPr="00740802" w:rsidRDefault="00740802" w:rsidP="0096361D">
            <w:pPr>
              <w:rPr>
                <w:rFonts w:ascii="Times" w:hAnsi="Times" w:cs="Calibri"/>
                <w:color w:val="000000"/>
              </w:rPr>
            </w:pPr>
            <w:r w:rsidRPr="00740802">
              <w:rPr>
                <w:rFonts w:ascii="Times" w:hAnsi="Times" w:cs="Calibri"/>
                <w:color w:val="000000"/>
              </w:rPr>
              <w:t>11:50 AM</w:t>
            </w:r>
          </w:p>
        </w:tc>
        <w:tc>
          <w:tcPr>
            <w:tcW w:w="2040" w:type="dxa"/>
            <w:tcBorders>
              <w:top w:val="nil"/>
              <w:left w:val="nil"/>
              <w:bottom w:val="single" w:sz="4" w:space="0" w:color="AEAAAA"/>
              <w:right w:val="nil"/>
            </w:tcBorders>
            <w:shd w:val="clear" w:color="auto" w:fill="auto"/>
            <w:noWrap/>
            <w:vAlign w:val="bottom"/>
            <w:hideMark/>
          </w:tcPr>
          <w:p w14:paraId="5BE72F7E" w14:textId="77777777" w:rsidR="00740802" w:rsidRPr="00740802" w:rsidRDefault="00740802" w:rsidP="0096361D">
            <w:pPr>
              <w:jc w:val="right"/>
              <w:rPr>
                <w:rFonts w:ascii="Times" w:hAnsi="Times" w:cs="Calibri"/>
                <w:color w:val="000000"/>
              </w:rPr>
            </w:pPr>
            <w:r w:rsidRPr="00740802">
              <w:rPr>
                <w:rFonts w:ascii="Times" w:hAnsi="Times" w:cs="Calibri"/>
                <w:color w:val="000000"/>
              </w:rPr>
              <w:t>-3.1</w:t>
            </w:r>
          </w:p>
        </w:tc>
      </w:tr>
      <w:tr w:rsidR="00740802" w:rsidRPr="00B92BCC" w14:paraId="1B4E6D6E"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1589CD58" w14:textId="77777777" w:rsidR="00740802" w:rsidRPr="00740802" w:rsidRDefault="00740802" w:rsidP="0096361D">
            <w:pPr>
              <w:rPr>
                <w:rFonts w:ascii="Times" w:hAnsi="Times" w:cs="Calibri"/>
                <w:color w:val="000000"/>
              </w:rPr>
            </w:pPr>
            <w:r w:rsidRPr="00740802">
              <w:rPr>
                <w:rFonts w:ascii="Times" w:hAnsi="Times" w:cs="Calibri"/>
                <w:color w:val="000000"/>
              </w:rPr>
              <w:t>18-May-22</w:t>
            </w:r>
          </w:p>
        </w:tc>
        <w:tc>
          <w:tcPr>
            <w:tcW w:w="1920" w:type="dxa"/>
            <w:tcBorders>
              <w:top w:val="nil"/>
              <w:left w:val="nil"/>
              <w:bottom w:val="nil"/>
              <w:right w:val="nil"/>
            </w:tcBorders>
            <w:shd w:val="clear" w:color="auto" w:fill="auto"/>
            <w:noWrap/>
            <w:vAlign w:val="bottom"/>
            <w:hideMark/>
          </w:tcPr>
          <w:p w14:paraId="629766EF" w14:textId="77777777" w:rsidR="00740802" w:rsidRPr="00740802" w:rsidRDefault="00740802" w:rsidP="0096361D">
            <w:pPr>
              <w:rPr>
                <w:rFonts w:ascii="Times" w:hAnsi="Times" w:cs="Calibri"/>
                <w:color w:val="000000"/>
              </w:rPr>
            </w:pPr>
            <w:r w:rsidRPr="00740802">
              <w:rPr>
                <w:rFonts w:ascii="Times" w:hAnsi="Times" w:cs="Calibri"/>
                <w:color w:val="000000"/>
              </w:rPr>
              <w:t>Beaverton's Cove</w:t>
            </w:r>
          </w:p>
        </w:tc>
        <w:tc>
          <w:tcPr>
            <w:tcW w:w="1520" w:type="dxa"/>
            <w:tcBorders>
              <w:top w:val="nil"/>
              <w:left w:val="nil"/>
              <w:bottom w:val="nil"/>
              <w:right w:val="nil"/>
            </w:tcBorders>
            <w:shd w:val="clear" w:color="auto" w:fill="auto"/>
            <w:noWrap/>
            <w:vAlign w:val="bottom"/>
            <w:hideMark/>
          </w:tcPr>
          <w:p w14:paraId="6554C0FA" w14:textId="77777777" w:rsidR="00740802" w:rsidRPr="00740802" w:rsidRDefault="00740802" w:rsidP="0096361D">
            <w:pPr>
              <w:rPr>
                <w:rFonts w:ascii="Times" w:hAnsi="Times" w:cs="Calibri"/>
                <w:color w:val="000000"/>
              </w:rPr>
            </w:pPr>
            <w:r w:rsidRPr="00740802">
              <w:rPr>
                <w:rFonts w:ascii="Times" w:hAnsi="Times" w:cs="Calibri"/>
                <w:color w:val="000000"/>
              </w:rPr>
              <w:t>Low</w:t>
            </w:r>
          </w:p>
        </w:tc>
        <w:tc>
          <w:tcPr>
            <w:tcW w:w="1420" w:type="dxa"/>
            <w:tcBorders>
              <w:top w:val="nil"/>
              <w:left w:val="nil"/>
              <w:bottom w:val="nil"/>
              <w:right w:val="nil"/>
            </w:tcBorders>
            <w:shd w:val="clear" w:color="auto" w:fill="auto"/>
            <w:noWrap/>
            <w:vAlign w:val="bottom"/>
            <w:hideMark/>
          </w:tcPr>
          <w:p w14:paraId="7F7C3512" w14:textId="77777777" w:rsidR="00740802" w:rsidRPr="00740802" w:rsidRDefault="00740802" w:rsidP="0096361D">
            <w:pPr>
              <w:rPr>
                <w:rFonts w:ascii="Times" w:hAnsi="Times" w:cs="Calibri"/>
                <w:color w:val="000000"/>
              </w:rPr>
            </w:pPr>
            <w:r w:rsidRPr="00740802">
              <w:rPr>
                <w:rFonts w:ascii="Times" w:hAnsi="Times" w:cs="Calibri"/>
                <w:color w:val="000000"/>
              </w:rPr>
              <w:t>12:39 PM</w:t>
            </w:r>
          </w:p>
        </w:tc>
        <w:tc>
          <w:tcPr>
            <w:tcW w:w="2040" w:type="dxa"/>
            <w:tcBorders>
              <w:top w:val="nil"/>
              <w:left w:val="nil"/>
              <w:bottom w:val="nil"/>
              <w:right w:val="nil"/>
            </w:tcBorders>
            <w:shd w:val="clear" w:color="auto" w:fill="auto"/>
            <w:noWrap/>
            <w:vAlign w:val="bottom"/>
            <w:hideMark/>
          </w:tcPr>
          <w:p w14:paraId="5B0CF636" w14:textId="77777777" w:rsidR="00740802" w:rsidRPr="00740802" w:rsidRDefault="00740802" w:rsidP="0096361D">
            <w:pPr>
              <w:jc w:val="right"/>
              <w:rPr>
                <w:rFonts w:ascii="Times" w:hAnsi="Times" w:cs="Calibri"/>
                <w:color w:val="000000"/>
              </w:rPr>
            </w:pPr>
            <w:r w:rsidRPr="00740802">
              <w:rPr>
                <w:rFonts w:ascii="Times" w:hAnsi="Times" w:cs="Calibri"/>
                <w:color w:val="000000"/>
              </w:rPr>
              <w:t>-2.9</w:t>
            </w:r>
          </w:p>
        </w:tc>
      </w:tr>
      <w:tr w:rsidR="00740802" w:rsidRPr="00B92BCC" w14:paraId="4B3D1874"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2AC8D972" w14:textId="77777777" w:rsidR="00740802" w:rsidRPr="00740802" w:rsidRDefault="00740802" w:rsidP="0096361D">
            <w:pPr>
              <w:rPr>
                <w:rFonts w:ascii="Times" w:hAnsi="Times" w:cs="Calibri"/>
                <w:color w:val="000000"/>
              </w:rPr>
            </w:pPr>
            <w:r w:rsidRPr="00740802">
              <w:rPr>
                <w:rFonts w:ascii="Times" w:hAnsi="Times" w:cs="Calibri"/>
                <w:color w:val="000000"/>
              </w:rPr>
              <w:t>18-May-22</w:t>
            </w:r>
          </w:p>
        </w:tc>
        <w:tc>
          <w:tcPr>
            <w:tcW w:w="1920" w:type="dxa"/>
            <w:tcBorders>
              <w:top w:val="nil"/>
              <w:left w:val="nil"/>
              <w:bottom w:val="nil"/>
              <w:right w:val="nil"/>
            </w:tcBorders>
            <w:shd w:val="clear" w:color="auto" w:fill="auto"/>
            <w:noWrap/>
            <w:vAlign w:val="bottom"/>
            <w:hideMark/>
          </w:tcPr>
          <w:p w14:paraId="764AC500" w14:textId="77777777" w:rsidR="00740802" w:rsidRPr="00740802" w:rsidRDefault="00740802" w:rsidP="0096361D">
            <w:pPr>
              <w:rPr>
                <w:rFonts w:ascii="Times" w:hAnsi="Times" w:cs="Calibri"/>
                <w:color w:val="000000"/>
              </w:rPr>
            </w:pPr>
            <w:r w:rsidRPr="00740802">
              <w:rPr>
                <w:rFonts w:ascii="Times" w:hAnsi="Times" w:cs="Calibri"/>
                <w:color w:val="000000"/>
              </w:rPr>
              <w:t>Beaverton's Cove</w:t>
            </w:r>
          </w:p>
        </w:tc>
        <w:tc>
          <w:tcPr>
            <w:tcW w:w="1520" w:type="dxa"/>
            <w:tcBorders>
              <w:top w:val="nil"/>
              <w:left w:val="nil"/>
              <w:bottom w:val="nil"/>
              <w:right w:val="nil"/>
            </w:tcBorders>
            <w:shd w:val="clear" w:color="auto" w:fill="auto"/>
            <w:noWrap/>
            <w:vAlign w:val="bottom"/>
            <w:hideMark/>
          </w:tcPr>
          <w:p w14:paraId="2D7481FE" w14:textId="77777777" w:rsidR="00740802" w:rsidRPr="00740802" w:rsidRDefault="00740802" w:rsidP="0096361D">
            <w:pPr>
              <w:rPr>
                <w:rFonts w:ascii="Times" w:hAnsi="Times" w:cs="Calibri"/>
                <w:color w:val="000000"/>
              </w:rPr>
            </w:pPr>
            <w:r w:rsidRPr="00740802">
              <w:rPr>
                <w:rFonts w:ascii="Times" w:hAnsi="Times" w:cs="Calibri"/>
                <w:color w:val="000000"/>
              </w:rPr>
              <w:t>Medium</w:t>
            </w:r>
          </w:p>
        </w:tc>
        <w:tc>
          <w:tcPr>
            <w:tcW w:w="1420" w:type="dxa"/>
            <w:tcBorders>
              <w:top w:val="nil"/>
              <w:left w:val="nil"/>
              <w:bottom w:val="nil"/>
              <w:right w:val="nil"/>
            </w:tcBorders>
            <w:shd w:val="clear" w:color="auto" w:fill="auto"/>
            <w:noWrap/>
            <w:vAlign w:val="bottom"/>
            <w:hideMark/>
          </w:tcPr>
          <w:p w14:paraId="69ABC3D0" w14:textId="77777777" w:rsidR="00740802" w:rsidRPr="00740802" w:rsidRDefault="00740802" w:rsidP="0096361D">
            <w:pPr>
              <w:rPr>
                <w:rFonts w:ascii="Times" w:hAnsi="Times" w:cs="Calibri"/>
                <w:color w:val="000000"/>
              </w:rPr>
            </w:pPr>
            <w:r w:rsidRPr="00740802">
              <w:rPr>
                <w:rFonts w:ascii="Times" w:hAnsi="Times" w:cs="Calibri"/>
                <w:color w:val="000000"/>
              </w:rPr>
              <w:t>1:20 PM</w:t>
            </w:r>
          </w:p>
        </w:tc>
        <w:tc>
          <w:tcPr>
            <w:tcW w:w="2040" w:type="dxa"/>
            <w:tcBorders>
              <w:top w:val="nil"/>
              <w:left w:val="nil"/>
              <w:bottom w:val="nil"/>
              <w:right w:val="nil"/>
            </w:tcBorders>
            <w:shd w:val="clear" w:color="auto" w:fill="auto"/>
            <w:noWrap/>
            <w:vAlign w:val="bottom"/>
            <w:hideMark/>
          </w:tcPr>
          <w:p w14:paraId="7D83FAE5" w14:textId="77777777" w:rsidR="00740802" w:rsidRPr="00740802" w:rsidRDefault="00740802" w:rsidP="0096361D">
            <w:pPr>
              <w:jc w:val="right"/>
              <w:rPr>
                <w:rFonts w:ascii="Times" w:hAnsi="Times" w:cs="Calibri"/>
                <w:color w:val="000000"/>
              </w:rPr>
            </w:pPr>
            <w:r w:rsidRPr="00740802">
              <w:rPr>
                <w:rFonts w:ascii="Times" w:hAnsi="Times" w:cs="Calibri"/>
                <w:color w:val="000000"/>
              </w:rPr>
              <w:t>-2.8</w:t>
            </w:r>
          </w:p>
        </w:tc>
      </w:tr>
      <w:tr w:rsidR="00740802" w:rsidRPr="00B92BCC" w14:paraId="583F68BF" w14:textId="77777777" w:rsidTr="0096361D">
        <w:trPr>
          <w:trHeight w:val="320"/>
          <w:jc w:val="center"/>
        </w:trPr>
        <w:tc>
          <w:tcPr>
            <w:tcW w:w="1820" w:type="dxa"/>
            <w:tcBorders>
              <w:top w:val="nil"/>
              <w:left w:val="nil"/>
              <w:bottom w:val="single" w:sz="4" w:space="0" w:color="AEAAAA"/>
              <w:right w:val="nil"/>
            </w:tcBorders>
            <w:shd w:val="clear" w:color="auto" w:fill="auto"/>
            <w:noWrap/>
            <w:vAlign w:val="bottom"/>
            <w:hideMark/>
          </w:tcPr>
          <w:p w14:paraId="01DFFE53" w14:textId="77777777" w:rsidR="00740802" w:rsidRPr="00740802" w:rsidRDefault="00740802" w:rsidP="0096361D">
            <w:pPr>
              <w:rPr>
                <w:rFonts w:ascii="Times" w:hAnsi="Times" w:cs="Calibri"/>
                <w:color w:val="000000"/>
              </w:rPr>
            </w:pPr>
            <w:r w:rsidRPr="00740802">
              <w:rPr>
                <w:rFonts w:ascii="Times" w:hAnsi="Times" w:cs="Calibri"/>
                <w:color w:val="000000"/>
              </w:rPr>
              <w:t>18-May-22</w:t>
            </w:r>
          </w:p>
        </w:tc>
        <w:tc>
          <w:tcPr>
            <w:tcW w:w="1920" w:type="dxa"/>
            <w:tcBorders>
              <w:top w:val="nil"/>
              <w:left w:val="nil"/>
              <w:bottom w:val="single" w:sz="4" w:space="0" w:color="AEAAAA"/>
              <w:right w:val="nil"/>
            </w:tcBorders>
            <w:shd w:val="clear" w:color="auto" w:fill="auto"/>
            <w:noWrap/>
            <w:vAlign w:val="bottom"/>
            <w:hideMark/>
          </w:tcPr>
          <w:p w14:paraId="092C6403" w14:textId="77777777" w:rsidR="00740802" w:rsidRPr="00740802" w:rsidRDefault="00740802" w:rsidP="0096361D">
            <w:pPr>
              <w:rPr>
                <w:rFonts w:ascii="Times" w:hAnsi="Times" w:cs="Calibri"/>
                <w:color w:val="000000"/>
              </w:rPr>
            </w:pPr>
            <w:r w:rsidRPr="00740802">
              <w:rPr>
                <w:rFonts w:ascii="Times" w:hAnsi="Times" w:cs="Calibri"/>
                <w:color w:val="000000"/>
              </w:rPr>
              <w:t>Beaverton's Cove</w:t>
            </w:r>
          </w:p>
        </w:tc>
        <w:tc>
          <w:tcPr>
            <w:tcW w:w="1520" w:type="dxa"/>
            <w:tcBorders>
              <w:top w:val="nil"/>
              <w:left w:val="nil"/>
              <w:bottom w:val="single" w:sz="4" w:space="0" w:color="AEAAAA"/>
              <w:right w:val="nil"/>
            </w:tcBorders>
            <w:shd w:val="clear" w:color="auto" w:fill="auto"/>
            <w:noWrap/>
            <w:vAlign w:val="bottom"/>
            <w:hideMark/>
          </w:tcPr>
          <w:p w14:paraId="070580DE" w14:textId="77777777" w:rsidR="00740802" w:rsidRPr="00740802" w:rsidRDefault="00740802" w:rsidP="0096361D">
            <w:pPr>
              <w:rPr>
                <w:rFonts w:ascii="Times" w:hAnsi="Times" w:cs="Calibri"/>
                <w:color w:val="000000"/>
              </w:rPr>
            </w:pPr>
            <w:r w:rsidRPr="00740802">
              <w:rPr>
                <w:rFonts w:ascii="Times" w:hAnsi="Times" w:cs="Calibri"/>
                <w:color w:val="000000"/>
              </w:rPr>
              <w:t>High</w:t>
            </w:r>
          </w:p>
        </w:tc>
        <w:tc>
          <w:tcPr>
            <w:tcW w:w="1420" w:type="dxa"/>
            <w:tcBorders>
              <w:top w:val="nil"/>
              <w:left w:val="nil"/>
              <w:bottom w:val="single" w:sz="4" w:space="0" w:color="AEAAAA"/>
              <w:right w:val="nil"/>
            </w:tcBorders>
            <w:shd w:val="clear" w:color="auto" w:fill="auto"/>
            <w:noWrap/>
            <w:vAlign w:val="bottom"/>
            <w:hideMark/>
          </w:tcPr>
          <w:p w14:paraId="792D6A7A" w14:textId="77777777" w:rsidR="00740802" w:rsidRPr="00740802" w:rsidRDefault="00740802" w:rsidP="0096361D">
            <w:pPr>
              <w:rPr>
                <w:rFonts w:ascii="Times" w:hAnsi="Times" w:cs="Calibri"/>
                <w:color w:val="000000"/>
              </w:rPr>
            </w:pPr>
            <w:r w:rsidRPr="00740802">
              <w:rPr>
                <w:rFonts w:ascii="Times" w:hAnsi="Times" w:cs="Calibri"/>
                <w:color w:val="000000"/>
              </w:rPr>
              <w:t>2:10 PM</w:t>
            </w:r>
          </w:p>
        </w:tc>
        <w:tc>
          <w:tcPr>
            <w:tcW w:w="2040" w:type="dxa"/>
            <w:tcBorders>
              <w:top w:val="nil"/>
              <w:left w:val="nil"/>
              <w:bottom w:val="single" w:sz="4" w:space="0" w:color="AEAAAA"/>
              <w:right w:val="nil"/>
            </w:tcBorders>
            <w:shd w:val="clear" w:color="auto" w:fill="auto"/>
            <w:noWrap/>
            <w:vAlign w:val="bottom"/>
            <w:hideMark/>
          </w:tcPr>
          <w:p w14:paraId="5E5AB0D9" w14:textId="77777777" w:rsidR="00740802" w:rsidRPr="00740802" w:rsidRDefault="00740802" w:rsidP="0096361D">
            <w:pPr>
              <w:jc w:val="right"/>
              <w:rPr>
                <w:rFonts w:ascii="Times" w:hAnsi="Times" w:cs="Calibri"/>
                <w:color w:val="000000"/>
              </w:rPr>
            </w:pPr>
            <w:r w:rsidRPr="00740802">
              <w:rPr>
                <w:rFonts w:ascii="Times" w:hAnsi="Times" w:cs="Calibri"/>
                <w:color w:val="000000"/>
              </w:rPr>
              <w:t>-2.5</w:t>
            </w:r>
          </w:p>
        </w:tc>
      </w:tr>
      <w:tr w:rsidR="00740802" w:rsidRPr="00B92BCC" w14:paraId="797EACF1"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13A24127" w14:textId="77777777" w:rsidR="00740802" w:rsidRPr="00740802" w:rsidRDefault="00740802" w:rsidP="0096361D">
            <w:pPr>
              <w:rPr>
                <w:rFonts w:ascii="Times" w:hAnsi="Times" w:cs="Calibri"/>
                <w:color w:val="000000"/>
              </w:rPr>
            </w:pPr>
            <w:r w:rsidRPr="00740802">
              <w:rPr>
                <w:rFonts w:ascii="Times" w:hAnsi="Times" w:cs="Calibri"/>
                <w:color w:val="000000"/>
              </w:rPr>
              <w:t>19-May-22</w:t>
            </w:r>
          </w:p>
        </w:tc>
        <w:tc>
          <w:tcPr>
            <w:tcW w:w="1920" w:type="dxa"/>
            <w:tcBorders>
              <w:top w:val="nil"/>
              <w:left w:val="nil"/>
              <w:bottom w:val="nil"/>
              <w:right w:val="nil"/>
            </w:tcBorders>
            <w:shd w:val="clear" w:color="auto" w:fill="auto"/>
            <w:noWrap/>
            <w:vAlign w:val="bottom"/>
            <w:hideMark/>
          </w:tcPr>
          <w:p w14:paraId="52AA3FDF" w14:textId="77777777" w:rsidR="00740802" w:rsidRPr="00740802" w:rsidRDefault="00740802" w:rsidP="0096361D">
            <w:pPr>
              <w:rPr>
                <w:rFonts w:ascii="Times" w:hAnsi="Times" w:cs="Calibri"/>
                <w:color w:val="000000"/>
              </w:rPr>
            </w:pPr>
            <w:r w:rsidRPr="00740802">
              <w:rPr>
                <w:rFonts w:ascii="Times" w:hAnsi="Times" w:cs="Calibri"/>
                <w:color w:val="000000"/>
              </w:rPr>
              <w:t>Eagle Cove</w:t>
            </w:r>
          </w:p>
        </w:tc>
        <w:tc>
          <w:tcPr>
            <w:tcW w:w="1520" w:type="dxa"/>
            <w:tcBorders>
              <w:top w:val="nil"/>
              <w:left w:val="nil"/>
              <w:bottom w:val="nil"/>
              <w:right w:val="nil"/>
            </w:tcBorders>
            <w:shd w:val="clear" w:color="auto" w:fill="auto"/>
            <w:noWrap/>
            <w:vAlign w:val="bottom"/>
            <w:hideMark/>
          </w:tcPr>
          <w:p w14:paraId="68612B85" w14:textId="77777777" w:rsidR="00740802" w:rsidRPr="00740802" w:rsidRDefault="00740802" w:rsidP="0096361D">
            <w:pPr>
              <w:rPr>
                <w:rFonts w:ascii="Times" w:hAnsi="Times" w:cs="Calibri"/>
                <w:color w:val="000000"/>
              </w:rPr>
            </w:pPr>
            <w:r w:rsidRPr="00740802">
              <w:rPr>
                <w:rFonts w:ascii="Times" w:hAnsi="Times" w:cs="Calibri"/>
                <w:color w:val="000000"/>
              </w:rPr>
              <w:t>Low</w:t>
            </w:r>
          </w:p>
        </w:tc>
        <w:tc>
          <w:tcPr>
            <w:tcW w:w="1420" w:type="dxa"/>
            <w:tcBorders>
              <w:top w:val="nil"/>
              <w:left w:val="nil"/>
              <w:bottom w:val="nil"/>
              <w:right w:val="nil"/>
            </w:tcBorders>
            <w:shd w:val="clear" w:color="auto" w:fill="auto"/>
            <w:noWrap/>
            <w:vAlign w:val="bottom"/>
            <w:hideMark/>
          </w:tcPr>
          <w:p w14:paraId="72CF8187" w14:textId="77777777" w:rsidR="00740802" w:rsidRPr="00740802" w:rsidRDefault="00740802" w:rsidP="0096361D">
            <w:pPr>
              <w:rPr>
                <w:rFonts w:ascii="Times" w:hAnsi="Times" w:cs="Calibri"/>
                <w:color w:val="000000"/>
              </w:rPr>
            </w:pPr>
            <w:r w:rsidRPr="00740802">
              <w:rPr>
                <w:rFonts w:ascii="Times" w:hAnsi="Times" w:cs="Calibri"/>
                <w:color w:val="000000"/>
              </w:rPr>
              <w:t>12:15 PM</w:t>
            </w:r>
          </w:p>
        </w:tc>
        <w:tc>
          <w:tcPr>
            <w:tcW w:w="2040" w:type="dxa"/>
            <w:tcBorders>
              <w:top w:val="nil"/>
              <w:left w:val="nil"/>
              <w:bottom w:val="nil"/>
              <w:right w:val="nil"/>
            </w:tcBorders>
            <w:shd w:val="clear" w:color="auto" w:fill="auto"/>
            <w:noWrap/>
            <w:vAlign w:val="bottom"/>
            <w:hideMark/>
          </w:tcPr>
          <w:p w14:paraId="1DA90DAF" w14:textId="77777777" w:rsidR="00740802" w:rsidRPr="00740802" w:rsidRDefault="00740802" w:rsidP="0096361D">
            <w:pPr>
              <w:jc w:val="right"/>
              <w:rPr>
                <w:rFonts w:ascii="Times" w:hAnsi="Times" w:cs="Calibri"/>
                <w:color w:val="000000"/>
              </w:rPr>
            </w:pPr>
            <w:r w:rsidRPr="00740802">
              <w:rPr>
                <w:rFonts w:ascii="Times" w:hAnsi="Times" w:cs="Calibri"/>
                <w:color w:val="000000"/>
              </w:rPr>
              <w:t>-2.8</w:t>
            </w:r>
          </w:p>
        </w:tc>
      </w:tr>
      <w:tr w:rsidR="00740802" w:rsidRPr="00B92BCC" w14:paraId="5B4B58AD"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0BBD8680" w14:textId="77777777" w:rsidR="00740802" w:rsidRPr="00740802" w:rsidRDefault="00740802" w:rsidP="0096361D">
            <w:pPr>
              <w:rPr>
                <w:rFonts w:ascii="Times" w:hAnsi="Times" w:cs="Calibri"/>
                <w:color w:val="000000"/>
              </w:rPr>
            </w:pPr>
            <w:r w:rsidRPr="00740802">
              <w:rPr>
                <w:rFonts w:ascii="Times" w:hAnsi="Times" w:cs="Calibri"/>
                <w:color w:val="000000"/>
              </w:rPr>
              <w:t>19-May-22</w:t>
            </w:r>
          </w:p>
        </w:tc>
        <w:tc>
          <w:tcPr>
            <w:tcW w:w="1920" w:type="dxa"/>
            <w:tcBorders>
              <w:top w:val="nil"/>
              <w:left w:val="nil"/>
              <w:bottom w:val="nil"/>
              <w:right w:val="nil"/>
            </w:tcBorders>
            <w:shd w:val="clear" w:color="auto" w:fill="auto"/>
            <w:noWrap/>
            <w:vAlign w:val="bottom"/>
            <w:hideMark/>
          </w:tcPr>
          <w:p w14:paraId="00DD942D" w14:textId="77777777" w:rsidR="00740802" w:rsidRPr="00740802" w:rsidRDefault="00740802" w:rsidP="0096361D">
            <w:pPr>
              <w:rPr>
                <w:rFonts w:ascii="Times" w:hAnsi="Times" w:cs="Calibri"/>
                <w:color w:val="000000"/>
              </w:rPr>
            </w:pPr>
            <w:r w:rsidRPr="00740802">
              <w:rPr>
                <w:rFonts w:ascii="Times" w:hAnsi="Times" w:cs="Calibri"/>
                <w:color w:val="000000"/>
              </w:rPr>
              <w:t>Eagle Cove</w:t>
            </w:r>
          </w:p>
        </w:tc>
        <w:tc>
          <w:tcPr>
            <w:tcW w:w="1520" w:type="dxa"/>
            <w:tcBorders>
              <w:top w:val="nil"/>
              <w:left w:val="nil"/>
              <w:bottom w:val="nil"/>
              <w:right w:val="nil"/>
            </w:tcBorders>
            <w:shd w:val="clear" w:color="auto" w:fill="auto"/>
            <w:noWrap/>
            <w:vAlign w:val="bottom"/>
            <w:hideMark/>
          </w:tcPr>
          <w:p w14:paraId="4F8A3440" w14:textId="77777777" w:rsidR="00740802" w:rsidRPr="00740802" w:rsidRDefault="00740802" w:rsidP="0096361D">
            <w:pPr>
              <w:rPr>
                <w:rFonts w:ascii="Times" w:hAnsi="Times" w:cs="Calibri"/>
                <w:color w:val="000000"/>
              </w:rPr>
            </w:pPr>
            <w:r w:rsidRPr="00740802">
              <w:rPr>
                <w:rFonts w:ascii="Times" w:hAnsi="Times" w:cs="Calibri"/>
                <w:color w:val="000000"/>
              </w:rPr>
              <w:t>Medium</w:t>
            </w:r>
          </w:p>
        </w:tc>
        <w:tc>
          <w:tcPr>
            <w:tcW w:w="1420" w:type="dxa"/>
            <w:tcBorders>
              <w:top w:val="nil"/>
              <w:left w:val="nil"/>
              <w:bottom w:val="nil"/>
              <w:right w:val="nil"/>
            </w:tcBorders>
            <w:shd w:val="clear" w:color="auto" w:fill="auto"/>
            <w:noWrap/>
            <w:vAlign w:val="bottom"/>
            <w:hideMark/>
          </w:tcPr>
          <w:p w14:paraId="0403540C" w14:textId="77777777" w:rsidR="00740802" w:rsidRPr="00740802" w:rsidRDefault="00740802" w:rsidP="0096361D">
            <w:pPr>
              <w:rPr>
                <w:rFonts w:ascii="Times" w:hAnsi="Times" w:cs="Calibri"/>
                <w:color w:val="000000"/>
              </w:rPr>
            </w:pPr>
            <w:r w:rsidRPr="00740802">
              <w:rPr>
                <w:rFonts w:ascii="Times" w:hAnsi="Times" w:cs="Calibri"/>
                <w:color w:val="000000"/>
              </w:rPr>
              <w:t>12:53 PM</w:t>
            </w:r>
          </w:p>
        </w:tc>
        <w:tc>
          <w:tcPr>
            <w:tcW w:w="2040" w:type="dxa"/>
            <w:tcBorders>
              <w:top w:val="nil"/>
              <w:left w:val="nil"/>
              <w:bottom w:val="nil"/>
              <w:right w:val="nil"/>
            </w:tcBorders>
            <w:shd w:val="clear" w:color="auto" w:fill="auto"/>
            <w:noWrap/>
            <w:vAlign w:val="bottom"/>
            <w:hideMark/>
          </w:tcPr>
          <w:p w14:paraId="0EBBF24E" w14:textId="77777777" w:rsidR="00740802" w:rsidRPr="00740802" w:rsidRDefault="00740802" w:rsidP="0096361D">
            <w:pPr>
              <w:jc w:val="right"/>
              <w:rPr>
                <w:rFonts w:ascii="Times" w:hAnsi="Times" w:cs="Calibri"/>
                <w:color w:val="000000"/>
              </w:rPr>
            </w:pPr>
            <w:r w:rsidRPr="00740802">
              <w:rPr>
                <w:rFonts w:ascii="Times" w:hAnsi="Times" w:cs="Calibri"/>
                <w:color w:val="000000"/>
              </w:rPr>
              <w:t>-3.1</w:t>
            </w:r>
          </w:p>
        </w:tc>
      </w:tr>
      <w:tr w:rsidR="00740802" w:rsidRPr="00B92BCC" w14:paraId="2FD0185C" w14:textId="77777777" w:rsidTr="0096361D">
        <w:trPr>
          <w:trHeight w:val="320"/>
          <w:jc w:val="center"/>
        </w:trPr>
        <w:tc>
          <w:tcPr>
            <w:tcW w:w="1820" w:type="dxa"/>
            <w:tcBorders>
              <w:top w:val="nil"/>
              <w:left w:val="nil"/>
              <w:bottom w:val="nil"/>
              <w:right w:val="nil"/>
            </w:tcBorders>
            <w:shd w:val="clear" w:color="auto" w:fill="auto"/>
            <w:noWrap/>
            <w:vAlign w:val="bottom"/>
            <w:hideMark/>
          </w:tcPr>
          <w:p w14:paraId="7495C37B" w14:textId="77777777" w:rsidR="00740802" w:rsidRPr="00740802" w:rsidRDefault="00740802" w:rsidP="0096361D">
            <w:pPr>
              <w:rPr>
                <w:rFonts w:ascii="Times" w:hAnsi="Times" w:cs="Calibri"/>
                <w:color w:val="000000"/>
              </w:rPr>
            </w:pPr>
            <w:r w:rsidRPr="00740802">
              <w:rPr>
                <w:rFonts w:ascii="Times" w:hAnsi="Times" w:cs="Calibri"/>
                <w:color w:val="000000"/>
              </w:rPr>
              <w:t>19-May-22</w:t>
            </w:r>
          </w:p>
        </w:tc>
        <w:tc>
          <w:tcPr>
            <w:tcW w:w="1920" w:type="dxa"/>
            <w:tcBorders>
              <w:top w:val="nil"/>
              <w:left w:val="nil"/>
              <w:bottom w:val="nil"/>
              <w:right w:val="nil"/>
            </w:tcBorders>
            <w:shd w:val="clear" w:color="auto" w:fill="auto"/>
            <w:noWrap/>
            <w:vAlign w:val="bottom"/>
            <w:hideMark/>
          </w:tcPr>
          <w:p w14:paraId="30792F55" w14:textId="77777777" w:rsidR="00740802" w:rsidRPr="00740802" w:rsidRDefault="00740802" w:rsidP="0096361D">
            <w:pPr>
              <w:rPr>
                <w:rFonts w:ascii="Times" w:hAnsi="Times" w:cs="Calibri"/>
                <w:color w:val="000000"/>
              </w:rPr>
            </w:pPr>
            <w:r w:rsidRPr="00740802">
              <w:rPr>
                <w:rFonts w:ascii="Times" w:hAnsi="Times" w:cs="Calibri"/>
                <w:color w:val="000000"/>
              </w:rPr>
              <w:t>Eagle Cove</w:t>
            </w:r>
          </w:p>
        </w:tc>
        <w:tc>
          <w:tcPr>
            <w:tcW w:w="1520" w:type="dxa"/>
            <w:tcBorders>
              <w:top w:val="nil"/>
              <w:left w:val="nil"/>
              <w:bottom w:val="nil"/>
              <w:right w:val="nil"/>
            </w:tcBorders>
            <w:shd w:val="clear" w:color="auto" w:fill="auto"/>
            <w:noWrap/>
            <w:vAlign w:val="bottom"/>
            <w:hideMark/>
          </w:tcPr>
          <w:p w14:paraId="3419AE37" w14:textId="77777777" w:rsidR="00740802" w:rsidRPr="00740802" w:rsidRDefault="00740802" w:rsidP="0096361D">
            <w:pPr>
              <w:rPr>
                <w:rFonts w:ascii="Times" w:hAnsi="Times" w:cs="Calibri"/>
                <w:color w:val="000000"/>
              </w:rPr>
            </w:pPr>
            <w:r w:rsidRPr="00740802">
              <w:rPr>
                <w:rFonts w:ascii="Times" w:hAnsi="Times" w:cs="Calibri"/>
                <w:color w:val="000000"/>
              </w:rPr>
              <w:t>High</w:t>
            </w:r>
          </w:p>
        </w:tc>
        <w:tc>
          <w:tcPr>
            <w:tcW w:w="1420" w:type="dxa"/>
            <w:tcBorders>
              <w:top w:val="nil"/>
              <w:left w:val="nil"/>
              <w:bottom w:val="nil"/>
              <w:right w:val="nil"/>
            </w:tcBorders>
            <w:shd w:val="clear" w:color="auto" w:fill="auto"/>
            <w:noWrap/>
            <w:vAlign w:val="bottom"/>
            <w:hideMark/>
          </w:tcPr>
          <w:p w14:paraId="583D41C1" w14:textId="77777777" w:rsidR="00740802" w:rsidRPr="00740802" w:rsidRDefault="00740802" w:rsidP="0096361D">
            <w:pPr>
              <w:rPr>
                <w:rFonts w:ascii="Times" w:hAnsi="Times" w:cs="Calibri"/>
                <w:color w:val="000000"/>
              </w:rPr>
            </w:pPr>
            <w:r w:rsidRPr="00740802">
              <w:rPr>
                <w:rFonts w:ascii="Times" w:hAnsi="Times" w:cs="Calibri"/>
                <w:color w:val="000000"/>
              </w:rPr>
              <w:t>1:30 PM</w:t>
            </w:r>
          </w:p>
        </w:tc>
        <w:tc>
          <w:tcPr>
            <w:tcW w:w="2040" w:type="dxa"/>
            <w:tcBorders>
              <w:top w:val="nil"/>
              <w:left w:val="nil"/>
              <w:bottom w:val="nil"/>
              <w:right w:val="nil"/>
            </w:tcBorders>
            <w:shd w:val="clear" w:color="auto" w:fill="auto"/>
            <w:noWrap/>
            <w:vAlign w:val="bottom"/>
            <w:hideMark/>
          </w:tcPr>
          <w:p w14:paraId="411077C8" w14:textId="77777777" w:rsidR="00740802" w:rsidRPr="00740802" w:rsidRDefault="00740802" w:rsidP="0096361D">
            <w:pPr>
              <w:jc w:val="right"/>
              <w:rPr>
                <w:rFonts w:ascii="Times" w:hAnsi="Times" w:cs="Calibri"/>
                <w:color w:val="000000"/>
              </w:rPr>
            </w:pPr>
            <w:r w:rsidRPr="00740802">
              <w:rPr>
                <w:rFonts w:ascii="Times" w:hAnsi="Times" w:cs="Calibri"/>
                <w:color w:val="000000"/>
              </w:rPr>
              <w:t>-3</w:t>
            </w:r>
          </w:p>
        </w:tc>
      </w:tr>
    </w:tbl>
    <w:p w14:paraId="5D43600E" w14:textId="77777777" w:rsidR="00740802" w:rsidRPr="00B92BCC" w:rsidRDefault="00740802" w:rsidP="00740802">
      <w:pPr>
        <w:spacing w:line="480" w:lineRule="auto"/>
        <w:rPr>
          <w:rFonts w:ascii="Times" w:hAnsi="Times"/>
          <w:b/>
          <w:bCs/>
          <w:color w:val="0E101A"/>
        </w:rPr>
      </w:pPr>
    </w:p>
    <w:p w14:paraId="7CC8E2BB" w14:textId="77777777" w:rsidR="00740802" w:rsidRPr="00B92BCC" w:rsidRDefault="00740802" w:rsidP="00740802">
      <w:pPr>
        <w:spacing w:line="480" w:lineRule="auto"/>
        <w:rPr>
          <w:rFonts w:ascii="Times" w:hAnsi="Times"/>
          <w:b/>
          <w:bCs/>
          <w:color w:val="0E101A"/>
        </w:rPr>
      </w:pPr>
    </w:p>
    <w:p w14:paraId="41AF247B" w14:textId="77777777" w:rsidR="00740802" w:rsidRPr="00740802" w:rsidRDefault="00740802" w:rsidP="00740802">
      <w:pPr>
        <w:spacing w:line="480" w:lineRule="auto"/>
        <w:jc w:val="center"/>
        <w:rPr>
          <w:rFonts w:ascii="Times" w:hAnsi="Times" w:cs="Arial"/>
          <w:color w:val="000000"/>
          <w:bdr w:val="none" w:sz="0" w:space="0" w:color="auto" w:frame="1"/>
        </w:rPr>
      </w:pPr>
      <w:r w:rsidRPr="00740802">
        <w:rPr>
          <w:rFonts w:ascii="Times" w:hAnsi="Times" w:cs="Arial"/>
          <w:color w:val="000000"/>
          <w:bdr w:val="none" w:sz="0" w:space="0" w:color="auto" w:frame="1"/>
        </w:rPr>
        <w:fldChar w:fldCharType="begin"/>
      </w:r>
      <w:r w:rsidRPr="00740802">
        <w:rPr>
          <w:rFonts w:ascii="Times" w:hAnsi="Times" w:cs="Arial"/>
          <w:color w:val="000000"/>
          <w:bdr w:val="none" w:sz="0" w:space="0" w:color="auto" w:frame="1"/>
        </w:rPr>
        <w:instrText xml:space="preserve"> INCLUDEPICTURE "https://lh6.googleusercontent.com/OG4n2AUMhiEPzw4EnMVZGsJLrrmasDvSWKqc0bhQLPjuZx-PhKNuhuYN9eSZ3NRNeZB1cTREGrSEwzQOOreTyUz1BUMPo4n6jjEaASpyVgXty308JDr-L3g4MwMCdupZVWryeTNlq6UvmPa26w" \* MERGEFORMATINET </w:instrText>
      </w:r>
      <w:r w:rsidRPr="00740802">
        <w:rPr>
          <w:rFonts w:ascii="Times" w:hAnsi="Times" w:cs="Arial"/>
          <w:color w:val="000000"/>
          <w:bdr w:val="none" w:sz="0" w:space="0" w:color="auto" w:frame="1"/>
        </w:rPr>
        <w:fldChar w:fldCharType="separate"/>
      </w:r>
      <w:r w:rsidRPr="00740802">
        <w:rPr>
          <w:rFonts w:ascii="Times" w:hAnsi="Times" w:cs="Arial"/>
          <w:noProof/>
          <w:color w:val="000000"/>
          <w:bdr w:val="none" w:sz="0" w:space="0" w:color="auto" w:frame="1"/>
        </w:rPr>
        <w:drawing>
          <wp:inline distT="0" distB="0" distL="0" distR="0" wp14:anchorId="11C3D030" wp14:editId="20168D91">
            <wp:extent cx="4429388" cy="2655740"/>
            <wp:effectExtent l="0" t="0" r="3175" b="0"/>
            <wp:docPr id="2" name="Picture 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10;&#10;Description automatically generated"/>
                    <pic:cNvPicPr>
                      <a:picLocks noChangeAspect="1" noChangeArrowheads="1"/>
                    </pic:cNvPicPr>
                  </pic:nvPicPr>
                  <pic:blipFill>
                    <a:blip r:embed="rId4" cstate="print">
                      <a:biLevel thresh="50000"/>
                      <a:extLst>
                        <a:ext uri="{BEBA8EAE-BF5A-486C-A8C5-ECC9F3942E4B}">
                          <a14:imgProps xmlns:a14="http://schemas.microsoft.com/office/drawing/2010/main">
                            <a14:imgLayer r:embed="rId5">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4461770" cy="2675155"/>
                    </a:xfrm>
                    <a:prstGeom prst="rect">
                      <a:avLst/>
                    </a:prstGeom>
                    <a:noFill/>
                    <a:ln>
                      <a:noFill/>
                    </a:ln>
                  </pic:spPr>
                </pic:pic>
              </a:graphicData>
            </a:graphic>
          </wp:inline>
        </w:drawing>
      </w:r>
      <w:r w:rsidRPr="00740802">
        <w:rPr>
          <w:rFonts w:ascii="Times" w:hAnsi="Times" w:cs="Arial"/>
          <w:color w:val="000000"/>
          <w:bdr w:val="none" w:sz="0" w:space="0" w:color="auto" w:frame="1"/>
        </w:rPr>
        <w:fldChar w:fldCharType="end"/>
      </w:r>
    </w:p>
    <w:p w14:paraId="771768F5" w14:textId="77777777" w:rsidR="00740802" w:rsidRPr="00740802" w:rsidRDefault="00740802" w:rsidP="00740802">
      <w:pPr>
        <w:spacing w:line="480" w:lineRule="auto"/>
        <w:rPr>
          <w:rFonts w:ascii="Times" w:hAnsi="Times"/>
        </w:rPr>
      </w:pPr>
      <w:r w:rsidRPr="00740802">
        <w:rPr>
          <w:rFonts w:ascii="Times" w:hAnsi="Times" w:cs="Arial"/>
          <w:b/>
          <w:bCs/>
          <w:color w:val="000000"/>
          <w:bdr w:val="none" w:sz="0" w:space="0" w:color="auto" w:frame="1"/>
        </w:rPr>
        <w:t>Figure 1.</w:t>
      </w:r>
      <w:r w:rsidRPr="00740802">
        <w:rPr>
          <w:rFonts w:ascii="Times" w:hAnsi="Times" w:cs="Arial"/>
          <w:color w:val="000000"/>
          <w:bdr w:val="none" w:sz="0" w:space="0" w:color="auto" w:frame="1"/>
        </w:rPr>
        <w:t xml:space="preserve"> Experimental setup for surveying each location.</w:t>
      </w:r>
    </w:p>
    <w:p w14:paraId="58227CE2" w14:textId="77777777" w:rsidR="00740802" w:rsidRPr="00740802" w:rsidRDefault="00740802" w:rsidP="00740802">
      <w:pPr>
        <w:spacing w:line="480" w:lineRule="auto"/>
        <w:rPr>
          <w:rFonts w:ascii="Times" w:hAnsi="Times" w:cs="Arial"/>
          <w:color w:val="0E101A"/>
          <w:bdr w:val="none" w:sz="0" w:space="0" w:color="auto" w:frame="1"/>
        </w:rPr>
      </w:pPr>
      <w:r w:rsidRPr="00740802">
        <w:rPr>
          <w:rFonts w:ascii="Times" w:hAnsi="Times" w:cs="Arial"/>
          <w:color w:val="0E101A"/>
          <w:bdr w:val="none" w:sz="0" w:space="0" w:color="auto" w:frame="1"/>
        </w:rPr>
        <w:br w:type="page"/>
      </w:r>
    </w:p>
    <w:p w14:paraId="3E1DC9EF" w14:textId="58E25687" w:rsidR="00740802" w:rsidRPr="00740802" w:rsidRDefault="00740802" w:rsidP="00740802">
      <w:pPr>
        <w:spacing w:line="480" w:lineRule="auto"/>
        <w:jc w:val="center"/>
        <w:rPr>
          <w:rFonts w:ascii="Times" w:hAnsi="Times"/>
        </w:rPr>
      </w:pPr>
      <w:r w:rsidRPr="00740802">
        <w:rPr>
          <w:rFonts w:ascii="Times" w:hAnsi="Times" w:cs="Arial"/>
          <w:color w:val="0E101A"/>
          <w:bdr w:val="none" w:sz="0" w:space="0" w:color="auto" w:frame="1"/>
        </w:rPr>
        <w:lastRenderedPageBreak/>
        <w:t xml:space="preserve"> </w:t>
      </w:r>
      <w:r w:rsidRPr="00740802">
        <w:rPr>
          <w:rFonts w:ascii="Times" w:hAnsi="Times" w:cs="Arial"/>
          <w:noProof/>
          <w:color w:val="0E101A"/>
          <w:bdr w:val="none" w:sz="0" w:space="0" w:color="auto" w:frame="1"/>
        </w:rPr>
        <w:drawing>
          <wp:inline distT="0" distB="0" distL="0" distR="0" wp14:anchorId="13E566E2" wp14:editId="62A8B022">
            <wp:extent cx="4803115" cy="2670963"/>
            <wp:effectExtent l="0" t="0" r="0" b="0"/>
            <wp:docPr id="13" name="Picture 12" descr="Chart, scatter chart&#10;&#10;Description automatically generated">
              <a:extLst xmlns:a="http://schemas.openxmlformats.org/drawingml/2006/main">
                <a:ext uri="{FF2B5EF4-FFF2-40B4-BE49-F238E27FC236}">
                  <a16:creationId xmlns:a16="http://schemas.microsoft.com/office/drawing/2014/main" id="{99506D8C-2786-D41B-FE48-C2254C845E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descr="Chart, scatter chart&#10;&#10;Description automatically generated">
                      <a:extLst>
                        <a:ext uri="{FF2B5EF4-FFF2-40B4-BE49-F238E27FC236}">
                          <a16:creationId xmlns:a16="http://schemas.microsoft.com/office/drawing/2014/main" id="{99506D8C-2786-D41B-FE48-C2254C845EA7}"/>
                        </a:ext>
                      </a:extLs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3115" cy="2670963"/>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17D8BBE1" w14:textId="77777777" w:rsidR="00740802" w:rsidRPr="00740802" w:rsidRDefault="00740802" w:rsidP="00740802">
      <w:pPr>
        <w:spacing w:line="480" w:lineRule="auto"/>
        <w:jc w:val="center"/>
        <w:rPr>
          <w:rFonts w:ascii="Times" w:hAnsi="Times"/>
        </w:rPr>
      </w:pPr>
    </w:p>
    <w:p w14:paraId="70AC6959" w14:textId="50D0E8C7" w:rsidR="00740802" w:rsidRPr="00B92BCC" w:rsidRDefault="00740802" w:rsidP="00740802">
      <w:pPr>
        <w:spacing w:line="480" w:lineRule="auto"/>
        <w:rPr>
          <w:rFonts w:ascii="Times" w:hAnsi="Times"/>
          <w:color w:val="0E101A"/>
        </w:rPr>
      </w:pPr>
      <w:r w:rsidRPr="00B92BCC">
        <w:rPr>
          <w:rFonts w:ascii="Times" w:hAnsi="Times"/>
          <w:b/>
          <w:bCs/>
          <w:color w:val="0E101A"/>
        </w:rPr>
        <w:t xml:space="preserve">Figure 2. </w:t>
      </w:r>
      <w:r w:rsidRPr="00B92BCC">
        <w:rPr>
          <w:rFonts w:ascii="Times" w:hAnsi="Times"/>
          <w:color w:val="0E101A"/>
        </w:rPr>
        <w:t xml:space="preserve">Number of </w:t>
      </w:r>
      <w:r w:rsidRPr="00B92BCC">
        <w:rPr>
          <w:rFonts w:ascii="Times" w:hAnsi="Times"/>
          <w:i/>
          <w:iCs/>
          <w:color w:val="0E101A"/>
        </w:rPr>
        <w:t xml:space="preserve">I. wosnesenskii </w:t>
      </w:r>
      <w:r w:rsidRPr="00B92BCC">
        <w:rPr>
          <w:rFonts w:ascii="Times" w:hAnsi="Times"/>
          <w:color w:val="0E101A"/>
        </w:rPr>
        <w:t>versus width of rock (</w:t>
      </w:r>
      <w:r w:rsidRPr="00B92BCC">
        <w:rPr>
          <w:rFonts w:ascii="Times" w:hAnsi="Times"/>
          <w:i/>
          <w:iCs/>
          <w:color w:val="0E101A"/>
        </w:rPr>
        <w:t xml:space="preserve">p </w:t>
      </w:r>
      <w:r w:rsidRPr="00B92BCC">
        <w:rPr>
          <w:rFonts w:ascii="Times" w:hAnsi="Times"/>
          <w:color w:val="0E101A"/>
        </w:rPr>
        <w:t>&lt; 0.01).</w:t>
      </w:r>
    </w:p>
    <w:p w14:paraId="21526788" w14:textId="7E244B5D" w:rsidR="00740802" w:rsidRPr="00B92BCC" w:rsidRDefault="00740802" w:rsidP="00740802">
      <w:pPr>
        <w:spacing w:line="480" w:lineRule="auto"/>
        <w:jc w:val="center"/>
        <w:rPr>
          <w:rFonts w:ascii="Times" w:hAnsi="Times"/>
          <w:color w:val="0E101A"/>
        </w:rPr>
      </w:pPr>
      <w:r w:rsidRPr="00B92BCC">
        <w:rPr>
          <w:rFonts w:ascii="Times" w:hAnsi="Times"/>
          <w:noProof/>
          <w:color w:val="0E101A"/>
        </w:rPr>
        <w:drawing>
          <wp:inline distT="0" distB="0" distL="0" distR="0" wp14:anchorId="7C7A05DA" wp14:editId="703F85E9">
            <wp:extent cx="4211669" cy="3062601"/>
            <wp:effectExtent l="0" t="0" r="5080" b="0"/>
            <wp:docPr id="17" name="Picture 16" descr="Chart, box and whisker chart&#10;&#10;Description automatically generated">
              <a:extLst xmlns:a="http://schemas.openxmlformats.org/drawingml/2006/main">
                <a:ext uri="{FF2B5EF4-FFF2-40B4-BE49-F238E27FC236}">
                  <a16:creationId xmlns:a16="http://schemas.microsoft.com/office/drawing/2014/main" id="{1F01DA4A-F098-8D19-6ABC-11D0082540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descr="Chart, box and whisker chart&#10;&#10;Description automatically generated">
                      <a:extLst>
                        <a:ext uri="{FF2B5EF4-FFF2-40B4-BE49-F238E27FC236}">
                          <a16:creationId xmlns:a16="http://schemas.microsoft.com/office/drawing/2014/main" id="{1F01DA4A-F098-8D19-6ABC-11D0082540BF}"/>
                        </a:ext>
                      </a:extLst>
                    </pic:cNvPr>
                    <pic:cNvPicPr>
                      <a:picLocks noChangeAspect="1"/>
                    </pic:cNvPicPr>
                  </pic:nvPicPr>
                  <pic:blipFill>
                    <a:blip r:embed="rId7">
                      <a:grayscl/>
                    </a:blip>
                    <a:stretch>
                      <a:fillRect/>
                    </a:stretch>
                  </pic:blipFill>
                  <pic:spPr>
                    <a:xfrm>
                      <a:off x="0" y="0"/>
                      <a:ext cx="4223839" cy="3071451"/>
                    </a:xfrm>
                    <a:prstGeom prst="rect">
                      <a:avLst/>
                    </a:prstGeom>
                  </pic:spPr>
                </pic:pic>
              </a:graphicData>
            </a:graphic>
          </wp:inline>
        </w:drawing>
      </w:r>
    </w:p>
    <w:p w14:paraId="715A8AF8" w14:textId="516C1D01" w:rsidR="00740802" w:rsidRPr="00740802" w:rsidRDefault="00740802" w:rsidP="00740802">
      <w:pPr>
        <w:spacing w:line="480" w:lineRule="auto"/>
        <w:jc w:val="center"/>
        <w:rPr>
          <w:rFonts w:ascii="Times" w:hAnsi="Times"/>
        </w:rPr>
      </w:pPr>
    </w:p>
    <w:p w14:paraId="3AA0074A" w14:textId="0A32D4C4" w:rsidR="00740802" w:rsidRPr="00B92BCC" w:rsidRDefault="00740802" w:rsidP="00740802">
      <w:pPr>
        <w:spacing w:line="480" w:lineRule="auto"/>
        <w:rPr>
          <w:rFonts w:ascii="Times" w:hAnsi="Times"/>
          <w:color w:val="000000"/>
        </w:rPr>
      </w:pPr>
      <w:r w:rsidRPr="00B92BCC">
        <w:rPr>
          <w:rFonts w:ascii="Times" w:hAnsi="Times"/>
          <w:b/>
          <w:bCs/>
          <w:color w:val="0E101A"/>
        </w:rPr>
        <w:t xml:space="preserve">Figure 3. </w:t>
      </w:r>
      <w:r w:rsidRPr="00B92BCC">
        <w:rPr>
          <w:rFonts w:ascii="Times" w:hAnsi="Times"/>
          <w:color w:val="0E101A"/>
        </w:rPr>
        <w:t xml:space="preserve">Count of </w:t>
      </w:r>
      <w:r w:rsidRPr="00B92BCC">
        <w:rPr>
          <w:rFonts w:ascii="Times" w:hAnsi="Times"/>
          <w:i/>
          <w:iCs/>
          <w:color w:val="0E101A"/>
        </w:rPr>
        <w:t>I. wosnesenskii</w:t>
      </w:r>
      <w:r w:rsidRPr="00B92BCC">
        <w:rPr>
          <w:rFonts w:ascii="Times" w:hAnsi="Times"/>
          <w:color w:val="0E101A"/>
        </w:rPr>
        <w:t xml:space="preserve"> present on each substrate. </w:t>
      </w:r>
      <w:r w:rsidRPr="00B92BCC">
        <w:rPr>
          <w:rFonts w:ascii="Times" w:hAnsi="Times"/>
          <w:color w:val="000000"/>
        </w:rPr>
        <w:t xml:space="preserve">Rock substrates were categorized into the following sizes: </w:t>
      </w:r>
      <w:r w:rsidRPr="00B92BCC">
        <w:rPr>
          <w:rFonts w:ascii="Times" w:hAnsi="Times"/>
          <w:color w:val="0E101A"/>
        </w:rPr>
        <w:t xml:space="preserve">seaweed, pebbles (0.2-6.5cm), cobbles (6.5-25.6cm), boulders (25.6-409.6cm), and bedrock (&gt;409.6cm). </w:t>
      </w:r>
    </w:p>
    <w:p w14:paraId="284468C4" w14:textId="5B19236A" w:rsidR="00740802" w:rsidRPr="00740802" w:rsidRDefault="00740802" w:rsidP="00740802">
      <w:pPr>
        <w:spacing w:line="480" w:lineRule="auto"/>
        <w:jc w:val="center"/>
        <w:rPr>
          <w:rFonts w:ascii="Times" w:hAnsi="Times"/>
        </w:rPr>
      </w:pPr>
      <w:r w:rsidRPr="00B92BCC">
        <w:rPr>
          <w:rFonts w:ascii="Times" w:hAnsi="Times"/>
          <w:noProof/>
        </w:rPr>
        <w:lastRenderedPageBreak/>
        <w:t xml:space="preserve"> </w:t>
      </w:r>
      <w:r w:rsidRPr="00B92BCC">
        <w:rPr>
          <w:rFonts w:ascii="Times" w:hAnsi="Times" w:cs="Arial"/>
          <w:noProof/>
          <w:color w:val="0E101A"/>
          <w:bdr w:val="none" w:sz="0" w:space="0" w:color="auto" w:frame="1"/>
        </w:rPr>
        <w:drawing>
          <wp:inline distT="0" distB="0" distL="0" distR="0" wp14:anchorId="561A3791" wp14:editId="46D29EE0">
            <wp:extent cx="4537670" cy="2523352"/>
            <wp:effectExtent l="0" t="0" r="0" b="4445"/>
            <wp:docPr id="2064" name="Picture 16" descr="Chart, box and whisker chart&#10;&#10;Description automatically generated">
              <a:extLst xmlns:a="http://schemas.openxmlformats.org/drawingml/2006/main">
                <a:ext uri="{FF2B5EF4-FFF2-40B4-BE49-F238E27FC236}">
                  <a16:creationId xmlns:a16="http://schemas.microsoft.com/office/drawing/2014/main" id="{BF40F4B2-372F-F403-2635-816D334A66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Picture 16" descr="Chart, box and whisker chart&#10;&#10;Description automatically generated">
                      <a:extLst>
                        <a:ext uri="{FF2B5EF4-FFF2-40B4-BE49-F238E27FC236}">
                          <a16:creationId xmlns:a16="http://schemas.microsoft.com/office/drawing/2014/main" id="{BF40F4B2-372F-F403-2635-816D334A667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37670" cy="2523352"/>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6373FA99" w14:textId="1173F3BE" w:rsidR="00740802" w:rsidRPr="00B92BCC" w:rsidRDefault="00740802" w:rsidP="00740802">
      <w:pPr>
        <w:spacing w:line="480" w:lineRule="auto"/>
        <w:rPr>
          <w:rFonts w:ascii="Times" w:hAnsi="Times"/>
          <w:color w:val="0E101A"/>
        </w:rPr>
      </w:pPr>
      <w:r w:rsidRPr="00B92BCC">
        <w:rPr>
          <w:rFonts w:ascii="Times" w:hAnsi="Times"/>
          <w:b/>
          <w:bCs/>
          <w:color w:val="0E101A"/>
        </w:rPr>
        <w:t xml:space="preserve">Figure 4. </w:t>
      </w:r>
      <w:r w:rsidRPr="00B92BCC">
        <w:rPr>
          <w:rFonts w:ascii="Times" w:hAnsi="Times"/>
          <w:color w:val="0E101A"/>
        </w:rPr>
        <w:t xml:space="preserve">The count of </w:t>
      </w:r>
      <w:r w:rsidRPr="00B92BCC">
        <w:rPr>
          <w:rFonts w:ascii="Times" w:hAnsi="Times"/>
          <w:i/>
          <w:iCs/>
          <w:color w:val="0E101A"/>
        </w:rPr>
        <w:t>I. wosnesenskii</w:t>
      </w:r>
      <w:r w:rsidRPr="00B92BCC">
        <w:rPr>
          <w:rFonts w:ascii="Times" w:hAnsi="Times"/>
          <w:color w:val="0E101A"/>
        </w:rPr>
        <w:t xml:space="preserve"> present in areas with crabs and areas without crabs present. </w:t>
      </w:r>
    </w:p>
    <w:p w14:paraId="73619FCA" w14:textId="285A77EC" w:rsidR="00740802" w:rsidRPr="00B92BCC" w:rsidRDefault="00740802" w:rsidP="00740802">
      <w:pPr>
        <w:spacing w:line="480" w:lineRule="auto"/>
        <w:jc w:val="center"/>
        <w:rPr>
          <w:rFonts w:ascii="Times" w:hAnsi="Times"/>
        </w:rPr>
      </w:pPr>
      <w:r w:rsidRPr="00B92BCC">
        <w:rPr>
          <w:rFonts w:ascii="Times" w:hAnsi="Times"/>
          <w:noProof/>
        </w:rPr>
        <w:t xml:space="preserve"> </w:t>
      </w:r>
      <w:r w:rsidRPr="00B92BCC">
        <w:rPr>
          <w:rFonts w:ascii="Times" w:hAnsi="Times" w:cs="Arial"/>
          <w:color w:val="000000"/>
          <w:bdr w:val="none" w:sz="0" w:space="0" w:color="auto" w:frame="1"/>
        </w:rPr>
        <w:fldChar w:fldCharType="begin"/>
      </w:r>
      <w:r w:rsidRPr="00B92BCC">
        <w:rPr>
          <w:rFonts w:ascii="Times" w:hAnsi="Times" w:cs="Arial"/>
          <w:color w:val="000000"/>
          <w:bdr w:val="none" w:sz="0" w:space="0" w:color="auto" w:frame="1"/>
        </w:rPr>
        <w:instrText xml:space="preserve"> INCLUDEPICTURE "https://lh6.googleusercontent.com/3F7Jxlf4iKNZumiGsP-DODKhZc48XkF5HwLbtAA8T5wW03B-k6lQ4vG9sr_zCtPa2EzNMTuAnyz-PsJE9PdF1Qzd6sl9HbAxaLrLO3jc-QEMRjYIIFpg-wRWKwCKSak9NeFBOnCX8PNcGjECnQ" \* MERGEFORMATINET </w:instrText>
      </w:r>
      <w:r w:rsidRPr="00B92BCC">
        <w:rPr>
          <w:rFonts w:ascii="Times" w:hAnsi="Times" w:cs="Arial"/>
          <w:color w:val="000000"/>
          <w:bdr w:val="none" w:sz="0" w:space="0" w:color="auto" w:frame="1"/>
        </w:rPr>
        <w:fldChar w:fldCharType="separate"/>
      </w:r>
      <w:r w:rsidRPr="00B92BCC">
        <w:rPr>
          <w:rFonts w:ascii="Times" w:hAnsi="Times" w:cs="Arial"/>
          <w:noProof/>
          <w:color w:val="000000"/>
          <w:bdr w:val="none" w:sz="0" w:space="0" w:color="auto" w:frame="1"/>
        </w:rPr>
        <w:drawing>
          <wp:inline distT="0" distB="0" distL="0" distR="0" wp14:anchorId="565162BF" wp14:editId="0B460C1C">
            <wp:extent cx="4454554" cy="2474752"/>
            <wp:effectExtent l="0" t="0" r="3175" b="1905"/>
            <wp:docPr id="4" name="Picture 4"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ox and whisker char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97064" cy="2498368"/>
                    </a:xfrm>
                    <a:prstGeom prst="rect">
                      <a:avLst/>
                    </a:prstGeom>
                    <a:noFill/>
                    <a:ln>
                      <a:noFill/>
                    </a:ln>
                  </pic:spPr>
                </pic:pic>
              </a:graphicData>
            </a:graphic>
          </wp:inline>
        </w:drawing>
      </w:r>
      <w:r w:rsidRPr="00B92BCC">
        <w:rPr>
          <w:rFonts w:ascii="Times" w:hAnsi="Times" w:cs="Arial"/>
          <w:color w:val="000000"/>
          <w:bdr w:val="none" w:sz="0" w:space="0" w:color="auto" w:frame="1"/>
        </w:rPr>
        <w:fldChar w:fldCharType="end"/>
      </w:r>
    </w:p>
    <w:p w14:paraId="033BEAEB" w14:textId="77777777" w:rsidR="00740802" w:rsidRPr="00740802" w:rsidRDefault="00740802" w:rsidP="00740802">
      <w:pPr>
        <w:spacing w:line="480" w:lineRule="auto"/>
        <w:rPr>
          <w:rFonts w:ascii="Times" w:hAnsi="Times"/>
        </w:rPr>
      </w:pPr>
    </w:p>
    <w:p w14:paraId="2CAFE774" w14:textId="3F43F910" w:rsidR="00740802" w:rsidRPr="00B92BCC" w:rsidRDefault="00740802" w:rsidP="00740802">
      <w:pPr>
        <w:spacing w:line="480" w:lineRule="auto"/>
        <w:rPr>
          <w:rFonts w:ascii="Times" w:hAnsi="Times"/>
          <w:color w:val="0E101A"/>
        </w:rPr>
      </w:pPr>
      <w:r w:rsidRPr="00B92BCC">
        <w:rPr>
          <w:rFonts w:ascii="Times" w:hAnsi="Times"/>
          <w:b/>
          <w:bCs/>
          <w:color w:val="0E101A"/>
        </w:rPr>
        <w:t>Figure 5.</w:t>
      </w:r>
      <w:r w:rsidRPr="00B92BCC">
        <w:rPr>
          <w:rFonts w:ascii="Times" w:hAnsi="Times"/>
          <w:color w:val="0E101A"/>
        </w:rPr>
        <w:t xml:space="preserve"> </w:t>
      </w:r>
      <w:r w:rsidRPr="00B92BCC">
        <w:rPr>
          <w:rFonts w:ascii="Times" w:hAnsi="Times"/>
          <w:i/>
          <w:iCs/>
          <w:color w:val="0E101A"/>
        </w:rPr>
        <w:t>Idotea wosnesenskii</w:t>
      </w:r>
      <w:r w:rsidRPr="00B92BCC">
        <w:rPr>
          <w:rFonts w:ascii="Times" w:hAnsi="Times"/>
          <w:color w:val="0E101A"/>
        </w:rPr>
        <w:t xml:space="preserve"> count for each transect height. Low transects were located 5m away from the waterline. </w:t>
      </w:r>
    </w:p>
    <w:p w14:paraId="734F1BD1" w14:textId="77777777" w:rsidR="00740802" w:rsidRPr="00B92BCC" w:rsidRDefault="00740802" w:rsidP="00740802">
      <w:pPr>
        <w:spacing w:line="480" w:lineRule="auto"/>
        <w:rPr>
          <w:rFonts w:ascii="Times" w:hAnsi="Times"/>
          <w:b/>
          <w:bCs/>
          <w:color w:val="0E101A"/>
        </w:rPr>
      </w:pPr>
      <w:r w:rsidRPr="00B92BCC">
        <w:rPr>
          <w:rFonts w:ascii="Times" w:hAnsi="Times"/>
          <w:b/>
          <w:bCs/>
          <w:color w:val="0E101A"/>
        </w:rPr>
        <w:br w:type="page"/>
      </w:r>
    </w:p>
    <w:p w14:paraId="3CEB0721" w14:textId="77777777" w:rsidR="00740802" w:rsidRPr="00B92BCC" w:rsidRDefault="00740802" w:rsidP="00740802">
      <w:pPr>
        <w:spacing w:line="480" w:lineRule="auto"/>
        <w:rPr>
          <w:rFonts w:ascii="Times" w:hAnsi="Times"/>
        </w:rPr>
      </w:pPr>
      <w:r w:rsidRPr="00B92BCC">
        <w:rPr>
          <w:rFonts w:ascii="Times" w:hAnsi="Times"/>
          <w:b/>
          <w:bCs/>
          <w:color w:val="0E101A"/>
        </w:rPr>
        <w:lastRenderedPageBreak/>
        <w:t>LITERATURE CITED</w:t>
      </w:r>
    </w:p>
    <w:p w14:paraId="1F7D4D8A"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Alexander, D. E. (1988). Kinematics of swimming in two species of </w:t>
      </w:r>
      <w:proofErr w:type="spellStart"/>
      <w:r w:rsidRPr="00740802">
        <w:rPr>
          <w:rFonts w:ascii="Times" w:hAnsi="Times"/>
          <w:i/>
          <w:iCs/>
        </w:rPr>
        <w:t>idotea</w:t>
      </w:r>
      <w:proofErr w:type="spellEnd"/>
      <w:r w:rsidRPr="00740802">
        <w:rPr>
          <w:rFonts w:ascii="Times" w:hAnsi="Times"/>
        </w:rPr>
        <w:t xml:space="preserve"> (Isopoda: </w:t>
      </w:r>
      <w:proofErr w:type="spellStart"/>
      <w:r w:rsidRPr="00740802">
        <w:rPr>
          <w:rFonts w:ascii="Times" w:hAnsi="Times"/>
        </w:rPr>
        <w:t>Valvifera</w:t>
      </w:r>
      <w:proofErr w:type="spellEnd"/>
      <w:r w:rsidRPr="00740802">
        <w:rPr>
          <w:rFonts w:ascii="Times" w:hAnsi="Times"/>
        </w:rPr>
        <w:t xml:space="preserve">). </w:t>
      </w:r>
      <w:r w:rsidRPr="00740802">
        <w:rPr>
          <w:rFonts w:ascii="Times" w:hAnsi="Times"/>
          <w:i/>
          <w:iCs/>
        </w:rPr>
        <w:t>Journal of Experimental Biology</w:t>
      </w:r>
      <w:r w:rsidRPr="00740802">
        <w:rPr>
          <w:rFonts w:ascii="Times" w:hAnsi="Times"/>
        </w:rPr>
        <w:t xml:space="preserve">, </w:t>
      </w:r>
      <w:r w:rsidRPr="00740802">
        <w:rPr>
          <w:rFonts w:ascii="Times" w:hAnsi="Times"/>
          <w:i/>
          <w:iCs/>
        </w:rPr>
        <w:t>138</w:t>
      </w:r>
      <w:r w:rsidRPr="00740802">
        <w:rPr>
          <w:rFonts w:ascii="Times" w:hAnsi="Times"/>
        </w:rPr>
        <w:t xml:space="preserve">(1), 37–49. https://doi.org/10.1242/jeb.138.1.37 </w:t>
      </w:r>
    </w:p>
    <w:p w14:paraId="251464BA"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Boström</w:t>
      </w:r>
      <w:proofErr w:type="spellEnd"/>
      <w:r w:rsidRPr="00740802">
        <w:rPr>
          <w:rFonts w:ascii="Times" w:hAnsi="Times"/>
        </w:rPr>
        <w:t xml:space="preserve">, C., &amp; Mattila, J. (1999). The relative importance of food and shelter for seagrass-associated invertebrates: A latitudinal comparison of habitat choice by isopod grazers. </w:t>
      </w:r>
      <w:proofErr w:type="spellStart"/>
      <w:r w:rsidRPr="00740802">
        <w:rPr>
          <w:rFonts w:ascii="Times" w:hAnsi="Times"/>
          <w:i/>
          <w:iCs/>
        </w:rPr>
        <w:t>Oecologia</w:t>
      </w:r>
      <w:proofErr w:type="spellEnd"/>
      <w:r w:rsidRPr="00740802">
        <w:rPr>
          <w:rFonts w:ascii="Times" w:hAnsi="Times"/>
        </w:rPr>
        <w:t xml:space="preserve">, </w:t>
      </w:r>
      <w:r w:rsidRPr="00740802">
        <w:rPr>
          <w:rFonts w:ascii="Times" w:hAnsi="Times"/>
          <w:i/>
          <w:iCs/>
        </w:rPr>
        <w:t>120</w:t>
      </w:r>
      <w:r w:rsidRPr="00740802">
        <w:rPr>
          <w:rFonts w:ascii="Times" w:hAnsi="Times"/>
        </w:rPr>
        <w:t xml:space="preserve">(1), 162–170. https://doi.org/10.1007/s004420050845 </w:t>
      </w:r>
    </w:p>
    <w:p w14:paraId="1A68F2E3"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Engkvist</w:t>
      </w:r>
      <w:proofErr w:type="spellEnd"/>
      <w:r w:rsidRPr="00740802">
        <w:rPr>
          <w:rFonts w:ascii="Times" w:hAnsi="Times"/>
        </w:rPr>
        <w:t xml:space="preserve">, R., </w:t>
      </w:r>
      <w:proofErr w:type="spellStart"/>
      <w:r w:rsidRPr="00740802">
        <w:rPr>
          <w:rFonts w:ascii="Times" w:hAnsi="Times"/>
        </w:rPr>
        <w:t>Malm</w:t>
      </w:r>
      <w:proofErr w:type="spellEnd"/>
      <w:r w:rsidRPr="00740802">
        <w:rPr>
          <w:rFonts w:ascii="Times" w:hAnsi="Times"/>
        </w:rPr>
        <w:t xml:space="preserve">, T., &amp; </w:t>
      </w:r>
      <w:proofErr w:type="spellStart"/>
      <w:r w:rsidRPr="00740802">
        <w:rPr>
          <w:rFonts w:ascii="Times" w:hAnsi="Times"/>
        </w:rPr>
        <w:t>Tobiasson</w:t>
      </w:r>
      <w:proofErr w:type="spellEnd"/>
      <w:r w:rsidRPr="00740802">
        <w:rPr>
          <w:rFonts w:ascii="Times" w:hAnsi="Times"/>
        </w:rPr>
        <w:t xml:space="preserve">, S. (2000). Density dependent grazing effects of the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Pallas on Fucus </w:t>
      </w:r>
      <w:proofErr w:type="spellStart"/>
      <w:r w:rsidRPr="00740802">
        <w:rPr>
          <w:rFonts w:ascii="Times" w:hAnsi="Times"/>
        </w:rPr>
        <w:t>vesiculosus</w:t>
      </w:r>
      <w:proofErr w:type="spellEnd"/>
      <w:r w:rsidRPr="00740802">
        <w:rPr>
          <w:rFonts w:ascii="Times" w:hAnsi="Times"/>
        </w:rPr>
        <w:t xml:space="preserve"> L in the Baltic Sea. </w:t>
      </w:r>
      <w:r w:rsidRPr="00740802">
        <w:rPr>
          <w:rFonts w:ascii="Times" w:hAnsi="Times"/>
          <w:i/>
          <w:iCs/>
        </w:rPr>
        <w:t>Aquatic Ecology</w:t>
      </w:r>
      <w:r w:rsidRPr="00740802">
        <w:rPr>
          <w:rFonts w:ascii="Times" w:hAnsi="Times"/>
        </w:rPr>
        <w:t xml:space="preserve">, </w:t>
      </w:r>
      <w:r w:rsidRPr="00740802">
        <w:rPr>
          <w:rFonts w:ascii="Times" w:hAnsi="Times"/>
          <w:i/>
          <w:iCs/>
        </w:rPr>
        <w:t>34</w:t>
      </w:r>
      <w:r w:rsidRPr="00740802">
        <w:rPr>
          <w:rFonts w:ascii="Times" w:hAnsi="Times"/>
        </w:rPr>
        <w:t xml:space="preserve">(3), 253–260. https://doi.org/10.1023/a:1009919526259 </w:t>
      </w:r>
    </w:p>
    <w:p w14:paraId="473AB499"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Epifanio, C. E. (2013). Invasion biology of the Asian Shore crab </w:t>
      </w:r>
      <w:proofErr w:type="spellStart"/>
      <w:r w:rsidRPr="00740802">
        <w:rPr>
          <w:rFonts w:ascii="Times" w:hAnsi="Times"/>
        </w:rPr>
        <w:t>hemigrapsus</w:t>
      </w:r>
      <w:proofErr w:type="spellEnd"/>
      <w:r w:rsidRPr="00740802">
        <w:rPr>
          <w:rFonts w:ascii="Times" w:hAnsi="Times"/>
        </w:rPr>
        <w:t xml:space="preserve"> </w:t>
      </w:r>
      <w:proofErr w:type="spellStart"/>
      <w:r w:rsidRPr="00740802">
        <w:rPr>
          <w:rFonts w:ascii="Times" w:hAnsi="Times"/>
        </w:rPr>
        <w:t>sanguineus</w:t>
      </w:r>
      <w:proofErr w:type="spellEnd"/>
      <w:r w:rsidRPr="00740802">
        <w:rPr>
          <w:rFonts w:ascii="Times" w:hAnsi="Times"/>
        </w:rPr>
        <w:t xml:space="preserve">: A Review. </w:t>
      </w:r>
      <w:r w:rsidRPr="00740802">
        <w:rPr>
          <w:rFonts w:ascii="Times" w:hAnsi="Times"/>
          <w:i/>
          <w:iCs/>
        </w:rPr>
        <w:t>Journal of Experimental Marine Biology and Ecology</w:t>
      </w:r>
      <w:r w:rsidRPr="00740802">
        <w:rPr>
          <w:rFonts w:ascii="Times" w:hAnsi="Times"/>
        </w:rPr>
        <w:t xml:space="preserve">, </w:t>
      </w:r>
      <w:r w:rsidRPr="00740802">
        <w:rPr>
          <w:rFonts w:ascii="Times" w:hAnsi="Times"/>
          <w:i/>
          <w:iCs/>
        </w:rPr>
        <w:t>441</w:t>
      </w:r>
      <w:r w:rsidRPr="00740802">
        <w:rPr>
          <w:rFonts w:ascii="Times" w:hAnsi="Times"/>
        </w:rPr>
        <w:t xml:space="preserve">, 33–49. https://doi.org/10.1016/j.jembe.2013.01.010 </w:t>
      </w:r>
    </w:p>
    <w:p w14:paraId="322F2C06"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Gonzalez, H., &amp; </w:t>
      </w:r>
      <w:proofErr w:type="spellStart"/>
      <w:r w:rsidRPr="00740802">
        <w:rPr>
          <w:rFonts w:ascii="Times" w:hAnsi="Times"/>
        </w:rPr>
        <w:t>Biddanda</w:t>
      </w:r>
      <w:proofErr w:type="spellEnd"/>
      <w:r w:rsidRPr="00740802">
        <w:rPr>
          <w:rFonts w:ascii="Times" w:hAnsi="Times"/>
        </w:rPr>
        <w:t>, B. (1990). Microbial transformation of metazoan (</w:t>
      </w:r>
      <w:proofErr w:type="spellStart"/>
      <w:r w:rsidRPr="00740802">
        <w:rPr>
          <w:rFonts w:ascii="Times" w:hAnsi="Times"/>
        </w:rPr>
        <w:t>Idotea</w:t>
      </w:r>
      <w:proofErr w:type="spellEnd"/>
      <w:r w:rsidRPr="00740802">
        <w:rPr>
          <w:rFonts w:ascii="Times" w:hAnsi="Times"/>
        </w:rPr>
        <w:t xml:space="preserve"> granulosa) </w:t>
      </w:r>
      <w:proofErr w:type="spellStart"/>
      <w:r w:rsidRPr="00740802">
        <w:rPr>
          <w:rFonts w:ascii="Times" w:hAnsi="Times"/>
        </w:rPr>
        <w:t>faeces</w:t>
      </w:r>
      <w:proofErr w:type="spellEnd"/>
      <w:r w:rsidRPr="00740802">
        <w:rPr>
          <w:rFonts w:ascii="Times" w:hAnsi="Times"/>
        </w:rPr>
        <w:t xml:space="preserve">. </w:t>
      </w:r>
      <w:r w:rsidRPr="00740802">
        <w:rPr>
          <w:rFonts w:ascii="Times" w:hAnsi="Times"/>
          <w:i/>
          <w:iCs/>
        </w:rPr>
        <w:t>Marine Biology</w:t>
      </w:r>
      <w:r w:rsidRPr="00740802">
        <w:rPr>
          <w:rFonts w:ascii="Times" w:hAnsi="Times"/>
        </w:rPr>
        <w:t xml:space="preserve">, </w:t>
      </w:r>
      <w:r w:rsidRPr="00740802">
        <w:rPr>
          <w:rFonts w:ascii="Times" w:hAnsi="Times"/>
          <w:i/>
          <w:iCs/>
        </w:rPr>
        <w:t>106</w:t>
      </w:r>
      <w:r w:rsidRPr="00740802">
        <w:rPr>
          <w:rFonts w:ascii="Times" w:hAnsi="Times"/>
        </w:rPr>
        <w:t xml:space="preserve">(2), 285–295. https://doi.org/10.1007/bf01314812 </w:t>
      </w:r>
    </w:p>
    <w:p w14:paraId="56B89EDF"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Gurjanova</w:t>
      </w:r>
      <w:proofErr w:type="spellEnd"/>
      <w:r w:rsidRPr="00740802">
        <w:rPr>
          <w:rFonts w:ascii="Times" w:hAnsi="Times"/>
        </w:rPr>
        <w:t xml:space="preserve">, E. F. (1968). The influence of water movements upon the species composition and distribution of the marine fauna and flora throughout the Arctic and North Pacific Intertidal zones. </w:t>
      </w:r>
      <w:proofErr w:type="spellStart"/>
      <w:r w:rsidRPr="00740802">
        <w:rPr>
          <w:rFonts w:ascii="Times" w:hAnsi="Times"/>
          <w:i/>
          <w:iCs/>
        </w:rPr>
        <w:t>Sarsia</w:t>
      </w:r>
      <w:proofErr w:type="spellEnd"/>
      <w:r w:rsidRPr="00740802">
        <w:rPr>
          <w:rFonts w:ascii="Times" w:hAnsi="Times"/>
        </w:rPr>
        <w:t xml:space="preserve">, </w:t>
      </w:r>
      <w:r w:rsidRPr="00740802">
        <w:rPr>
          <w:rFonts w:ascii="Times" w:hAnsi="Times"/>
          <w:i/>
          <w:iCs/>
        </w:rPr>
        <w:t>34</w:t>
      </w:r>
      <w:r w:rsidRPr="00740802">
        <w:rPr>
          <w:rFonts w:ascii="Times" w:hAnsi="Times"/>
        </w:rPr>
        <w:t xml:space="preserve">(1), 83–94. https://doi.org/10.1080/00364827.1968.10413373 </w:t>
      </w:r>
    </w:p>
    <w:p w14:paraId="03B3AFCD"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Gutow</w:t>
      </w:r>
      <w:proofErr w:type="spellEnd"/>
      <w:r w:rsidRPr="00740802">
        <w:rPr>
          <w:rFonts w:ascii="Times" w:hAnsi="Times"/>
        </w:rPr>
        <w:t xml:space="preserve">, L. (2003). Local population persistence as a pre-condition for large-scale dispersal of Idotea Metallica (crustacea, Isopoda) on drifting habitat patches. </w:t>
      </w:r>
      <w:proofErr w:type="spellStart"/>
      <w:r w:rsidRPr="00740802">
        <w:rPr>
          <w:rFonts w:ascii="Times" w:hAnsi="Times"/>
          <w:i/>
          <w:iCs/>
        </w:rPr>
        <w:t>Hydrobiologia</w:t>
      </w:r>
      <w:proofErr w:type="spellEnd"/>
      <w:r w:rsidRPr="00740802">
        <w:rPr>
          <w:rFonts w:ascii="Times" w:hAnsi="Times"/>
        </w:rPr>
        <w:t xml:space="preserve">, </w:t>
      </w:r>
      <w:r w:rsidRPr="00740802">
        <w:rPr>
          <w:rFonts w:ascii="Times" w:hAnsi="Times"/>
          <w:i/>
          <w:iCs/>
        </w:rPr>
        <w:t>503</w:t>
      </w:r>
      <w:r w:rsidRPr="00740802">
        <w:rPr>
          <w:rFonts w:ascii="Times" w:hAnsi="Times"/>
        </w:rPr>
        <w:t xml:space="preserve">(1-3), 45–48. https://doi.org/10.1023/b:hydr.0000008482.33369.ec </w:t>
      </w:r>
    </w:p>
    <w:p w14:paraId="1F6BF655"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lastRenderedPageBreak/>
        <w:t xml:space="preserve">Hultgren, K. M., &amp; </w:t>
      </w:r>
      <w:proofErr w:type="spellStart"/>
      <w:r w:rsidRPr="00740802">
        <w:rPr>
          <w:rFonts w:ascii="Times" w:hAnsi="Times"/>
        </w:rPr>
        <w:t>Mittelstaedt</w:t>
      </w:r>
      <w:proofErr w:type="spellEnd"/>
      <w:r w:rsidRPr="00740802">
        <w:rPr>
          <w:rFonts w:ascii="Times" w:hAnsi="Times"/>
        </w:rPr>
        <w:t xml:space="preserve">, H. (2015). Color change in a marine isopod is adaptive in reducing predation. </w:t>
      </w:r>
      <w:r w:rsidRPr="00740802">
        <w:rPr>
          <w:rFonts w:ascii="Times" w:hAnsi="Times"/>
          <w:i/>
          <w:iCs/>
        </w:rPr>
        <w:t>Current Zoology</w:t>
      </w:r>
      <w:r w:rsidRPr="00740802">
        <w:rPr>
          <w:rFonts w:ascii="Times" w:hAnsi="Times"/>
        </w:rPr>
        <w:t xml:space="preserve">, </w:t>
      </w:r>
      <w:r w:rsidRPr="00740802">
        <w:rPr>
          <w:rFonts w:ascii="Times" w:hAnsi="Times"/>
          <w:i/>
          <w:iCs/>
        </w:rPr>
        <w:t>61</w:t>
      </w:r>
      <w:r w:rsidRPr="00740802">
        <w:rPr>
          <w:rFonts w:ascii="Times" w:hAnsi="Times"/>
        </w:rPr>
        <w:t xml:space="preserve">(4), 739–748. https://doi.org/10.1093/czoolo/61.4.739 </w:t>
      </w:r>
    </w:p>
    <w:p w14:paraId="0BD5F0D3"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Jaschinski</w:t>
      </w:r>
      <w:proofErr w:type="spellEnd"/>
      <w:r w:rsidRPr="00740802">
        <w:rPr>
          <w:rFonts w:ascii="Times" w:hAnsi="Times"/>
        </w:rPr>
        <w:t xml:space="preserve">, S., &amp; Sommer, U. (2008). Functional diversity of Mesograzers in an eelgrass–epiphyte system. </w:t>
      </w:r>
      <w:r w:rsidRPr="00740802">
        <w:rPr>
          <w:rFonts w:ascii="Times" w:hAnsi="Times"/>
          <w:i/>
          <w:iCs/>
        </w:rPr>
        <w:t>Marine Biology</w:t>
      </w:r>
      <w:r w:rsidRPr="00740802">
        <w:rPr>
          <w:rFonts w:ascii="Times" w:hAnsi="Times"/>
        </w:rPr>
        <w:t xml:space="preserve">, </w:t>
      </w:r>
      <w:r w:rsidRPr="00740802">
        <w:rPr>
          <w:rFonts w:ascii="Times" w:hAnsi="Times"/>
          <w:i/>
          <w:iCs/>
        </w:rPr>
        <w:t>154</w:t>
      </w:r>
      <w:r w:rsidRPr="00740802">
        <w:rPr>
          <w:rFonts w:ascii="Times" w:hAnsi="Times"/>
        </w:rPr>
        <w:t xml:space="preserve">(3), 475–482. https://doi.org/10.1007/s00227-008-0942-y </w:t>
      </w:r>
    </w:p>
    <w:p w14:paraId="29848F3E"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Jormalainen</w:t>
      </w:r>
      <w:proofErr w:type="spellEnd"/>
      <w:r w:rsidRPr="00740802">
        <w:rPr>
          <w:rFonts w:ascii="Times" w:hAnsi="Times"/>
        </w:rPr>
        <w:t xml:space="preserve">, V. (1995). Differential predation on sexes affects </w:t>
      </w:r>
      <w:proofErr w:type="spellStart"/>
      <w:r w:rsidRPr="00740802">
        <w:rPr>
          <w:rFonts w:ascii="Times" w:hAnsi="Times"/>
        </w:rPr>
        <w:t>colour</w:t>
      </w:r>
      <w:proofErr w:type="spellEnd"/>
      <w:r w:rsidRPr="00740802">
        <w:rPr>
          <w:rFonts w:ascii="Times" w:hAnsi="Times"/>
        </w:rPr>
        <w:t xml:space="preserve"> polymorphism of the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w:t>
      </w:r>
      <w:proofErr w:type="spellStart"/>
      <w:r w:rsidRPr="00740802">
        <w:rPr>
          <w:rFonts w:ascii="Times" w:hAnsi="Times"/>
        </w:rPr>
        <w:t>pallas</w:t>
      </w:r>
      <w:proofErr w:type="spellEnd"/>
      <w:r w:rsidRPr="00740802">
        <w:rPr>
          <w:rFonts w:ascii="Times" w:hAnsi="Times"/>
        </w:rPr>
        <w:t xml:space="preserve">). </w:t>
      </w:r>
      <w:r w:rsidRPr="00740802">
        <w:rPr>
          <w:rFonts w:ascii="Times" w:hAnsi="Times"/>
          <w:i/>
          <w:iCs/>
        </w:rPr>
        <w:t>Biological Journal of the Linnean Society</w:t>
      </w:r>
      <w:r w:rsidRPr="00740802">
        <w:rPr>
          <w:rFonts w:ascii="Times" w:hAnsi="Times"/>
        </w:rPr>
        <w:t xml:space="preserve">, </w:t>
      </w:r>
      <w:r w:rsidRPr="00740802">
        <w:rPr>
          <w:rFonts w:ascii="Times" w:hAnsi="Times"/>
          <w:i/>
          <w:iCs/>
        </w:rPr>
        <w:t>55</w:t>
      </w:r>
      <w:r w:rsidRPr="00740802">
        <w:rPr>
          <w:rFonts w:ascii="Times" w:hAnsi="Times"/>
        </w:rPr>
        <w:t xml:space="preserve">(1), 45–68. https://doi.org/10.1016/0024-4066(95)90028-4 </w:t>
      </w:r>
    </w:p>
    <w:p w14:paraId="5D780707"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Kotta, J., </w:t>
      </w:r>
      <w:proofErr w:type="spellStart"/>
      <w:r w:rsidRPr="00740802">
        <w:rPr>
          <w:rFonts w:ascii="Times" w:hAnsi="Times"/>
        </w:rPr>
        <w:t>Paalme</w:t>
      </w:r>
      <w:proofErr w:type="spellEnd"/>
      <w:r w:rsidRPr="00740802">
        <w:rPr>
          <w:rFonts w:ascii="Times" w:hAnsi="Times"/>
        </w:rPr>
        <w:t xml:space="preserve">, T., Martin, G., &amp; </w:t>
      </w:r>
      <w:proofErr w:type="spellStart"/>
      <w:r w:rsidRPr="00740802">
        <w:rPr>
          <w:rFonts w:ascii="Times" w:hAnsi="Times"/>
        </w:rPr>
        <w:t>Mäkinen</w:t>
      </w:r>
      <w:proofErr w:type="spellEnd"/>
      <w:r w:rsidRPr="00740802">
        <w:rPr>
          <w:rFonts w:ascii="Times" w:hAnsi="Times"/>
        </w:rPr>
        <w:t xml:space="preserve">, A. (2000). Major changes in macroalgae community composition </w:t>
      </w:r>
      <w:proofErr w:type="spellStart"/>
      <w:r w:rsidRPr="00740802">
        <w:rPr>
          <w:rFonts w:ascii="Times" w:hAnsi="Times"/>
        </w:rPr>
        <w:t>affectthe</w:t>
      </w:r>
      <w:proofErr w:type="spellEnd"/>
      <w:r w:rsidRPr="00740802">
        <w:rPr>
          <w:rFonts w:ascii="Times" w:hAnsi="Times"/>
        </w:rPr>
        <w:t xml:space="preserve"> food and Habitat Preference </w:t>
      </w:r>
      <w:proofErr w:type="spellStart"/>
      <w:r w:rsidRPr="00740802">
        <w:rPr>
          <w:rFonts w:ascii="Times" w:hAnsi="Times"/>
        </w:rPr>
        <w:t>Ofidotea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w:t>
      </w:r>
      <w:r w:rsidRPr="00740802">
        <w:rPr>
          <w:rFonts w:ascii="Times" w:hAnsi="Times"/>
          <w:i/>
          <w:iCs/>
        </w:rPr>
        <w:t>International Review of Hydrobiology</w:t>
      </w:r>
      <w:r w:rsidRPr="00740802">
        <w:rPr>
          <w:rFonts w:ascii="Times" w:hAnsi="Times"/>
        </w:rPr>
        <w:t xml:space="preserve">, </w:t>
      </w:r>
      <w:r w:rsidRPr="00740802">
        <w:rPr>
          <w:rFonts w:ascii="Times" w:hAnsi="Times"/>
          <w:i/>
          <w:iCs/>
        </w:rPr>
        <w:t>85</w:t>
      </w:r>
      <w:r w:rsidRPr="00740802">
        <w:rPr>
          <w:rFonts w:ascii="Times" w:hAnsi="Times"/>
        </w:rPr>
        <w:t>(5-6), 697–705. https://doi.org/10.1002/1522-2632(200011)85:5/6&lt;</w:t>
      </w:r>
      <w:proofErr w:type="gramStart"/>
      <w:r w:rsidRPr="00740802">
        <w:rPr>
          <w:rFonts w:ascii="Times" w:hAnsi="Times"/>
        </w:rPr>
        <w:t>697::</w:t>
      </w:r>
      <w:proofErr w:type="gramEnd"/>
      <w:r w:rsidRPr="00740802">
        <w:rPr>
          <w:rFonts w:ascii="Times" w:hAnsi="Times"/>
        </w:rPr>
        <w:t xml:space="preserve">aid-iroh697&gt;3.0.co;2-0 </w:t>
      </w:r>
    </w:p>
    <w:p w14:paraId="60B278A6"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Lee, W. L., &amp; Gilchrist, B. M. (1972). Pigmentation, color change and the ecology of the marine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Resecata</w:t>
      </w:r>
      <w:proofErr w:type="spellEnd"/>
      <w:r w:rsidRPr="00740802">
        <w:rPr>
          <w:rFonts w:ascii="Times" w:hAnsi="Times"/>
        </w:rPr>
        <w:t xml:space="preserve"> (Stimpson). </w:t>
      </w:r>
      <w:r w:rsidRPr="00740802">
        <w:rPr>
          <w:rFonts w:ascii="Times" w:hAnsi="Times"/>
          <w:i/>
          <w:iCs/>
        </w:rPr>
        <w:t>Journal of Experimental Marine Biology and Ecology</w:t>
      </w:r>
      <w:r w:rsidRPr="00740802">
        <w:rPr>
          <w:rFonts w:ascii="Times" w:hAnsi="Times"/>
        </w:rPr>
        <w:t xml:space="preserve">, </w:t>
      </w:r>
      <w:r w:rsidRPr="00740802">
        <w:rPr>
          <w:rFonts w:ascii="Times" w:hAnsi="Times"/>
          <w:i/>
          <w:iCs/>
        </w:rPr>
        <w:t>10</w:t>
      </w:r>
      <w:r w:rsidRPr="00740802">
        <w:rPr>
          <w:rFonts w:ascii="Times" w:hAnsi="Times"/>
        </w:rPr>
        <w:t xml:space="preserve">(1), 1–27. https://doi.org/10.1016/0022-0981(72)90089-5 </w:t>
      </w:r>
    </w:p>
    <w:p w14:paraId="39CB61BB"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Leifsson</w:t>
      </w:r>
      <w:proofErr w:type="spellEnd"/>
      <w:r w:rsidRPr="00740802">
        <w:rPr>
          <w:rFonts w:ascii="Times" w:hAnsi="Times"/>
        </w:rPr>
        <w:t xml:space="preserve">, B. R. (1998). Life cycles, breeding periods and vertical distribution of </w:t>
      </w:r>
      <w:proofErr w:type="spellStart"/>
      <w:r w:rsidRPr="00740802">
        <w:rPr>
          <w:rFonts w:ascii="Times" w:hAnsi="Times"/>
        </w:rPr>
        <w:t>idotea</w:t>
      </w:r>
      <w:proofErr w:type="spellEnd"/>
      <w:r w:rsidRPr="00740802">
        <w:rPr>
          <w:rFonts w:ascii="Times" w:hAnsi="Times"/>
        </w:rPr>
        <w:t xml:space="preserve"> granulosa (crustacea, Isopoda) on Icelandic Shores. </w:t>
      </w:r>
      <w:proofErr w:type="spellStart"/>
      <w:r w:rsidRPr="00740802">
        <w:rPr>
          <w:rFonts w:ascii="Times" w:hAnsi="Times"/>
          <w:i/>
          <w:iCs/>
        </w:rPr>
        <w:t>Sarsia</w:t>
      </w:r>
      <w:proofErr w:type="spellEnd"/>
      <w:r w:rsidRPr="00740802">
        <w:rPr>
          <w:rFonts w:ascii="Times" w:hAnsi="Times"/>
        </w:rPr>
        <w:t xml:space="preserve">, </w:t>
      </w:r>
      <w:r w:rsidRPr="00740802">
        <w:rPr>
          <w:rFonts w:ascii="Times" w:hAnsi="Times"/>
          <w:i/>
          <w:iCs/>
        </w:rPr>
        <w:t>83</w:t>
      </w:r>
      <w:r w:rsidRPr="00740802">
        <w:rPr>
          <w:rFonts w:ascii="Times" w:hAnsi="Times"/>
        </w:rPr>
        <w:t xml:space="preserve">(1), 1–13. https://doi.org/10.1080/00364827.1998.10413664 </w:t>
      </w:r>
    </w:p>
    <w:p w14:paraId="4A710C37"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lastRenderedPageBreak/>
        <w:t>Merilaita</w:t>
      </w:r>
      <w:proofErr w:type="spellEnd"/>
      <w:r w:rsidRPr="00740802">
        <w:rPr>
          <w:rFonts w:ascii="Times" w:hAnsi="Times"/>
        </w:rPr>
        <w:t xml:space="preserve">, S. (2001). Habitat heterogeneity, </w:t>
      </w:r>
      <w:proofErr w:type="gramStart"/>
      <w:r w:rsidRPr="00740802">
        <w:rPr>
          <w:rFonts w:ascii="Times" w:hAnsi="Times"/>
        </w:rPr>
        <w:t>predation</w:t>
      </w:r>
      <w:proofErr w:type="gramEnd"/>
      <w:r w:rsidRPr="00740802">
        <w:rPr>
          <w:rFonts w:ascii="Times" w:hAnsi="Times"/>
        </w:rPr>
        <w:t xml:space="preserve"> and gene flow: </w:t>
      </w:r>
      <w:proofErr w:type="spellStart"/>
      <w:r w:rsidRPr="00740802">
        <w:rPr>
          <w:rFonts w:ascii="Times" w:hAnsi="Times"/>
        </w:rPr>
        <w:t>Colour</w:t>
      </w:r>
      <w:proofErr w:type="spellEnd"/>
      <w:r w:rsidRPr="00740802">
        <w:rPr>
          <w:rFonts w:ascii="Times" w:hAnsi="Times"/>
        </w:rPr>
        <w:t xml:space="preserve"> polymorphism in the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w:t>
      </w:r>
      <w:r w:rsidRPr="00740802">
        <w:rPr>
          <w:rFonts w:ascii="Times" w:hAnsi="Times"/>
          <w:i/>
          <w:iCs/>
        </w:rPr>
        <w:t>Evolutionary Ecology</w:t>
      </w:r>
      <w:r w:rsidRPr="00740802">
        <w:rPr>
          <w:rFonts w:ascii="Times" w:hAnsi="Times"/>
        </w:rPr>
        <w:t xml:space="preserve">, </w:t>
      </w:r>
      <w:r w:rsidRPr="00740802">
        <w:rPr>
          <w:rFonts w:ascii="Times" w:hAnsi="Times"/>
          <w:i/>
          <w:iCs/>
        </w:rPr>
        <w:t>15</w:t>
      </w:r>
      <w:r w:rsidRPr="00740802">
        <w:rPr>
          <w:rFonts w:ascii="Times" w:hAnsi="Times"/>
        </w:rPr>
        <w:t xml:space="preserve">(2), 103–116. https://doi.org/10.1023/a:1013814623311 </w:t>
      </w:r>
    </w:p>
    <w:p w14:paraId="6DEE662E"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Naylor, E. (1955</w:t>
      </w:r>
      <w:r w:rsidRPr="00B92BCC">
        <w:rPr>
          <w:rFonts w:ascii="Times" w:hAnsi="Times"/>
        </w:rPr>
        <w:t>a</w:t>
      </w:r>
      <w:r w:rsidRPr="00740802">
        <w:rPr>
          <w:rFonts w:ascii="Times" w:hAnsi="Times"/>
        </w:rPr>
        <w:t xml:space="preserve">). The diet and feeding mechanism of </w:t>
      </w:r>
      <w:proofErr w:type="spellStart"/>
      <w:r w:rsidRPr="00740802">
        <w:rPr>
          <w:rFonts w:ascii="Times" w:hAnsi="Times"/>
          <w:i/>
          <w:iCs/>
        </w:rPr>
        <w:t>idotea</w:t>
      </w:r>
      <w:proofErr w:type="spellEnd"/>
      <w:r w:rsidRPr="00740802">
        <w:rPr>
          <w:rFonts w:ascii="Times" w:hAnsi="Times"/>
        </w:rPr>
        <w:t xml:space="preserve">. </w:t>
      </w:r>
      <w:r w:rsidRPr="00740802">
        <w:rPr>
          <w:rFonts w:ascii="Times" w:hAnsi="Times"/>
          <w:i/>
          <w:iCs/>
        </w:rPr>
        <w:t>Journal of the Marine Biological Association of the United Kingdom</w:t>
      </w:r>
      <w:r w:rsidRPr="00740802">
        <w:rPr>
          <w:rFonts w:ascii="Times" w:hAnsi="Times"/>
        </w:rPr>
        <w:t xml:space="preserve">, </w:t>
      </w:r>
      <w:r w:rsidRPr="00740802">
        <w:rPr>
          <w:rFonts w:ascii="Times" w:hAnsi="Times"/>
          <w:i/>
          <w:iCs/>
        </w:rPr>
        <w:t>34</w:t>
      </w:r>
      <w:r w:rsidRPr="00740802">
        <w:rPr>
          <w:rFonts w:ascii="Times" w:hAnsi="Times"/>
        </w:rPr>
        <w:t xml:space="preserve">(2), 347–355. https://doi.org/10.1017/s0025315400027703 </w:t>
      </w:r>
    </w:p>
    <w:p w14:paraId="6DD2E87F"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Naylor, E. (1955</w:t>
      </w:r>
      <w:r w:rsidRPr="00B92BCC">
        <w:rPr>
          <w:rFonts w:ascii="Times" w:hAnsi="Times"/>
        </w:rPr>
        <w:t>b</w:t>
      </w:r>
      <w:r w:rsidRPr="00740802">
        <w:rPr>
          <w:rFonts w:ascii="Times" w:hAnsi="Times"/>
        </w:rPr>
        <w:t xml:space="preserve">). The ecological distribution of British species of Idotea (Isopoda). </w:t>
      </w:r>
      <w:r w:rsidRPr="00740802">
        <w:rPr>
          <w:rFonts w:ascii="Times" w:hAnsi="Times"/>
          <w:i/>
          <w:iCs/>
        </w:rPr>
        <w:t>The Journal of Animal Ecology</w:t>
      </w:r>
      <w:r w:rsidRPr="00740802">
        <w:rPr>
          <w:rFonts w:ascii="Times" w:hAnsi="Times"/>
        </w:rPr>
        <w:t xml:space="preserve">, </w:t>
      </w:r>
      <w:r w:rsidRPr="00740802">
        <w:rPr>
          <w:rFonts w:ascii="Times" w:hAnsi="Times"/>
          <w:i/>
          <w:iCs/>
        </w:rPr>
        <w:t>24</w:t>
      </w:r>
      <w:r w:rsidRPr="00740802">
        <w:rPr>
          <w:rFonts w:ascii="Times" w:hAnsi="Times"/>
        </w:rPr>
        <w:t xml:space="preserve">(2), 255. https://doi.org/10.2307/1713 </w:t>
      </w:r>
    </w:p>
    <w:p w14:paraId="4F2E3EA8"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Orav</w:t>
      </w:r>
      <w:proofErr w:type="spellEnd"/>
      <w:r w:rsidRPr="00740802">
        <w:rPr>
          <w:rFonts w:ascii="Times" w:hAnsi="Times"/>
        </w:rPr>
        <w:t xml:space="preserve">-Kotta, H., &amp; Kotta, J. (2004). Food and habitat choice of the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in the northeastern Baltic Sea. </w:t>
      </w:r>
      <w:proofErr w:type="spellStart"/>
      <w:r w:rsidRPr="00740802">
        <w:rPr>
          <w:rFonts w:ascii="Times" w:hAnsi="Times"/>
          <w:i/>
          <w:iCs/>
        </w:rPr>
        <w:t>Hydrobiologia</w:t>
      </w:r>
      <w:proofErr w:type="spellEnd"/>
      <w:r w:rsidRPr="00740802">
        <w:rPr>
          <w:rFonts w:ascii="Times" w:hAnsi="Times"/>
        </w:rPr>
        <w:t xml:space="preserve">, </w:t>
      </w:r>
      <w:r w:rsidRPr="00740802">
        <w:rPr>
          <w:rFonts w:ascii="Times" w:hAnsi="Times"/>
          <w:i/>
          <w:iCs/>
        </w:rPr>
        <w:t>514</w:t>
      </w:r>
      <w:r w:rsidRPr="00740802">
        <w:rPr>
          <w:rFonts w:ascii="Times" w:hAnsi="Times"/>
        </w:rPr>
        <w:t xml:space="preserve">(1-3), 79–85. https://doi.org/10.1023/b:hydr.0000018208.72394.09 </w:t>
      </w:r>
    </w:p>
    <w:p w14:paraId="3C2689E0"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Panova</w:t>
      </w:r>
      <w:proofErr w:type="spellEnd"/>
      <w:r w:rsidRPr="00740802">
        <w:rPr>
          <w:rFonts w:ascii="Times" w:hAnsi="Times"/>
        </w:rPr>
        <w:t xml:space="preserve">, M., Nygren, A., Jonsson, P. R., &amp; </w:t>
      </w:r>
      <w:proofErr w:type="spellStart"/>
      <w:r w:rsidRPr="00740802">
        <w:rPr>
          <w:rFonts w:ascii="Times" w:hAnsi="Times"/>
        </w:rPr>
        <w:t>Leidenberger</w:t>
      </w:r>
      <w:proofErr w:type="spellEnd"/>
      <w:r w:rsidRPr="00740802">
        <w:rPr>
          <w:rFonts w:ascii="Times" w:hAnsi="Times"/>
        </w:rPr>
        <w:t xml:space="preserve">, S. (2016). A molecular phylogeny of the north-east Atlantic species of the genus with focus on the Baltic Sea. </w:t>
      </w:r>
      <w:proofErr w:type="spellStart"/>
      <w:r w:rsidRPr="00740802">
        <w:rPr>
          <w:rFonts w:ascii="Times" w:hAnsi="Times"/>
          <w:i/>
          <w:iCs/>
        </w:rPr>
        <w:t>Zoologica</w:t>
      </w:r>
      <w:proofErr w:type="spellEnd"/>
      <w:r w:rsidRPr="00740802">
        <w:rPr>
          <w:rFonts w:ascii="Times" w:hAnsi="Times"/>
          <w:i/>
          <w:iCs/>
        </w:rPr>
        <w:t xml:space="preserve"> Scripta</w:t>
      </w:r>
      <w:r w:rsidRPr="00740802">
        <w:rPr>
          <w:rFonts w:ascii="Times" w:hAnsi="Times"/>
        </w:rPr>
        <w:t xml:space="preserve">, </w:t>
      </w:r>
      <w:r w:rsidRPr="00740802">
        <w:rPr>
          <w:rFonts w:ascii="Times" w:hAnsi="Times"/>
          <w:i/>
          <w:iCs/>
        </w:rPr>
        <w:t>46</w:t>
      </w:r>
      <w:r w:rsidRPr="00740802">
        <w:rPr>
          <w:rFonts w:ascii="Times" w:hAnsi="Times"/>
        </w:rPr>
        <w:t xml:space="preserve">(2), 188–199. https://doi.org/10.1111/zsc.12200 </w:t>
      </w:r>
    </w:p>
    <w:p w14:paraId="2D841DDC"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Rafi, F., &amp; </w:t>
      </w:r>
      <w:proofErr w:type="spellStart"/>
      <w:r w:rsidRPr="00740802">
        <w:rPr>
          <w:rFonts w:ascii="Times" w:hAnsi="Times"/>
        </w:rPr>
        <w:t>Laubitz</w:t>
      </w:r>
      <w:proofErr w:type="spellEnd"/>
      <w:r w:rsidRPr="00740802">
        <w:rPr>
          <w:rFonts w:ascii="Times" w:hAnsi="Times"/>
        </w:rPr>
        <w:t xml:space="preserve">, D. R. (1990). The </w:t>
      </w:r>
      <w:proofErr w:type="spellStart"/>
      <w:r w:rsidRPr="00740802">
        <w:rPr>
          <w:rFonts w:ascii="Times" w:hAnsi="Times"/>
        </w:rPr>
        <w:t>idoteidae</w:t>
      </w:r>
      <w:proofErr w:type="spellEnd"/>
      <w:r w:rsidRPr="00740802">
        <w:rPr>
          <w:rFonts w:ascii="Times" w:hAnsi="Times"/>
        </w:rPr>
        <w:t xml:space="preserve"> (crustacea: Isopoda: </w:t>
      </w:r>
      <w:proofErr w:type="spellStart"/>
      <w:r w:rsidRPr="00740802">
        <w:rPr>
          <w:rFonts w:ascii="Times" w:hAnsi="Times"/>
        </w:rPr>
        <w:t>Valvifera</w:t>
      </w:r>
      <w:proofErr w:type="spellEnd"/>
      <w:r w:rsidRPr="00740802">
        <w:rPr>
          <w:rFonts w:ascii="Times" w:hAnsi="Times"/>
        </w:rPr>
        <w:t xml:space="preserve">) of the shallow waters of the northeastern North Pacific Ocean. </w:t>
      </w:r>
      <w:r w:rsidRPr="00740802">
        <w:rPr>
          <w:rFonts w:ascii="Times" w:hAnsi="Times"/>
          <w:i/>
          <w:iCs/>
        </w:rPr>
        <w:t>Canadian Journal of Zoology</w:t>
      </w:r>
      <w:r w:rsidRPr="00740802">
        <w:rPr>
          <w:rFonts w:ascii="Times" w:hAnsi="Times"/>
        </w:rPr>
        <w:t xml:space="preserve">, </w:t>
      </w:r>
      <w:r w:rsidRPr="00740802">
        <w:rPr>
          <w:rFonts w:ascii="Times" w:hAnsi="Times"/>
          <w:i/>
          <w:iCs/>
        </w:rPr>
        <w:t>68</w:t>
      </w:r>
      <w:r w:rsidRPr="00740802">
        <w:rPr>
          <w:rFonts w:ascii="Times" w:hAnsi="Times"/>
        </w:rPr>
        <w:t xml:space="preserve">(12), 2649–2687. https://doi.org/10.1139/z90-370 </w:t>
      </w:r>
    </w:p>
    <w:p w14:paraId="407A3F56"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Ranta</w:t>
      </w:r>
      <w:proofErr w:type="spellEnd"/>
      <w:r w:rsidRPr="00740802">
        <w:rPr>
          <w:rFonts w:ascii="Times" w:hAnsi="Times"/>
        </w:rPr>
        <w:t xml:space="preserve">, E., &amp; </w:t>
      </w:r>
      <w:proofErr w:type="spellStart"/>
      <w:r w:rsidRPr="00740802">
        <w:rPr>
          <w:rFonts w:ascii="Times" w:hAnsi="Times"/>
        </w:rPr>
        <w:t>Salemaa</w:t>
      </w:r>
      <w:proofErr w:type="spellEnd"/>
      <w:r w:rsidRPr="00740802">
        <w:rPr>
          <w:rFonts w:ascii="Times" w:hAnsi="Times"/>
        </w:rPr>
        <w:t xml:space="preserve">, H. (1991). Phenotypic variability of the intertidal isopod </w:t>
      </w:r>
      <w:proofErr w:type="spellStart"/>
      <w:r w:rsidRPr="00740802">
        <w:rPr>
          <w:rFonts w:ascii="Times" w:hAnsi="Times"/>
        </w:rPr>
        <w:t>idotea</w:t>
      </w:r>
      <w:proofErr w:type="spellEnd"/>
      <w:r w:rsidRPr="00740802">
        <w:rPr>
          <w:rFonts w:ascii="Times" w:hAnsi="Times"/>
        </w:rPr>
        <w:t xml:space="preserve"> granulosa </w:t>
      </w:r>
      <w:proofErr w:type="spellStart"/>
      <w:r w:rsidRPr="00740802">
        <w:rPr>
          <w:rFonts w:ascii="Times" w:hAnsi="Times"/>
        </w:rPr>
        <w:t>Rathke</w:t>
      </w:r>
      <w:proofErr w:type="spellEnd"/>
      <w:r w:rsidRPr="00740802">
        <w:rPr>
          <w:rFonts w:ascii="Times" w:hAnsi="Times"/>
        </w:rPr>
        <w:t xml:space="preserve"> in the Irish Sea. </w:t>
      </w:r>
      <w:proofErr w:type="spellStart"/>
      <w:r w:rsidRPr="00740802">
        <w:rPr>
          <w:rFonts w:ascii="Times" w:hAnsi="Times"/>
          <w:i/>
          <w:iCs/>
        </w:rPr>
        <w:t>Crustaceana</w:t>
      </w:r>
      <w:proofErr w:type="spellEnd"/>
      <w:r w:rsidRPr="00740802">
        <w:rPr>
          <w:rFonts w:ascii="Times" w:hAnsi="Times"/>
        </w:rPr>
        <w:t xml:space="preserve">, </w:t>
      </w:r>
      <w:r w:rsidRPr="00740802">
        <w:rPr>
          <w:rFonts w:ascii="Times" w:hAnsi="Times"/>
          <w:i/>
          <w:iCs/>
        </w:rPr>
        <w:t>61</w:t>
      </w:r>
      <w:r w:rsidRPr="00740802">
        <w:rPr>
          <w:rFonts w:ascii="Times" w:hAnsi="Times"/>
        </w:rPr>
        <w:t xml:space="preserve">(2), 155–174. https://doi.org/10.1163/156854091x00650 </w:t>
      </w:r>
    </w:p>
    <w:p w14:paraId="2CDCABD9"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lastRenderedPageBreak/>
        <w:t xml:space="preserve">Roth, O., Kurtz, J., &amp; </w:t>
      </w:r>
      <w:proofErr w:type="spellStart"/>
      <w:r w:rsidRPr="00740802">
        <w:rPr>
          <w:rFonts w:ascii="Times" w:hAnsi="Times"/>
        </w:rPr>
        <w:t>Reusch</w:t>
      </w:r>
      <w:proofErr w:type="spellEnd"/>
      <w:r w:rsidRPr="00740802">
        <w:rPr>
          <w:rFonts w:ascii="Times" w:hAnsi="Times"/>
        </w:rPr>
        <w:t xml:space="preserve">, T. B. (2010). A summer heat wave decreases the immunocompetence of the MESOGRAZER,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w:t>
      </w:r>
      <w:r w:rsidRPr="00740802">
        <w:rPr>
          <w:rFonts w:ascii="Times" w:hAnsi="Times"/>
          <w:i/>
          <w:iCs/>
        </w:rPr>
        <w:t>Marine Biology</w:t>
      </w:r>
      <w:r w:rsidRPr="00740802">
        <w:rPr>
          <w:rFonts w:ascii="Times" w:hAnsi="Times"/>
        </w:rPr>
        <w:t xml:space="preserve">, </w:t>
      </w:r>
      <w:r w:rsidRPr="00740802">
        <w:rPr>
          <w:rFonts w:ascii="Times" w:hAnsi="Times"/>
          <w:i/>
          <w:iCs/>
        </w:rPr>
        <w:t>157</w:t>
      </w:r>
      <w:r w:rsidRPr="00740802">
        <w:rPr>
          <w:rFonts w:ascii="Times" w:hAnsi="Times"/>
        </w:rPr>
        <w:t xml:space="preserve">(7), 1605–1611. https://doi.org/10.1007/s00227-010-1433-5 </w:t>
      </w:r>
    </w:p>
    <w:p w14:paraId="28B96300"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Rugiu</w:t>
      </w:r>
      <w:proofErr w:type="spellEnd"/>
      <w:r w:rsidRPr="00740802">
        <w:rPr>
          <w:rFonts w:ascii="Times" w:hAnsi="Times"/>
        </w:rPr>
        <w:t xml:space="preserve">, L., de Wit, P., </w:t>
      </w:r>
      <w:proofErr w:type="spellStart"/>
      <w:r w:rsidRPr="00740802">
        <w:rPr>
          <w:rFonts w:ascii="Times" w:hAnsi="Times"/>
        </w:rPr>
        <w:t>Kostian</w:t>
      </w:r>
      <w:proofErr w:type="spellEnd"/>
      <w:r w:rsidRPr="00740802">
        <w:rPr>
          <w:rFonts w:ascii="Times" w:hAnsi="Times"/>
        </w:rPr>
        <w:t xml:space="preserve">, I., &amp; </w:t>
      </w:r>
      <w:proofErr w:type="spellStart"/>
      <w:r w:rsidRPr="00740802">
        <w:rPr>
          <w:rFonts w:ascii="Times" w:hAnsi="Times"/>
        </w:rPr>
        <w:t>Jormalainen</w:t>
      </w:r>
      <w:proofErr w:type="spellEnd"/>
      <w:r w:rsidRPr="00740802">
        <w:rPr>
          <w:rFonts w:ascii="Times" w:hAnsi="Times"/>
        </w:rPr>
        <w:t xml:space="preserve">, V. (2021). Climate change driven </w:t>
      </w:r>
      <w:proofErr w:type="spellStart"/>
      <w:r w:rsidRPr="00740802">
        <w:rPr>
          <w:rFonts w:ascii="Times" w:hAnsi="Times"/>
        </w:rPr>
        <w:t>hyposalinity</w:t>
      </w:r>
      <w:proofErr w:type="spellEnd"/>
      <w:r w:rsidRPr="00740802">
        <w:rPr>
          <w:rFonts w:ascii="Times" w:hAnsi="Times"/>
        </w:rPr>
        <w:t xml:space="preserve"> as a selective agent in the littoral </w:t>
      </w:r>
      <w:proofErr w:type="spellStart"/>
      <w:r w:rsidRPr="00740802">
        <w:rPr>
          <w:rFonts w:ascii="Times" w:hAnsi="Times"/>
        </w:rPr>
        <w:t>mesoherbivore</w:t>
      </w:r>
      <w:proofErr w:type="spellEnd"/>
      <w:r w:rsidRPr="00740802">
        <w:rPr>
          <w:rFonts w:ascii="Times" w:hAnsi="Times"/>
        </w:rPr>
        <w:t xml:space="preserve">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balthica</w:t>
      </w:r>
      <w:proofErr w:type="spellEnd"/>
      <w:r w:rsidRPr="00740802">
        <w:rPr>
          <w:rFonts w:ascii="Times" w:hAnsi="Times"/>
        </w:rPr>
        <w:t xml:space="preserve">. </w:t>
      </w:r>
      <w:r w:rsidRPr="00740802">
        <w:rPr>
          <w:rFonts w:ascii="Times" w:hAnsi="Times"/>
          <w:i/>
          <w:iCs/>
        </w:rPr>
        <w:t>Marine Environmental Research</w:t>
      </w:r>
      <w:r w:rsidRPr="00740802">
        <w:rPr>
          <w:rFonts w:ascii="Times" w:hAnsi="Times"/>
        </w:rPr>
        <w:t xml:space="preserve">, </w:t>
      </w:r>
      <w:r w:rsidRPr="00740802">
        <w:rPr>
          <w:rFonts w:ascii="Times" w:hAnsi="Times"/>
          <w:i/>
          <w:iCs/>
        </w:rPr>
        <w:t>163</w:t>
      </w:r>
      <w:r w:rsidRPr="00740802">
        <w:rPr>
          <w:rFonts w:ascii="Times" w:hAnsi="Times"/>
        </w:rPr>
        <w:t xml:space="preserve">, 105216. https://doi.org/10.1016/j.marenvres.2020.105216 </w:t>
      </w:r>
    </w:p>
    <w:p w14:paraId="6B17AF32"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Salemaa</w:t>
      </w:r>
      <w:proofErr w:type="spellEnd"/>
      <w:r w:rsidRPr="00740802">
        <w:rPr>
          <w:rFonts w:ascii="Times" w:hAnsi="Times"/>
        </w:rPr>
        <w:t xml:space="preserve">, H. (1979). Ecology of Idotea spp. (Isopoda) in the northern Baltic. </w:t>
      </w:r>
      <w:r w:rsidRPr="00740802">
        <w:rPr>
          <w:rFonts w:ascii="Times" w:hAnsi="Times"/>
          <w:i/>
          <w:iCs/>
        </w:rPr>
        <w:t>Ophelia</w:t>
      </w:r>
      <w:r w:rsidRPr="00740802">
        <w:rPr>
          <w:rFonts w:ascii="Times" w:hAnsi="Times"/>
        </w:rPr>
        <w:t xml:space="preserve">, </w:t>
      </w:r>
      <w:r w:rsidRPr="00740802">
        <w:rPr>
          <w:rFonts w:ascii="Times" w:hAnsi="Times"/>
          <w:i/>
          <w:iCs/>
        </w:rPr>
        <w:t>18</w:t>
      </w:r>
      <w:r w:rsidRPr="00740802">
        <w:rPr>
          <w:rFonts w:ascii="Times" w:hAnsi="Times"/>
        </w:rPr>
        <w:t xml:space="preserve">(1), 133–150. https://doi.org/10.1080/00785326.1979.10425495 </w:t>
      </w:r>
    </w:p>
    <w:p w14:paraId="06A8F3D9"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Salemaa</w:t>
      </w:r>
      <w:proofErr w:type="spellEnd"/>
      <w:r w:rsidRPr="00740802">
        <w:rPr>
          <w:rFonts w:ascii="Times" w:hAnsi="Times"/>
        </w:rPr>
        <w:t xml:space="preserve">, H. (1986). Breeding Biology and microhabitat utilization of the intertidal isopod </w:t>
      </w:r>
      <w:proofErr w:type="spellStart"/>
      <w:r w:rsidRPr="00740802">
        <w:rPr>
          <w:rFonts w:ascii="Times" w:hAnsi="Times"/>
        </w:rPr>
        <w:t>idotea</w:t>
      </w:r>
      <w:proofErr w:type="spellEnd"/>
      <w:r w:rsidRPr="00740802">
        <w:rPr>
          <w:rFonts w:ascii="Times" w:hAnsi="Times"/>
        </w:rPr>
        <w:t xml:space="preserve"> granulosa </w:t>
      </w:r>
      <w:proofErr w:type="spellStart"/>
      <w:r w:rsidRPr="00740802">
        <w:rPr>
          <w:rFonts w:ascii="Times" w:hAnsi="Times"/>
        </w:rPr>
        <w:t>Rathke</w:t>
      </w:r>
      <w:proofErr w:type="spellEnd"/>
      <w:r w:rsidRPr="00740802">
        <w:rPr>
          <w:rFonts w:ascii="Times" w:hAnsi="Times"/>
        </w:rPr>
        <w:t xml:space="preserve">, in the Irish Sea. </w:t>
      </w:r>
      <w:r w:rsidRPr="00740802">
        <w:rPr>
          <w:rFonts w:ascii="Times" w:hAnsi="Times"/>
          <w:i/>
          <w:iCs/>
        </w:rPr>
        <w:t>Estuarine, Coastal and Shelf Science</w:t>
      </w:r>
      <w:r w:rsidRPr="00740802">
        <w:rPr>
          <w:rFonts w:ascii="Times" w:hAnsi="Times"/>
        </w:rPr>
        <w:t xml:space="preserve">, </w:t>
      </w:r>
      <w:r w:rsidRPr="00740802">
        <w:rPr>
          <w:rFonts w:ascii="Times" w:hAnsi="Times"/>
          <w:i/>
          <w:iCs/>
        </w:rPr>
        <w:t>22</w:t>
      </w:r>
      <w:r w:rsidRPr="00740802">
        <w:rPr>
          <w:rFonts w:ascii="Times" w:hAnsi="Times"/>
        </w:rPr>
        <w:t xml:space="preserve">(3), 335–355. https://doi.org/10.1016/0272-7714(86)90047-8 </w:t>
      </w:r>
    </w:p>
    <w:p w14:paraId="1A9F87DA"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Salemaa</w:t>
      </w:r>
      <w:proofErr w:type="spellEnd"/>
      <w:r w:rsidRPr="00740802">
        <w:rPr>
          <w:rFonts w:ascii="Times" w:hAnsi="Times"/>
        </w:rPr>
        <w:t xml:space="preserve">, H. (2009). Geographical variability in the </w:t>
      </w:r>
      <w:proofErr w:type="spellStart"/>
      <w:r w:rsidRPr="00740802">
        <w:rPr>
          <w:rFonts w:ascii="Times" w:hAnsi="Times"/>
        </w:rPr>
        <w:t>colour</w:t>
      </w:r>
      <w:proofErr w:type="spellEnd"/>
      <w:r w:rsidRPr="00740802">
        <w:rPr>
          <w:rFonts w:ascii="Times" w:hAnsi="Times"/>
        </w:rPr>
        <w:t xml:space="preserve"> polymorphism of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Baltica</w:t>
      </w:r>
      <w:proofErr w:type="spellEnd"/>
      <w:r w:rsidRPr="00740802">
        <w:rPr>
          <w:rFonts w:ascii="Times" w:hAnsi="Times"/>
        </w:rPr>
        <w:t xml:space="preserve"> (Isopoda) in the northern </w:t>
      </w:r>
      <w:proofErr w:type="spellStart"/>
      <w:r w:rsidRPr="00740802">
        <w:rPr>
          <w:rFonts w:ascii="Times" w:hAnsi="Times"/>
        </w:rPr>
        <w:t>baltic</w:t>
      </w:r>
      <w:proofErr w:type="spellEnd"/>
      <w:r w:rsidRPr="00740802">
        <w:rPr>
          <w:rFonts w:ascii="Times" w:hAnsi="Times"/>
        </w:rPr>
        <w:t xml:space="preserve">. </w:t>
      </w:r>
      <w:proofErr w:type="spellStart"/>
      <w:r w:rsidRPr="00740802">
        <w:rPr>
          <w:rFonts w:ascii="Times" w:hAnsi="Times"/>
          <w:i/>
          <w:iCs/>
        </w:rPr>
        <w:t>Hereditas</w:t>
      </w:r>
      <w:proofErr w:type="spellEnd"/>
      <w:r w:rsidRPr="00740802">
        <w:rPr>
          <w:rFonts w:ascii="Times" w:hAnsi="Times"/>
        </w:rPr>
        <w:t xml:space="preserve">, </w:t>
      </w:r>
      <w:r w:rsidRPr="00740802">
        <w:rPr>
          <w:rFonts w:ascii="Times" w:hAnsi="Times"/>
          <w:i/>
          <w:iCs/>
        </w:rPr>
        <w:t>88</w:t>
      </w:r>
      <w:r w:rsidRPr="00740802">
        <w:rPr>
          <w:rFonts w:ascii="Times" w:hAnsi="Times"/>
        </w:rPr>
        <w:t xml:space="preserve">(2), 165–182. https://doi.org/10.1111/j.1601-5223.1978.tb01619.x </w:t>
      </w:r>
    </w:p>
    <w:p w14:paraId="752B7CA0"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Salma, U., &amp; Thomson, M. (2016). Gregarious aggregative behavior in the marine isopod </w:t>
      </w:r>
      <w:proofErr w:type="spellStart"/>
      <w:r w:rsidRPr="00740802">
        <w:rPr>
          <w:rFonts w:ascii="Times" w:hAnsi="Times"/>
        </w:rPr>
        <w:t>Icirolana</w:t>
      </w:r>
      <w:proofErr w:type="spellEnd"/>
      <w:r w:rsidRPr="00740802">
        <w:rPr>
          <w:rFonts w:ascii="Times" w:hAnsi="Times"/>
        </w:rPr>
        <w:t xml:space="preserve"> </w:t>
      </w:r>
      <w:proofErr w:type="spellStart"/>
      <w:r w:rsidRPr="00740802">
        <w:rPr>
          <w:rFonts w:ascii="Times" w:hAnsi="Times"/>
        </w:rPr>
        <w:t>harfordi</w:t>
      </w:r>
      <w:proofErr w:type="spellEnd"/>
      <w:r w:rsidRPr="00740802">
        <w:rPr>
          <w:rFonts w:ascii="Times" w:hAnsi="Times"/>
        </w:rPr>
        <w:t xml:space="preserve">. </w:t>
      </w:r>
      <w:r w:rsidRPr="00740802">
        <w:rPr>
          <w:rFonts w:ascii="Times" w:hAnsi="Times"/>
          <w:i/>
          <w:iCs/>
        </w:rPr>
        <w:t>Invertebrate Biology</w:t>
      </w:r>
      <w:r w:rsidRPr="00740802">
        <w:rPr>
          <w:rFonts w:ascii="Times" w:hAnsi="Times"/>
        </w:rPr>
        <w:t xml:space="preserve">, </w:t>
      </w:r>
      <w:r w:rsidRPr="00740802">
        <w:rPr>
          <w:rFonts w:ascii="Times" w:hAnsi="Times"/>
          <w:i/>
          <w:iCs/>
        </w:rPr>
        <w:t>135</w:t>
      </w:r>
      <w:r w:rsidRPr="00740802">
        <w:rPr>
          <w:rFonts w:ascii="Times" w:hAnsi="Times"/>
        </w:rPr>
        <w:t xml:space="preserve">(3), 225–234. https://doi.org/10.1111/ivb.12134 </w:t>
      </w:r>
    </w:p>
    <w:p w14:paraId="2058FC70"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Salma, U., &amp; Thomson, M. (2017). Social aggregation of the marine isopod </w:t>
      </w:r>
      <w:proofErr w:type="spellStart"/>
      <w:r w:rsidRPr="00740802">
        <w:rPr>
          <w:rFonts w:ascii="Times" w:hAnsi="Times"/>
        </w:rPr>
        <w:t>Icirolana</w:t>
      </w:r>
      <w:proofErr w:type="spellEnd"/>
      <w:r w:rsidRPr="00740802">
        <w:rPr>
          <w:rFonts w:ascii="Times" w:hAnsi="Times"/>
        </w:rPr>
        <w:t xml:space="preserve"> </w:t>
      </w:r>
      <w:proofErr w:type="spellStart"/>
      <w:r w:rsidRPr="00740802">
        <w:rPr>
          <w:rFonts w:ascii="Times" w:hAnsi="Times"/>
        </w:rPr>
        <w:t>harfordii</w:t>
      </w:r>
      <w:proofErr w:type="spellEnd"/>
      <w:r w:rsidRPr="00740802">
        <w:rPr>
          <w:rFonts w:ascii="Times" w:hAnsi="Times"/>
        </w:rPr>
        <w:t xml:space="preserve"> does not rely on the availability of light-reducing shelters. </w:t>
      </w:r>
      <w:r w:rsidRPr="00740802">
        <w:rPr>
          <w:rFonts w:ascii="Times" w:hAnsi="Times"/>
          <w:i/>
          <w:iCs/>
        </w:rPr>
        <w:t>Physiological Entomology</w:t>
      </w:r>
      <w:r w:rsidRPr="00740802">
        <w:rPr>
          <w:rFonts w:ascii="Times" w:hAnsi="Times"/>
        </w:rPr>
        <w:t xml:space="preserve">, </w:t>
      </w:r>
      <w:r w:rsidRPr="00740802">
        <w:rPr>
          <w:rFonts w:ascii="Times" w:hAnsi="Times"/>
          <w:i/>
          <w:iCs/>
        </w:rPr>
        <w:t>43</w:t>
      </w:r>
      <w:r w:rsidRPr="00740802">
        <w:rPr>
          <w:rFonts w:ascii="Times" w:hAnsi="Times"/>
        </w:rPr>
        <w:t xml:space="preserve">(1), 60–68. https://doi.org/10.1111/phen.12229 </w:t>
      </w:r>
    </w:p>
    <w:p w14:paraId="10D92756"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lastRenderedPageBreak/>
        <w:t xml:space="preserve">Shuster, S. M. (1990). Courtship and female mate selection in a Marine Isopod Crustacean </w:t>
      </w:r>
      <w:proofErr w:type="spellStart"/>
      <w:r w:rsidRPr="00740802">
        <w:rPr>
          <w:rFonts w:ascii="Times" w:hAnsi="Times"/>
        </w:rPr>
        <w:t>Paracerceis</w:t>
      </w:r>
      <w:proofErr w:type="spellEnd"/>
      <w:r w:rsidRPr="00740802">
        <w:rPr>
          <w:rFonts w:ascii="Times" w:hAnsi="Times"/>
        </w:rPr>
        <w:t xml:space="preserve"> </w:t>
      </w:r>
      <w:proofErr w:type="spellStart"/>
      <w:r w:rsidRPr="00740802">
        <w:rPr>
          <w:rFonts w:ascii="Times" w:hAnsi="Times"/>
        </w:rPr>
        <w:t>sculpta</w:t>
      </w:r>
      <w:proofErr w:type="spellEnd"/>
      <w:r w:rsidRPr="00740802">
        <w:rPr>
          <w:rFonts w:ascii="Times" w:hAnsi="Times"/>
        </w:rPr>
        <w:t xml:space="preserve">. </w:t>
      </w:r>
      <w:r w:rsidRPr="00740802">
        <w:rPr>
          <w:rFonts w:ascii="Times" w:hAnsi="Times"/>
          <w:i/>
          <w:iCs/>
        </w:rPr>
        <w:t xml:space="preserve">Animal </w:t>
      </w:r>
      <w:proofErr w:type="spellStart"/>
      <w:r w:rsidRPr="00740802">
        <w:rPr>
          <w:rFonts w:ascii="Times" w:hAnsi="Times"/>
          <w:i/>
          <w:iCs/>
        </w:rPr>
        <w:t>Behaviour</w:t>
      </w:r>
      <w:proofErr w:type="spellEnd"/>
      <w:r w:rsidRPr="00740802">
        <w:rPr>
          <w:rFonts w:ascii="Times" w:hAnsi="Times"/>
        </w:rPr>
        <w:t xml:space="preserve">, </w:t>
      </w:r>
      <w:r w:rsidRPr="00740802">
        <w:rPr>
          <w:rFonts w:ascii="Times" w:hAnsi="Times"/>
          <w:i/>
          <w:iCs/>
        </w:rPr>
        <w:t>40</w:t>
      </w:r>
      <w:r w:rsidRPr="00740802">
        <w:rPr>
          <w:rFonts w:ascii="Times" w:hAnsi="Times"/>
        </w:rPr>
        <w:t xml:space="preserve">(2), 390–399. https://doi.org/10.1016/s0003-3472(05)80935-2 </w:t>
      </w:r>
    </w:p>
    <w:p w14:paraId="75C6CF21"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Shuster, S. M., &amp; Wade, M. J. (1991). Female copying and sexual selection in a marine isopod crustacean, </w:t>
      </w:r>
      <w:proofErr w:type="spellStart"/>
      <w:r w:rsidRPr="00740802">
        <w:rPr>
          <w:rFonts w:ascii="Times" w:hAnsi="Times"/>
        </w:rPr>
        <w:t>Paracerceis</w:t>
      </w:r>
      <w:proofErr w:type="spellEnd"/>
      <w:r w:rsidRPr="00740802">
        <w:rPr>
          <w:rFonts w:ascii="Times" w:hAnsi="Times"/>
        </w:rPr>
        <w:t xml:space="preserve"> </w:t>
      </w:r>
      <w:proofErr w:type="spellStart"/>
      <w:r w:rsidRPr="00740802">
        <w:rPr>
          <w:rFonts w:ascii="Times" w:hAnsi="Times"/>
        </w:rPr>
        <w:t>sculpta</w:t>
      </w:r>
      <w:proofErr w:type="spellEnd"/>
      <w:r w:rsidRPr="00740802">
        <w:rPr>
          <w:rFonts w:ascii="Times" w:hAnsi="Times"/>
        </w:rPr>
        <w:t xml:space="preserve">. </w:t>
      </w:r>
      <w:r w:rsidRPr="00740802">
        <w:rPr>
          <w:rFonts w:ascii="Times" w:hAnsi="Times"/>
          <w:i/>
          <w:iCs/>
        </w:rPr>
        <w:t xml:space="preserve">Animal </w:t>
      </w:r>
      <w:proofErr w:type="spellStart"/>
      <w:r w:rsidRPr="00740802">
        <w:rPr>
          <w:rFonts w:ascii="Times" w:hAnsi="Times"/>
          <w:i/>
          <w:iCs/>
        </w:rPr>
        <w:t>Behaviour</w:t>
      </w:r>
      <w:proofErr w:type="spellEnd"/>
      <w:r w:rsidRPr="00740802">
        <w:rPr>
          <w:rFonts w:ascii="Times" w:hAnsi="Times"/>
        </w:rPr>
        <w:t xml:space="preserve">, </w:t>
      </w:r>
      <w:r w:rsidRPr="00740802">
        <w:rPr>
          <w:rFonts w:ascii="Times" w:hAnsi="Times"/>
          <w:i/>
          <w:iCs/>
        </w:rPr>
        <w:t>41</w:t>
      </w:r>
      <w:r w:rsidRPr="00740802">
        <w:rPr>
          <w:rFonts w:ascii="Times" w:hAnsi="Times"/>
        </w:rPr>
        <w:t xml:space="preserve">(6), 1071–1078. https://doi.org/10.1016/s0003-3472(05)80645-1 </w:t>
      </w:r>
    </w:p>
    <w:p w14:paraId="67050A5D"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Starko</w:t>
      </w:r>
      <w:proofErr w:type="spellEnd"/>
      <w:r w:rsidRPr="00740802">
        <w:rPr>
          <w:rFonts w:ascii="Times" w:hAnsi="Times"/>
        </w:rPr>
        <w:t xml:space="preserve">, S., Smyth, C., &amp; Kucera, H. (2016). Attachment strength of the herbivorous rockweed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wosnesenskii</w:t>
      </w:r>
      <w:proofErr w:type="spellEnd"/>
      <w:r w:rsidRPr="00740802">
        <w:rPr>
          <w:rFonts w:ascii="Times" w:hAnsi="Times"/>
        </w:rPr>
        <w:t xml:space="preserve"> (Isopoda, </w:t>
      </w:r>
      <w:proofErr w:type="spellStart"/>
      <w:r w:rsidRPr="00740802">
        <w:rPr>
          <w:rFonts w:ascii="Times" w:hAnsi="Times"/>
        </w:rPr>
        <w:t>Crustaceae</w:t>
      </w:r>
      <w:proofErr w:type="spellEnd"/>
      <w:r w:rsidRPr="00740802">
        <w:rPr>
          <w:rFonts w:ascii="Times" w:hAnsi="Times"/>
        </w:rPr>
        <w:t xml:space="preserve">, Arthropoda), depends on properties of its seaweed host. </w:t>
      </w:r>
      <w:r w:rsidRPr="00740802">
        <w:rPr>
          <w:rFonts w:ascii="Times" w:hAnsi="Times"/>
          <w:i/>
          <w:iCs/>
        </w:rPr>
        <w:t>Journal of Experimental Marine Biology and Ecology</w:t>
      </w:r>
      <w:r w:rsidRPr="00740802">
        <w:rPr>
          <w:rFonts w:ascii="Times" w:hAnsi="Times"/>
        </w:rPr>
        <w:t xml:space="preserve">, </w:t>
      </w:r>
      <w:r w:rsidRPr="00740802">
        <w:rPr>
          <w:rFonts w:ascii="Times" w:hAnsi="Times"/>
          <w:i/>
          <w:iCs/>
        </w:rPr>
        <w:t>477</w:t>
      </w:r>
      <w:r w:rsidRPr="00740802">
        <w:rPr>
          <w:rFonts w:ascii="Times" w:hAnsi="Times"/>
        </w:rPr>
        <w:t xml:space="preserve">, 1–6. https://doi.org/10.1016/j.jembe.2016.01.006 </w:t>
      </w:r>
    </w:p>
    <w:p w14:paraId="476B88D9"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Thom, R., Miller, B., &amp; Kennedy, M. (1995). Temporal patterns of grazers and vegetation in a temperate seagrass system. </w:t>
      </w:r>
      <w:r w:rsidRPr="00740802">
        <w:rPr>
          <w:rFonts w:ascii="Times" w:hAnsi="Times"/>
          <w:i/>
          <w:iCs/>
        </w:rPr>
        <w:t>Aquatic Botany</w:t>
      </w:r>
      <w:r w:rsidRPr="00740802">
        <w:rPr>
          <w:rFonts w:ascii="Times" w:hAnsi="Times"/>
        </w:rPr>
        <w:t xml:space="preserve">, </w:t>
      </w:r>
      <w:r w:rsidRPr="00740802">
        <w:rPr>
          <w:rFonts w:ascii="Times" w:hAnsi="Times"/>
          <w:i/>
          <w:iCs/>
        </w:rPr>
        <w:t>50</w:t>
      </w:r>
      <w:r w:rsidRPr="00740802">
        <w:rPr>
          <w:rFonts w:ascii="Times" w:hAnsi="Times"/>
        </w:rPr>
        <w:t xml:space="preserve">(2), 201–205. https://doi.org/10.1016/0304-3770(95)00449-a </w:t>
      </w:r>
    </w:p>
    <w:p w14:paraId="036DB85D" w14:textId="77777777" w:rsidR="00740802" w:rsidRPr="00740802" w:rsidRDefault="00740802" w:rsidP="00740802">
      <w:pPr>
        <w:spacing w:before="100" w:beforeAutospacing="1" w:after="100" w:afterAutospacing="1" w:line="480" w:lineRule="auto"/>
        <w:ind w:left="567" w:hanging="567"/>
        <w:rPr>
          <w:rFonts w:ascii="Times" w:hAnsi="Times"/>
        </w:rPr>
      </w:pPr>
      <w:proofErr w:type="spellStart"/>
      <w:r w:rsidRPr="00740802">
        <w:rPr>
          <w:rFonts w:ascii="Times" w:hAnsi="Times"/>
        </w:rPr>
        <w:t>Wethey</w:t>
      </w:r>
      <w:proofErr w:type="spellEnd"/>
      <w:r w:rsidRPr="00740802">
        <w:rPr>
          <w:rFonts w:ascii="Times" w:hAnsi="Times"/>
        </w:rPr>
        <w:t xml:space="preserve">, D. S., &amp; </w:t>
      </w:r>
      <w:proofErr w:type="spellStart"/>
      <w:r w:rsidRPr="00740802">
        <w:rPr>
          <w:rFonts w:ascii="Times" w:hAnsi="Times"/>
        </w:rPr>
        <w:t>Woodin</w:t>
      </w:r>
      <w:proofErr w:type="spellEnd"/>
      <w:r w:rsidRPr="00740802">
        <w:rPr>
          <w:rFonts w:ascii="Times" w:hAnsi="Times"/>
        </w:rPr>
        <w:t xml:space="preserve">, S. A. (2008). Ecological hindcasting of biogeographic responses to climate change in the European Intertidal Zone. </w:t>
      </w:r>
      <w:r w:rsidRPr="00740802">
        <w:rPr>
          <w:rFonts w:ascii="Times" w:hAnsi="Times"/>
          <w:i/>
          <w:iCs/>
        </w:rPr>
        <w:t>Challenges to Marine Ecosystems</w:t>
      </w:r>
      <w:r w:rsidRPr="00740802">
        <w:rPr>
          <w:rFonts w:ascii="Times" w:hAnsi="Times"/>
        </w:rPr>
        <w:t xml:space="preserve">, 139–151. https://doi.org/10.1007/978-1-4020-8808-7_13 </w:t>
      </w:r>
    </w:p>
    <w:p w14:paraId="23467EDC" w14:textId="77777777" w:rsidR="00740802" w:rsidRPr="00740802" w:rsidRDefault="00740802" w:rsidP="00740802">
      <w:pPr>
        <w:spacing w:before="100" w:beforeAutospacing="1" w:after="100" w:afterAutospacing="1" w:line="480" w:lineRule="auto"/>
        <w:ind w:left="567" w:hanging="567"/>
        <w:rPr>
          <w:rFonts w:ascii="Times" w:hAnsi="Times"/>
        </w:rPr>
      </w:pPr>
      <w:r w:rsidRPr="00740802">
        <w:rPr>
          <w:rFonts w:ascii="Times" w:hAnsi="Times"/>
        </w:rPr>
        <w:t xml:space="preserve">Wood, H. L., </w:t>
      </w:r>
      <w:proofErr w:type="spellStart"/>
      <w:r w:rsidRPr="00740802">
        <w:rPr>
          <w:rFonts w:ascii="Times" w:hAnsi="Times"/>
        </w:rPr>
        <w:t>Sköld</w:t>
      </w:r>
      <w:proofErr w:type="spellEnd"/>
      <w:r w:rsidRPr="00740802">
        <w:rPr>
          <w:rFonts w:ascii="Times" w:hAnsi="Times"/>
        </w:rPr>
        <w:t xml:space="preserve">, H. N., &amp; Eriksson, S. P. (2014). Health and population-dependent effects of ocean acidification on the marine isopod </w:t>
      </w:r>
      <w:proofErr w:type="spellStart"/>
      <w:r w:rsidRPr="00740802">
        <w:rPr>
          <w:rFonts w:ascii="Times" w:hAnsi="Times"/>
        </w:rPr>
        <w:t>Idotea</w:t>
      </w:r>
      <w:proofErr w:type="spellEnd"/>
      <w:r w:rsidRPr="00740802">
        <w:rPr>
          <w:rFonts w:ascii="Times" w:hAnsi="Times"/>
        </w:rPr>
        <w:t xml:space="preserve"> </w:t>
      </w:r>
      <w:proofErr w:type="spellStart"/>
      <w:r w:rsidRPr="00740802">
        <w:rPr>
          <w:rFonts w:ascii="Times" w:hAnsi="Times"/>
        </w:rPr>
        <w:t>Balthica</w:t>
      </w:r>
      <w:proofErr w:type="spellEnd"/>
      <w:r w:rsidRPr="00740802">
        <w:rPr>
          <w:rFonts w:ascii="Times" w:hAnsi="Times"/>
        </w:rPr>
        <w:t xml:space="preserve">. </w:t>
      </w:r>
      <w:r w:rsidRPr="00740802">
        <w:rPr>
          <w:rFonts w:ascii="Times" w:hAnsi="Times"/>
          <w:i/>
          <w:iCs/>
        </w:rPr>
        <w:t>Marine Biology</w:t>
      </w:r>
      <w:r w:rsidRPr="00740802">
        <w:rPr>
          <w:rFonts w:ascii="Times" w:hAnsi="Times"/>
        </w:rPr>
        <w:t xml:space="preserve">, </w:t>
      </w:r>
      <w:r w:rsidRPr="00740802">
        <w:rPr>
          <w:rFonts w:ascii="Times" w:hAnsi="Times"/>
          <w:i/>
          <w:iCs/>
        </w:rPr>
        <w:t>161</w:t>
      </w:r>
      <w:r w:rsidRPr="00740802">
        <w:rPr>
          <w:rFonts w:ascii="Times" w:hAnsi="Times"/>
        </w:rPr>
        <w:t xml:space="preserve">(10), 2423–2431. https://doi.org/10.1007/s00227-014-2518-3 </w:t>
      </w:r>
    </w:p>
    <w:p w14:paraId="19920483" w14:textId="77777777" w:rsidR="00740802" w:rsidRPr="00B92BCC" w:rsidRDefault="00740802" w:rsidP="00740802">
      <w:pPr>
        <w:spacing w:line="480" w:lineRule="auto"/>
        <w:rPr>
          <w:rFonts w:ascii="Times" w:hAnsi="Times"/>
        </w:rPr>
      </w:pPr>
    </w:p>
    <w:p w14:paraId="6093FF29" w14:textId="77777777" w:rsidR="006D038A" w:rsidRPr="00740802" w:rsidRDefault="006D038A" w:rsidP="00740802"/>
    <w:sectPr w:rsidR="006D038A" w:rsidRPr="007408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0F0"/>
    <w:rsid w:val="0016064A"/>
    <w:rsid w:val="005E20F0"/>
    <w:rsid w:val="006D038A"/>
    <w:rsid w:val="00740802"/>
    <w:rsid w:val="00916E63"/>
    <w:rsid w:val="00AE4B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B649908"/>
  <w15:chartTrackingRefBased/>
  <w15:docId w15:val="{758C749F-0D35-3F4F-AF1A-C7480E526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20F0"/>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E20F0"/>
    <w:pPr>
      <w:spacing w:before="100" w:beforeAutospacing="1" w:after="100" w:afterAutospacing="1"/>
    </w:pPr>
  </w:style>
  <w:style w:type="character" w:styleId="Emphasis">
    <w:name w:val="Emphasis"/>
    <w:basedOn w:val="DefaultParagraphFont"/>
    <w:uiPriority w:val="20"/>
    <w:qFormat/>
    <w:rsid w:val="005E20F0"/>
    <w:rPr>
      <w:i/>
      <w:iCs/>
    </w:rPr>
  </w:style>
  <w:style w:type="character" w:styleId="Strong">
    <w:name w:val="Strong"/>
    <w:basedOn w:val="DefaultParagraphFont"/>
    <w:uiPriority w:val="22"/>
    <w:qFormat/>
    <w:rsid w:val="005E20F0"/>
    <w:rPr>
      <w:b/>
      <w:bCs/>
    </w:rPr>
  </w:style>
  <w:style w:type="character" w:styleId="CommentReference">
    <w:name w:val="annotation reference"/>
    <w:basedOn w:val="DefaultParagraphFont"/>
    <w:uiPriority w:val="99"/>
    <w:semiHidden/>
    <w:unhideWhenUsed/>
    <w:rsid w:val="005E20F0"/>
    <w:rPr>
      <w:sz w:val="16"/>
      <w:szCs w:val="16"/>
    </w:rPr>
  </w:style>
  <w:style w:type="paragraph" w:styleId="CommentText">
    <w:name w:val="annotation text"/>
    <w:basedOn w:val="Normal"/>
    <w:link w:val="CommentTextChar"/>
    <w:uiPriority w:val="99"/>
    <w:semiHidden/>
    <w:unhideWhenUsed/>
    <w:rsid w:val="005E20F0"/>
    <w:rPr>
      <w:sz w:val="20"/>
      <w:szCs w:val="20"/>
    </w:rPr>
  </w:style>
  <w:style w:type="character" w:customStyle="1" w:styleId="CommentTextChar">
    <w:name w:val="Comment Text Char"/>
    <w:basedOn w:val="DefaultParagraphFont"/>
    <w:link w:val="CommentText"/>
    <w:uiPriority w:val="99"/>
    <w:semiHidden/>
    <w:rsid w:val="005E20F0"/>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microsoft.com/office/2007/relationships/hdphoto" Target="media/hdphoto1.wdp"/><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3130</Words>
  <Characters>17846</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Huber</dc:creator>
  <cp:keywords/>
  <dc:description/>
  <cp:lastModifiedBy>Terrie Klinger</cp:lastModifiedBy>
  <cp:revision>2</cp:revision>
  <dcterms:created xsi:type="dcterms:W3CDTF">2022-06-06T17:28:00Z</dcterms:created>
  <dcterms:modified xsi:type="dcterms:W3CDTF">2022-06-06T17:28:00Z</dcterms:modified>
</cp:coreProperties>
</file>