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545" w:rsidRDefault="00810545" w:rsidP="001044AF">
      <w:pPr>
        <w:rPr>
          <w:rFonts w:ascii="Calibri" w:hAnsi="Calibri"/>
          <w:b/>
          <w:sz w:val="22"/>
          <w:szCs w:val="22"/>
        </w:rPr>
      </w:pPr>
      <w:bookmarkStart w:id="0" w:name="_GoBack"/>
      <w:bookmarkEnd w:id="0"/>
      <w:r>
        <w:rPr>
          <w:rFonts w:ascii="Calibri" w:hAnsi="Calibri"/>
          <w:b/>
          <w:sz w:val="22"/>
          <w:szCs w:val="22"/>
        </w:rPr>
        <w:t>Rationale for Survey Approach</w:t>
      </w:r>
    </w:p>
    <w:p w:rsidR="00810545" w:rsidRDefault="001044AF" w:rsidP="001044AF">
      <w:pPr>
        <w:rPr>
          <w:rFonts w:ascii="Calibri" w:hAnsi="Calibri"/>
          <w:b/>
          <w:bCs/>
          <w:sz w:val="22"/>
          <w:szCs w:val="22"/>
        </w:rPr>
      </w:pPr>
      <w:r>
        <w:rPr>
          <w:rFonts w:ascii="Calibri" w:hAnsi="Calibri"/>
          <w:b/>
          <w:sz w:val="22"/>
          <w:szCs w:val="22"/>
        </w:rPr>
        <w:t>Annex C</w:t>
      </w:r>
      <w:r w:rsidR="00810545">
        <w:rPr>
          <w:rFonts w:ascii="Calibri" w:hAnsi="Calibri"/>
          <w:b/>
          <w:sz w:val="22"/>
          <w:szCs w:val="22"/>
        </w:rPr>
        <w:t xml:space="preserve"> (</w:t>
      </w:r>
      <w:r>
        <w:rPr>
          <w:rFonts w:ascii="Calibri" w:hAnsi="Calibri"/>
          <w:b/>
          <w:bCs/>
          <w:sz w:val="22"/>
          <w:szCs w:val="22"/>
        </w:rPr>
        <w:t>Survey Strategy Proposal</w:t>
      </w:r>
      <w:r w:rsidR="00810545">
        <w:rPr>
          <w:rFonts w:ascii="Calibri" w:hAnsi="Calibri"/>
          <w:b/>
          <w:bCs/>
          <w:sz w:val="22"/>
          <w:szCs w:val="22"/>
        </w:rPr>
        <w:t>) of the Phase II Strategy Report</w:t>
      </w:r>
    </w:p>
    <w:p w:rsidR="001044AF" w:rsidRPr="00350D34" w:rsidRDefault="001044AF" w:rsidP="001044AF">
      <w:pPr>
        <w:rPr>
          <w:rFonts w:ascii="Calibri" w:hAnsi="Calibri"/>
          <w:sz w:val="22"/>
          <w:szCs w:val="22"/>
        </w:rPr>
      </w:pPr>
      <w:r>
        <w:rPr>
          <w:rFonts w:ascii="Calibri" w:hAnsi="Calibri"/>
          <w:sz w:val="22"/>
          <w:szCs w:val="22"/>
        </w:rPr>
        <w:t>Prepared by the Survey Working Group)</w:t>
      </w:r>
    </w:p>
    <w:p w:rsidR="001044AF" w:rsidRDefault="001044AF" w:rsidP="001044AF">
      <w:pPr>
        <w:spacing w:after="120"/>
        <w:rPr>
          <w:rFonts w:ascii="Calibri" w:hAnsi="Calibri"/>
          <w:b/>
          <w:bCs/>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Taken together the inventory of venues, venue and user/non-user surveys and in-depth </w:t>
      </w:r>
      <w:r>
        <w:rPr>
          <w:rFonts w:ascii="Calibri" w:hAnsi="Calibri"/>
          <w:sz w:val="22"/>
          <w:szCs w:val="22"/>
        </w:rPr>
        <w:t>studies</w:t>
      </w:r>
      <w:r w:rsidRPr="00350D34">
        <w:rPr>
          <w:rFonts w:ascii="Calibri" w:hAnsi="Calibri"/>
          <w:sz w:val="22"/>
          <w:szCs w:val="22"/>
        </w:rPr>
        <w:t xml:space="preserve"> provide a much wider range of research options than is possible through any one research method. The three strategies </w:t>
      </w:r>
      <w:r w:rsidR="007361E1" w:rsidRPr="00350D34">
        <w:rPr>
          <w:rFonts w:ascii="Calibri" w:hAnsi="Calibri"/>
          <w:sz w:val="22"/>
          <w:szCs w:val="22"/>
        </w:rPr>
        <w:t>complement</w:t>
      </w:r>
      <w:r w:rsidRPr="00350D34">
        <w:rPr>
          <w:rFonts w:ascii="Calibri" w:hAnsi="Calibri"/>
          <w:sz w:val="22"/>
          <w:szCs w:val="22"/>
        </w:rPr>
        <w:t xml:space="preserve"> each other in important ways.  The inventories provide a baseline for assessing the magnitude of the public access phenomenon. The surveys collect more detailed information about the conditions of public access to the Internet as well as the characteristics of public access users and uses.  And the </w:t>
      </w:r>
      <w:r>
        <w:rPr>
          <w:rFonts w:ascii="Calibri" w:hAnsi="Calibri"/>
          <w:sz w:val="22"/>
          <w:szCs w:val="22"/>
        </w:rPr>
        <w:t>in-depth</w:t>
      </w:r>
      <w:r w:rsidRPr="00350D34">
        <w:rPr>
          <w:rFonts w:ascii="Calibri" w:hAnsi="Calibri"/>
          <w:sz w:val="22"/>
          <w:szCs w:val="22"/>
        </w:rPr>
        <w:t xml:space="preserve"> </w:t>
      </w:r>
      <w:r>
        <w:rPr>
          <w:rFonts w:ascii="Calibri" w:hAnsi="Calibri"/>
          <w:sz w:val="22"/>
          <w:szCs w:val="22"/>
        </w:rPr>
        <w:t>studies</w:t>
      </w:r>
      <w:r w:rsidRPr="00350D34">
        <w:rPr>
          <w:rFonts w:ascii="Calibri" w:hAnsi="Calibri"/>
          <w:sz w:val="22"/>
          <w:szCs w:val="22"/>
        </w:rPr>
        <w:t xml:space="preserve"> address public access use and impact questions that require direct and sustained observation in specific environments or for a limited number of cases.</w:t>
      </w:r>
    </w:p>
    <w:p w:rsidR="001044AF" w:rsidRPr="00350D34" w:rsidRDefault="001044AF" w:rsidP="001044AF">
      <w:pPr>
        <w:rPr>
          <w:rFonts w:ascii="Calibri" w:hAnsi="Calibri"/>
          <w:color w:val="000000"/>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Below we discuss the unique contribution of the venue and population surveys to the overall IPAI study design and identify some of the ways these survey design strategies address overall research goals of the project.  Unlike the other research strategies the venue and populations surveys have the potential to provide: </w:t>
      </w:r>
    </w:p>
    <w:p w:rsidR="001044AF" w:rsidRPr="00350D34" w:rsidRDefault="001044AF" w:rsidP="001044AF">
      <w:pPr>
        <w:numPr>
          <w:ilvl w:val="0"/>
          <w:numId w:val="4"/>
        </w:numPr>
        <w:rPr>
          <w:rFonts w:ascii="Calibri" w:hAnsi="Calibri"/>
          <w:sz w:val="22"/>
          <w:szCs w:val="22"/>
        </w:rPr>
      </w:pPr>
      <w:r w:rsidRPr="00350D34">
        <w:rPr>
          <w:rFonts w:ascii="Calibri" w:hAnsi="Calibri"/>
          <w:sz w:val="22"/>
          <w:szCs w:val="22"/>
        </w:rPr>
        <w:t>detailed organizational level data for the PA sector</w:t>
      </w:r>
    </w:p>
    <w:p w:rsidR="001044AF" w:rsidRPr="00350D34" w:rsidRDefault="001044AF" w:rsidP="001044AF">
      <w:pPr>
        <w:numPr>
          <w:ilvl w:val="0"/>
          <w:numId w:val="2"/>
        </w:numPr>
        <w:tabs>
          <w:tab w:val="clear" w:pos="1800"/>
          <w:tab w:val="num" w:pos="720"/>
        </w:tabs>
        <w:ind w:left="720"/>
        <w:rPr>
          <w:rFonts w:ascii="Calibri" w:hAnsi="Calibri"/>
          <w:sz w:val="22"/>
          <w:szCs w:val="22"/>
        </w:rPr>
      </w:pPr>
      <w:r w:rsidRPr="00350D34">
        <w:rPr>
          <w:rFonts w:ascii="Calibri" w:hAnsi="Calibri"/>
          <w:sz w:val="22"/>
          <w:szCs w:val="22"/>
        </w:rPr>
        <w:t xml:space="preserve">generalizable estimates for discrete research questions (e.g. number of PACs that utilize </w:t>
      </w:r>
      <w:proofErr w:type="spellStart"/>
      <w:r w:rsidRPr="00350D34">
        <w:rPr>
          <w:rFonts w:ascii="Calibri" w:hAnsi="Calibri"/>
          <w:sz w:val="22"/>
          <w:szCs w:val="22"/>
        </w:rPr>
        <w:t>infomediaries</w:t>
      </w:r>
      <w:proofErr w:type="spellEnd"/>
      <w:r w:rsidRPr="00350D34">
        <w:rPr>
          <w:rFonts w:ascii="Calibri" w:hAnsi="Calibri"/>
          <w:sz w:val="22"/>
          <w:szCs w:val="22"/>
        </w:rPr>
        <w:t xml:space="preserve">, average cost of services; typical number of users by PAC type).  </w:t>
      </w:r>
    </w:p>
    <w:p w:rsidR="001044AF" w:rsidRPr="00350D34" w:rsidRDefault="001044AF" w:rsidP="001044AF">
      <w:pPr>
        <w:numPr>
          <w:ilvl w:val="0"/>
          <w:numId w:val="2"/>
        </w:numPr>
        <w:tabs>
          <w:tab w:val="clear" w:pos="1800"/>
          <w:tab w:val="num" w:pos="720"/>
        </w:tabs>
        <w:ind w:left="720"/>
        <w:rPr>
          <w:rFonts w:ascii="Calibri" w:hAnsi="Calibri"/>
          <w:sz w:val="22"/>
          <w:szCs w:val="22"/>
        </w:rPr>
      </w:pPr>
      <w:r w:rsidRPr="00350D34">
        <w:rPr>
          <w:rFonts w:ascii="Calibri" w:hAnsi="Calibri"/>
          <w:sz w:val="22"/>
          <w:szCs w:val="22"/>
        </w:rPr>
        <w:t xml:space="preserve">contextual data to support/complement in-depth </w:t>
      </w:r>
      <w:r>
        <w:rPr>
          <w:rFonts w:ascii="Calibri" w:hAnsi="Calibri"/>
          <w:sz w:val="22"/>
          <w:szCs w:val="22"/>
        </w:rPr>
        <w:t>studies</w:t>
      </w:r>
    </w:p>
    <w:p w:rsidR="001044AF" w:rsidRPr="00350D34" w:rsidRDefault="001044AF" w:rsidP="001044AF">
      <w:pPr>
        <w:rPr>
          <w:rFonts w:ascii="Calibri" w:hAnsi="Calibri"/>
          <w:color w:val="000000"/>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Earlier memos discussed surveys of venues and users in general terms without elaborating a specific survey design strategies.  At the IPAI workshop in Valparaiso, Chile, three basic survey design strategies were discussed:  </w:t>
      </w:r>
    </w:p>
    <w:p w:rsidR="001044AF" w:rsidRPr="00350D34" w:rsidRDefault="001044AF" w:rsidP="001044AF">
      <w:pPr>
        <w:numPr>
          <w:ilvl w:val="0"/>
          <w:numId w:val="2"/>
        </w:numPr>
        <w:tabs>
          <w:tab w:val="clear" w:pos="1800"/>
          <w:tab w:val="num" w:pos="720"/>
        </w:tabs>
        <w:ind w:left="720"/>
        <w:rPr>
          <w:rFonts w:ascii="Calibri" w:hAnsi="Calibri"/>
          <w:sz w:val="22"/>
          <w:szCs w:val="22"/>
        </w:rPr>
      </w:pPr>
      <w:r w:rsidRPr="00350D34">
        <w:rPr>
          <w:rFonts w:ascii="Calibri" w:hAnsi="Calibri"/>
          <w:sz w:val="22"/>
          <w:szCs w:val="22"/>
        </w:rPr>
        <w:t>National Household Surveys of Users and Non-Users, with separate National Public Access Venue Survey</w:t>
      </w:r>
    </w:p>
    <w:p w:rsidR="001044AF" w:rsidRPr="00350D34" w:rsidRDefault="001044AF" w:rsidP="001044AF">
      <w:pPr>
        <w:numPr>
          <w:ilvl w:val="0"/>
          <w:numId w:val="2"/>
        </w:numPr>
        <w:tabs>
          <w:tab w:val="clear" w:pos="1800"/>
          <w:tab w:val="num" w:pos="720"/>
        </w:tabs>
        <w:ind w:left="720"/>
        <w:rPr>
          <w:rFonts w:ascii="Calibri" w:hAnsi="Calibri"/>
          <w:sz w:val="22"/>
          <w:szCs w:val="22"/>
        </w:rPr>
      </w:pPr>
      <w:r w:rsidRPr="00350D34">
        <w:rPr>
          <w:rFonts w:ascii="Calibri" w:hAnsi="Calibri"/>
          <w:sz w:val="22"/>
          <w:szCs w:val="22"/>
        </w:rPr>
        <w:t>National Public Access Venue Surveys, with User and Non-User Survey Component Linked to the Sampled Venues</w:t>
      </w:r>
    </w:p>
    <w:p w:rsidR="001044AF" w:rsidRPr="00350D34" w:rsidRDefault="001044AF" w:rsidP="001044AF">
      <w:pPr>
        <w:numPr>
          <w:ilvl w:val="0"/>
          <w:numId w:val="2"/>
        </w:numPr>
        <w:tabs>
          <w:tab w:val="clear" w:pos="1800"/>
          <w:tab w:val="num" w:pos="720"/>
        </w:tabs>
        <w:ind w:left="720"/>
        <w:rPr>
          <w:rFonts w:ascii="Calibri" w:hAnsi="Calibri"/>
          <w:sz w:val="22"/>
          <w:szCs w:val="22"/>
        </w:rPr>
      </w:pPr>
      <w:r w:rsidRPr="00350D34">
        <w:rPr>
          <w:rFonts w:ascii="Calibri" w:hAnsi="Calibri"/>
          <w:sz w:val="22"/>
          <w:szCs w:val="22"/>
        </w:rPr>
        <w:t>Local Area Surveys, with Public Access Venues and User/Non-user Household Surveys Linked to Selected Sites</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As with any study design, these three survey strategies have a set of pros and cons that should to be considered.  The pros and cons of the different designs are discussed below, with special consideration given to the potential each strategy has for collecting data relevant to the six research clusters. </w:t>
      </w:r>
    </w:p>
    <w:p w:rsidR="001044AF" w:rsidRPr="00350D34" w:rsidRDefault="001044AF" w:rsidP="001044AF">
      <w:pPr>
        <w:numPr>
          <w:ilvl w:val="0"/>
          <w:numId w:val="3"/>
        </w:numPr>
        <w:rPr>
          <w:rFonts w:ascii="Calibri" w:hAnsi="Calibri"/>
          <w:color w:val="000000"/>
          <w:sz w:val="22"/>
          <w:szCs w:val="22"/>
        </w:rPr>
      </w:pPr>
      <w:r w:rsidRPr="00350D34">
        <w:rPr>
          <w:rFonts w:ascii="Calibri" w:hAnsi="Calibri"/>
          <w:color w:val="000000"/>
          <w:sz w:val="22"/>
          <w:szCs w:val="22"/>
        </w:rPr>
        <w:t>Reach of Public Access ICTs</w:t>
      </w:r>
    </w:p>
    <w:p w:rsidR="001044AF" w:rsidRPr="00350D34" w:rsidRDefault="001044AF" w:rsidP="001044AF">
      <w:pPr>
        <w:numPr>
          <w:ilvl w:val="0"/>
          <w:numId w:val="3"/>
        </w:numPr>
        <w:rPr>
          <w:rFonts w:ascii="Calibri" w:hAnsi="Calibri"/>
          <w:color w:val="000000"/>
          <w:sz w:val="22"/>
          <w:szCs w:val="22"/>
        </w:rPr>
      </w:pPr>
      <w:r w:rsidRPr="00350D34">
        <w:rPr>
          <w:rFonts w:ascii="Calibri" w:hAnsi="Calibri"/>
          <w:color w:val="000000"/>
          <w:sz w:val="22"/>
          <w:szCs w:val="22"/>
        </w:rPr>
        <w:t>Usage of Public Access ICTs</w:t>
      </w:r>
    </w:p>
    <w:p w:rsidR="001044AF" w:rsidRPr="00350D34" w:rsidRDefault="001044AF" w:rsidP="001044AF">
      <w:pPr>
        <w:numPr>
          <w:ilvl w:val="0"/>
          <w:numId w:val="3"/>
        </w:numPr>
        <w:rPr>
          <w:rFonts w:ascii="Calibri" w:hAnsi="Calibri"/>
          <w:color w:val="000000"/>
          <w:sz w:val="22"/>
          <w:szCs w:val="22"/>
        </w:rPr>
      </w:pPr>
      <w:r w:rsidRPr="00350D34">
        <w:rPr>
          <w:rFonts w:ascii="Calibri" w:hAnsi="Calibri"/>
          <w:color w:val="000000"/>
          <w:sz w:val="22"/>
          <w:szCs w:val="22"/>
        </w:rPr>
        <w:t>Physical Design and Location of Public Access Venues</w:t>
      </w:r>
    </w:p>
    <w:p w:rsidR="001044AF" w:rsidRPr="00350D34" w:rsidRDefault="001044AF" w:rsidP="001044AF">
      <w:pPr>
        <w:numPr>
          <w:ilvl w:val="0"/>
          <w:numId w:val="3"/>
        </w:numPr>
        <w:rPr>
          <w:rFonts w:ascii="Calibri" w:hAnsi="Calibri"/>
          <w:color w:val="000000"/>
          <w:sz w:val="22"/>
          <w:szCs w:val="22"/>
        </w:rPr>
      </w:pPr>
      <w:r w:rsidRPr="00350D34">
        <w:rPr>
          <w:rFonts w:ascii="Calibri" w:hAnsi="Calibri"/>
          <w:color w:val="000000"/>
          <w:sz w:val="22"/>
          <w:szCs w:val="22"/>
        </w:rPr>
        <w:t>Public Access Venue Services and Operations</w:t>
      </w:r>
    </w:p>
    <w:p w:rsidR="001044AF" w:rsidRPr="00350D34" w:rsidRDefault="001044AF" w:rsidP="001044AF">
      <w:pPr>
        <w:numPr>
          <w:ilvl w:val="0"/>
          <w:numId w:val="3"/>
        </w:numPr>
        <w:rPr>
          <w:rFonts w:ascii="Calibri" w:hAnsi="Calibri"/>
          <w:color w:val="000000"/>
          <w:sz w:val="22"/>
          <w:szCs w:val="22"/>
        </w:rPr>
      </w:pPr>
      <w:r w:rsidRPr="00350D34">
        <w:rPr>
          <w:rFonts w:ascii="Calibri" w:hAnsi="Calibri"/>
          <w:color w:val="000000"/>
          <w:sz w:val="22"/>
          <w:szCs w:val="22"/>
        </w:rPr>
        <w:t>Information Ecologies</w:t>
      </w:r>
    </w:p>
    <w:p w:rsidR="001044AF" w:rsidRPr="00350D34" w:rsidRDefault="001044AF" w:rsidP="001044AF">
      <w:pPr>
        <w:pStyle w:val="ListParagraph"/>
        <w:numPr>
          <w:ilvl w:val="0"/>
          <w:numId w:val="3"/>
        </w:numPr>
        <w:spacing w:after="0" w:line="240" w:lineRule="auto"/>
        <w:rPr>
          <w:color w:val="000000"/>
        </w:rPr>
      </w:pPr>
      <w:r w:rsidRPr="00350D34">
        <w:rPr>
          <w:color w:val="000000"/>
        </w:rPr>
        <w:t>Policy and Regulatory Context</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b/>
          <w:sz w:val="22"/>
          <w:szCs w:val="22"/>
        </w:rPr>
      </w:pPr>
      <w:r>
        <w:rPr>
          <w:rFonts w:ascii="Calibri" w:hAnsi="Calibri"/>
          <w:b/>
          <w:sz w:val="22"/>
          <w:szCs w:val="22"/>
        </w:rPr>
        <w:t xml:space="preserve">Option 1: </w:t>
      </w:r>
      <w:r w:rsidRPr="00350D34">
        <w:rPr>
          <w:rFonts w:ascii="Calibri" w:hAnsi="Calibri"/>
          <w:b/>
          <w:sz w:val="22"/>
          <w:szCs w:val="22"/>
        </w:rPr>
        <w:t xml:space="preserve">National Household Surveys of Users and Non-Users and Separate National Public Access Venue Survey.  </w:t>
      </w:r>
    </w:p>
    <w:p w:rsidR="001044AF" w:rsidRPr="00350D34" w:rsidRDefault="001044AF" w:rsidP="001044AF">
      <w:pPr>
        <w:rPr>
          <w:rFonts w:ascii="Calibri" w:hAnsi="Calibri"/>
          <w:sz w:val="22"/>
          <w:szCs w:val="22"/>
        </w:rPr>
      </w:pPr>
      <w:r w:rsidRPr="00350D34">
        <w:rPr>
          <w:rFonts w:ascii="Calibri" w:hAnsi="Calibri"/>
          <w:sz w:val="22"/>
          <w:szCs w:val="22"/>
        </w:rPr>
        <w:t xml:space="preserve">National surveys of households and venues provide useful data for describing the “national character” of public access services.  Typically conducted with phone or mail instruments, these studies are a cost effective way of enumerating basic features of the public access venues as well as the general characteristics of users for the entire country.  Employing national household surveys we could, for </w:t>
      </w:r>
      <w:r w:rsidRPr="00350D34">
        <w:rPr>
          <w:rFonts w:ascii="Calibri" w:hAnsi="Calibri"/>
          <w:sz w:val="22"/>
          <w:szCs w:val="22"/>
        </w:rPr>
        <w:lastRenderedPageBreak/>
        <w:t xml:space="preserve">example, examine the access or use rates among certain national minorities or of target populations, such as women.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However, the national household surveys come with two important limitations that affect their relevance for this study.  First, national use rates tend to be too highly aggregated to address issues of use and non-use in developing countries.  Unlike other human services, such as public health, which tend to be evenly distributed by both population size (even in developing countries), the distribution of public access site is highly variable.  As such, some communities may have multiple access points where others have none.  Given the uneven distribution of public access services, local area surveys are likely to provide a more accurate measure of use than a national survey.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Apart from this aggregation bias, national surveys would not allow researchers to link the public access users to the data from the PA sites.  This is a particular problem given the projects goal of linking PAC services and use to outcomes.  A key hypothesis guiding the design of this project is that the character of public access use is affected by the range of services and conditions available in the public access venue.  In order to test this hypothesis a great deal of information is needed about the venue.  National surveys that sample venues and households separately would not provide sufficient data to link respondents to public access sites in a meaningful way.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b/>
          <w:sz w:val="22"/>
          <w:szCs w:val="22"/>
        </w:rPr>
      </w:pPr>
      <w:r>
        <w:rPr>
          <w:rFonts w:ascii="Calibri" w:hAnsi="Calibri"/>
          <w:b/>
          <w:sz w:val="22"/>
          <w:szCs w:val="22"/>
        </w:rPr>
        <w:t xml:space="preserve">Option 2: </w:t>
      </w:r>
      <w:r w:rsidRPr="00350D34">
        <w:rPr>
          <w:rFonts w:ascii="Calibri" w:hAnsi="Calibri"/>
          <w:b/>
          <w:sz w:val="22"/>
          <w:szCs w:val="22"/>
        </w:rPr>
        <w:t>National Public Access Venue Surveys, with User and Non-User Survey Component Linked to the Sampled Venues.</w:t>
      </w:r>
    </w:p>
    <w:p w:rsidR="001044AF" w:rsidRPr="00350D34" w:rsidRDefault="001044AF" w:rsidP="001044AF">
      <w:pPr>
        <w:rPr>
          <w:rFonts w:ascii="Calibri" w:hAnsi="Calibri"/>
          <w:sz w:val="22"/>
          <w:szCs w:val="22"/>
        </w:rPr>
      </w:pPr>
      <w:r w:rsidRPr="00350D34">
        <w:rPr>
          <w:rFonts w:ascii="Calibri" w:hAnsi="Calibri"/>
          <w:sz w:val="22"/>
          <w:szCs w:val="22"/>
        </w:rPr>
        <w:t>The inventory and taxonomy of public access sites provides the IPAI research team with a unique opportunity to survey representative PA venues.  To our knowledg</w:t>
      </w:r>
      <w:r>
        <w:rPr>
          <w:rFonts w:ascii="Calibri" w:hAnsi="Calibri"/>
          <w:sz w:val="22"/>
          <w:szCs w:val="22"/>
        </w:rPr>
        <w:t xml:space="preserve">e, no other studies </w:t>
      </w:r>
      <w:proofErr w:type="gramStart"/>
      <w:r>
        <w:rPr>
          <w:rFonts w:ascii="Calibri" w:hAnsi="Calibri"/>
          <w:sz w:val="22"/>
          <w:szCs w:val="22"/>
        </w:rPr>
        <w:t>exist</w:t>
      </w:r>
      <w:proofErr w:type="gramEnd"/>
      <w:r>
        <w:rPr>
          <w:rFonts w:ascii="Calibri" w:hAnsi="Calibri"/>
          <w:sz w:val="22"/>
          <w:szCs w:val="22"/>
        </w:rPr>
        <w:t xml:space="preserve"> that </w:t>
      </w:r>
      <w:r w:rsidRPr="00350D34">
        <w:rPr>
          <w:rFonts w:ascii="Calibri" w:hAnsi="Calibri"/>
          <w:sz w:val="22"/>
          <w:szCs w:val="22"/>
        </w:rPr>
        <w:t>use a reliable venue inventory as a survey frame.  The National Public Access Venue Surveys strategy would select a random sample based on the inventory, appropriately stratified by the key variables contained in the taxonomy (e.g. libraries, cybercafés, urban, rural etc.)  Important features of public access services, which are relevant to the question of use and ultimately impact and are generally not captured by admin data sources, can be captured through a National Public Access Venue strategy survey.  Among other areas of interest, the content can include additional information that provides further elaboration of the nature of public access, including:</w:t>
      </w:r>
    </w:p>
    <w:p w:rsidR="001044AF" w:rsidRPr="00350D34" w:rsidRDefault="001044AF" w:rsidP="001044AF">
      <w:pPr>
        <w:numPr>
          <w:ilvl w:val="0"/>
          <w:numId w:val="2"/>
        </w:numPr>
        <w:rPr>
          <w:rFonts w:ascii="Calibri" w:hAnsi="Calibri"/>
          <w:sz w:val="22"/>
          <w:szCs w:val="22"/>
        </w:rPr>
      </w:pPr>
      <w:r w:rsidRPr="00350D34">
        <w:rPr>
          <w:rFonts w:ascii="Calibri" w:hAnsi="Calibri"/>
          <w:sz w:val="22"/>
          <w:szCs w:val="22"/>
        </w:rPr>
        <w:t>design features (e.g. presence of booths, privacy screens, hours of operation, prices for services)</w:t>
      </w:r>
    </w:p>
    <w:p w:rsidR="001044AF" w:rsidRPr="00350D34" w:rsidRDefault="001044AF" w:rsidP="001044AF">
      <w:pPr>
        <w:numPr>
          <w:ilvl w:val="0"/>
          <w:numId w:val="2"/>
        </w:numPr>
        <w:rPr>
          <w:rFonts w:ascii="Calibri" w:hAnsi="Calibri"/>
          <w:sz w:val="22"/>
          <w:szCs w:val="22"/>
        </w:rPr>
      </w:pPr>
      <w:r w:rsidRPr="00350D34">
        <w:rPr>
          <w:rFonts w:ascii="Calibri" w:hAnsi="Calibri"/>
          <w:sz w:val="22"/>
          <w:szCs w:val="22"/>
        </w:rPr>
        <w:t>estimated volume of usage (e.g. number of computers per facility x hours of operation x number of users)</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This study design assumes reliable data from the PAC inventory.  The site selection would in turn provide the frame for PA user selection.  The non-user portion of the survey would be keyed from the selected institutions and the characteristics of identified users, e.g. drawn from the same neighborhood as users, same gender or age, etc.  Because this study design is based on the prevalence of PA sites in the country of interest, the data can be used to generalize to PA sites nationally.  Furthermore, using PA sites for selection of users allows for more explicit comparison of services and use across different public access site types. </w:t>
      </w:r>
    </w:p>
    <w:p w:rsidR="001044AF" w:rsidRDefault="001044AF" w:rsidP="001044AF">
      <w:pPr>
        <w:rPr>
          <w:rFonts w:ascii="Calibri" w:hAnsi="Calibri"/>
          <w:sz w:val="22"/>
          <w:szCs w:val="22"/>
        </w:rPr>
      </w:pPr>
    </w:p>
    <w:p w:rsidR="001044AF" w:rsidRPr="00350D34" w:rsidRDefault="001044AF" w:rsidP="001044AF">
      <w:pPr>
        <w:rPr>
          <w:rFonts w:ascii="Calibri" w:hAnsi="Calibri"/>
          <w:sz w:val="22"/>
          <w:szCs w:val="22"/>
        </w:rPr>
      </w:pPr>
    </w:p>
    <w:p w:rsidR="001044AF" w:rsidRPr="00350D34" w:rsidRDefault="001044AF" w:rsidP="001044AF">
      <w:pPr>
        <w:rPr>
          <w:rFonts w:ascii="Calibri" w:hAnsi="Calibri"/>
          <w:b/>
          <w:sz w:val="22"/>
          <w:szCs w:val="22"/>
        </w:rPr>
      </w:pPr>
      <w:r>
        <w:rPr>
          <w:rFonts w:ascii="Calibri" w:hAnsi="Calibri"/>
          <w:b/>
          <w:sz w:val="22"/>
          <w:szCs w:val="22"/>
        </w:rPr>
        <w:t xml:space="preserve">Option 3: </w:t>
      </w:r>
      <w:r w:rsidRPr="00350D34">
        <w:rPr>
          <w:rFonts w:ascii="Calibri" w:hAnsi="Calibri"/>
          <w:b/>
          <w:sz w:val="22"/>
          <w:szCs w:val="22"/>
        </w:rPr>
        <w:t>Local Area Surveys, with Public Access Venues and User/Non-user Household Surveys Linked to Selected Sites.</w:t>
      </w:r>
    </w:p>
    <w:p w:rsidR="001044AF" w:rsidRPr="00350D34" w:rsidRDefault="001044AF" w:rsidP="001044AF">
      <w:pPr>
        <w:rPr>
          <w:rFonts w:ascii="Calibri" w:hAnsi="Calibri"/>
          <w:sz w:val="22"/>
          <w:szCs w:val="22"/>
        </w:rPr>
      </w:pPr>
      <w:r w:rsidRPr="00350D34">
        <w:rPr>
          <w:rFonts w:ascii="Calibri" w:hAnsi="Calibri"/>
          <w:sz w:val="22"/>
          <w:szCs w:val="22"/>
        </w:rPr>
        <w:lastRenderedPageBreak/>
        <w:t xml:space="preserve">For local area surveys, site selection is based primarily on community-level characteristics that are seen as relevant for the analysis.  In other words, PA sites and users do not lead the selection process but are examined after communities of interest have been identified.  </w:t>
      </w:r>
    </w:p>
    <w:p w:rsidR="001044AF" w:rsidRPr="00350D34" w:rsidRDefault="001044AF" w:rsidP="001044AF">
      <w:pPr>
        <w:rPr>
          <w:rFonts w:ascii="Calibri" w:hAnsi="Calibri"/>
          <w:sz w:val="22"/>
          <w:szCs w:val="22"/>
        </w:rPr>
      </w:pPr>
      <w:r w:rsidRPr="00350D34">
        <w:rPr>
          <w:rFonts w:ascii="Calibri" w:hAnsi="Calibri"/>
          <w:sz w:val="22"/>
          <w:szCs w:val="22"/>
        </w:rPr>
        <w:t xml:space="preserve">This survey design gives priority to community types within a single country or across countries, rather than the venue or household types as with the designs discussed above.  By using community types as the key selection criterion we can control for contextual or environmental conditions that might have an effect on the use and impact of public access services.  This survey design strategy could be used to compare “like” communities which vary based on a particular community condition of interest (e.g. poverty level, computer penetration rates, etc.).  Likewise it could be used to compare very different communities that share a key condition of interest (e.g. rural villages and urban neighborhoods that have comparable PAC to population ratios).   The local area survey strategy is flexible enough to allow researchers to test hypothesis about a wide variety of community conditions within a single nation state or across nation states.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Unlike the other design strategies discussed above, this design strategy requires more “front end” work to determine the right level of analysis (city, neighborhood, village, etc.) and considerably more thought about the relationship between information transfer and community characteristics. Because of the localized nature of this survey design it is not particularly useful for developing a national portrait of use or public access services that might be developed using the national household survey or national venue survey designs.  Moreover, it will be difficult, if at all possible, to generalize the results. </w:t>
      </w:r>
    </w:p>
    <w:p w:rsidR="001044AF" w:rsidRPr="00350D34" w:rsidRDefault="001044AF" w:rsidP="001044AF">
      <w:pPr>
        <w:ind w:left="1440"/>
        <w:rPr>
          <w:rFonts w:ascii="Calibri" w:hAnsi="Calibri"/>
          <w:sz w:val="22"/>
          <w:szCs w:val="22"/>
        </w:rPr>
      </w:pPr>
    </w:p>
    <w:p w:rsidR="001044AF" w:rsidRPr="00350D34" w:rsidRDefault="001044AF" w:rsidP="001044AF">
      <w:pPr>
        <w:rPr>
          <w:rFonts w:ascii="Calibri" w:hAnsi="Calibri"/>
          <w:b/>
          <w:sz w:val="22"/>
          <w:szCs w:val="22"/>
        </w:rPr>
      </w:pPr>
      <w:r>
        <w:rPr>
          <w:rFonts w:ascii="Calibri" w:hAnsi="Calibri"/>
          <w:b/>
          <w:sz w:val="22"/>
          <w:szCs w:val="22"/>
        </w:rPr>
        <w:t>Capturing Public Access</w:t>
      </w:r>
      <w:r w:rsidRPr="00350D34">
        <w:rPr>
          <w:rFonts w:ascii="Calibri" w:hAnsi="Calibri"/>
          <w:b/>
          <w:sz w:val="22"/>
          <w:szCs w:val="22"/>
        </w:rPr>
        <w:t xml:space="preserve"> Users</w:t>
      </w:r>
    </w:p>
    <w:p w:rsidR="001044AF" w:rsidRPr="00350D34" w:rsidRDefault="001044AF" w:rsidP="001044AF">
      <w:pPr>
        <w:rPr>
          <w:rFonts w:ascii="Calibri" w:hAnsi="Calibri"/>
          <w:sz w:val="22"/>
          <w:szCs w:val="22"/>
        </w:rPr>
      </w:pPr>
      <w:r w:rsidRPr="00350D34">
        <w:rPr>
          <w:rFonts w:ascii="Calibri" w:hAnsi="Calibri"/>
          <w:sz w:val="22"/>
          <w:szCs w:val="22"/>
        </w:rPr>
        <w:t>A good survey of PA users was identified as an important component to the IPAI research.  A large sample of users is needed for robust statistical analysis.  A sample of 800-1,000 PA users will provide very good quality results (depending on the exact implementation, at around +-3% at the 95% confidence interval).  There are a variety of ways to identify p</w:t>
      </w:r>
      <w:r>
        <w:rPr>
          <w:rFonts w:ascii="Calibri" w:hAnsi="Calibri"/>
          <w:sz w:val="22"/>
          <w:szCs w:val="22"/>
        </w:rPr>
        <w:t xml:space="preserve">ublic access </w:t>
      </w:r>
      <w:r w:rsidRPr="00350D34">
        <w:rPr>
          <w:rFonts w:ascii="Calibri" w:hAnsi="Calibri"/>
          <w:sz w:val="22"/>
          <w:szCs w:val="22"/>
        </w:rPr>
        <w:t>users in a community.</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One of the most efficient and cost </w:t>
      </w:r>
      <w:proofErr w:type="spellStart"/>
      <w:r w:rsidRPr="00350D34">
        <w:rPr>
          <w:rFonts w:ascii="Calibri" w:hAnsi="Calibri"/>
          <w:sz w:val="22"/>
          <w:szCs w:val="22"/>
        </w:rPr>
        <w:t>affective</w:t>
      </w:r>
      <w:proofErr w:type="spellEnd"/>
      <w:r w:rsidRPr="00350D34">
        <w:rPr>
          <w:rFonts w:ascii="Calibri" w:hAnsi="Calibri"/>
          <w:sz w:val="22"/>
          <w:szCs w:val="22"/>
        </w:rPr>
        <w:t xml:space="preserve"> ways of identifying a large pool of users is through the PA venues themselves. As a practical matter, arriving at the frame can be part of the PA survey content, and the PA user survey can take place concurrently with the survey of PAs (especially if field visits are involved, which is likely).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The PA owners/operators can provide their best estimate for the number of individual visitors – say, on a weekly basis.  This will provide the sample per PA and the survey weights.  In other words, in a survey of 500 PAs, 2 users per PA would be needed on average.  But, twice the number of users can be selected from a PA with double the traffic for proportional allocation of users to venues.  This approach has a large sample of dedicated PA users and will provide very rich data for subsequent analysis – and linkable to the respective PA taxonomy categories.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This strategy has an additional benefit.  We know two things about PA users.  They are a small proportion of Internet users (and a much smaller of the population) and many do not use exclusively from a PA, that is, they do have access elsewhere (home, work etc.).  This becomes crucial when examining two key hypotheses that the project aims to address.  </w:t>
      </w:r>
    </w:p>
    <w:p w:rsidR="001044AF" w:rsidRPr="00350D34" w:rsidRDefault="001044AF" w:rsidP="001044AF">
      <w:pPr>
        <w:rPr>
          <w:rFonts w:ascii="Calibri" w:hAnsi="Calibri"/>
          <w:sz w:val="22"/>
          <w:szCs w:val="22"/>
        </w:rPr>
      </w:pPr>
    </w:p>
    <w:p w:rsidR="001044AF" w:rsidRPr="00350D34" w:rsidRDefault="001044AF" w:rsidP="001044AF">
      <w:pPr>
        <w:numPr>
          <w:ilvl w:val="0"/>
          <w:numId w:val="1"/>
        </w:numPr>
        <w:rPr>
          <w:rFonts w:ascii="Calibri" w:hAnsi="Calibri"/>
          <w:sz w:val="22"/>
          <w:szCs w:val="22"/>
        </w:rPr>
      </w:pPr>
      <w:r w:rsidRPr="00350D34">
        <w:rPr>
          <w:rFonts w:ascii="Calibri" w:hAnsi="Calibri"/>
          <w:sz w:val="22"/>
          <w:szCs w:val="22"/>
        </w:rPr>
        <w:t>Is PA a substitute and/or an interim stage for private access?</w:t>
      </w:r>
    </w:p>
    <w:p w:rsidR="001044AF" w:rsidRPr="00350D34" w:rsidRDefault="001044AF" w:rsidP="001044AF">
      <w:pPr>
        <w:numPr>
          <w:ilvl w:val="0"/>
          <w:numId w:val="1"/>
        </w:numPr>
        <w:rPr>
          <w:rFonts w:ascii="Calibri" w:hAnsi="Calibri"/>
          <w:sz w:val="22"/>
          <w:szCs w:val="22"/>
        </w:rPr>
      </w:pPr>
      <w:r w:rsidRPr="00350D34">
        <w:rPr>
          <w:rFonts w:ascii="Calibri" w:hAnsi="Calibri"/>
          <w:sz w:val="22"/>
          <w:szCs w:val="22"/>
        </w:rPr>
        <w:t xml:space="preserve">Is PA associated with (presumably) positive impacts beyond those of private?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lastRenderedPageBreak/>
        <w:t xml:space="preserve">The small proportion of PA users who have both home/other access or only PA access can provide valuable insights into these questions – through direct and indirect questions.  However, only with a survey of 800-1,000 PA users can these crucial groups be analyzed in any meaningful way.  A specific content module must be developed for these respondents.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An alternative to a survey of PA users through the PA venues themselves would be to draw a random sample of residents within a restricted community area proximate to the public access venue.  Theoretically, this pool of community respondents would have a higher probability of use than the national survey respondents given the availability of PA services in their home community.  One important advantage of a local home survey is that identified users and non-users from the local area survey would have an equal probability of being selected into the survey and are more comparable than users and non-users that were drawn from different frames.  A drawback would be that we don’t capture users that may go to PAs from some distance, and gauge how prevalent this is, if at all, as well as investigate the reasons why.</w:t>
      </w:r>
    </w:p>
    <w:p w:rsidR="001044AF" w:rsidRPr="00350D34" w:rsidRDefault="001044AF" w:rsidP="001044AF">
      <w:pPr>
        <w:rPr>
          <w:rFonts w:ascii="Calibri" w:hAnsi="Calibri"/>
          <w:b/>
          <w:sz w:val="22"/>
          <w:szCs w:val="22"/>
        </w:rPr>
      </w:pPr>
    </w:p>
    <w:p w:rsidR="001044AF" w:rsidRPr="00350D34" w:rsidRDefault="001044AF" w:rsidP="001044AF">
      <w:pPr>
        <w:rPr>
          <w:rFonts w:ascii="Calibri" w:hAnsi="Calibri"/>
          <w:b/>
          <w:sz w:val="22"/>
          <w:szCs w:val="22"/>
        </w:rPr>
      </w:pPr>
      <w:r w:rsidRPr="00350D34">
        <w:rPr>
          <w:rFonts w:ascii="Calibri" w:hAnsi="Calibri"/>
          <w:b/>
          <w:sz w:val="22"/>
          <w:szCs w:val="22"/>
        </w:rPr>
        <w:t>Identifying PA Non-Users</w:t>
      </w:r>
    </w:p>
    <w:p w:rsidR="001044AF" w:rsidRPr="00350D34" w:rsidRDefault="001044AF" w:rsidP="001044AF">
      <w:pPr>
        <w:rPr>
          <w:rFonts w:ascii="Calibri" w:hAnsi="Calibri"/>
          <w:sz w:val="22"/>
          <w:szCs w:val="22"/>
        </w:rPr>
      </w:pPr>
      <w:r w:rsidRPr="00350D34">
        <w:rPr>
          <w:rFonts w:ascii="Calibri" w:hAnsi="Calibri"/>
          <w:sz w:val="22"/>
          <w:szCs w:val="22"/>
        </w:rPr>
        <w:t xml:space="preserve">Virtually everyone in the IPAI team has expressed an interest in acquiring data about non-users in addition to users. A comparison of users to non-users provides important data for determining difference do to public access “treatment”.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sz w:val="22"/>
          <w:szCs w:val="22"/>
        </w:rPr>
      </w:pPr>
      <w:r w:rsidRPr="00350D34">
        <w:rPr>
          <w:rFonts w:ascii="Calibri" w:hAnsi="Calibri"/>
          <w:sz w:val="22"/>
          <w:szCs w:val="22"/>
        </w:rPr>
        <w:t xml:space="preserve">The national venue survey design is very strong for the study of PA sites and the PA users and less so for the study of non-users.  Strictly speaking users and non-users in this type of study are non-comparable.  Special care will need to be taken to develop a comparison group of community non-users. </w:t>
      </w:r>
    </w:p>
    <w:p w:rsidR="001044AF" w:rsidRPr="00350D34" w:rsidRDefault="001044AF" w:rsidP="001044AF">
      <w:pPr>
        <w:rPr>
          <w:rFonts w:ascii="Calibri" w:hAnsi="Calibri"/>
          <w:b/>
          <w:sz w:val="22"/>
          <w:szCs w:val="22"/>
        </w:rPr>
      </w:pPr>
    </w:p>
    <w:p w:rsidR="001044AF" w:rsidRPr="00350D34" w:rsidRDefault="001044AF" w:rsidP="001044AF">
      <w:pPr>
        <w:rPr>
          <w:rFonts w:ascii="Calibri" w:hAnsi="Calibri"/>
          <w:b/>
          <w:sz w:val="22"/>
          <w:szCs w:val="22"/>
        </w:rPr>
      </w:pPr>
    </w:p>
    <w:p w:rsidR="001044AF" w:rsidRPr="00350D34" w:rsidRDefault="001044AF" w:rsidP="001044AF">
      <w:pPr>
        <w:rPr>
          <w:rFonts w:ascii="Calibri" w:hAnsi="Calibri"/>
          <w:b/>
          <w:sz w:val="22"/>
          <w:szCs w:val="22"/>
        </w:rPr>
      </w:pPr>
      <w:r w:rsidRPr="00350D34">
        <w:rPr>
          <w:rFonts w:ascii="Calibri" w:hAnsi="Calibri"/>
          <w:b/>
          <w:sz w:val="22"/>
          <w:szCs w:val="22"/>
        </w:rPr>
        <w:t xml:space="preserve">Longitudinal Panels </w:t>
      </w:r>
    </w:p>
    <w:p w:rsidR="001044AF" w:rsidRPr="00350D34" w:rsidRDefault="001044AF" w:rsidP="001044AF">
      <w:pPr>
        <w:rPr>
          <w:rFonts w:ascii="Calibri" w:hAnsi="Calibri"/>
          <w:sz w:val="22"/>
          <w:szCs w:val="22"/>
        </w:rPr>
      </w:pPr>
      <w:r w:rsidRPr="00350D34">
        <w:rPr>
          <w:rFonts w:ascii="Calibri" w:hAnsi="Calibri"/>
          <w:sz w:val="22"/>
          <w:szCs w:val="22"/>
        </w:rPr>
        <w:t xml:space="preserve">An additional design element involving panels can be built into the survey design strategies described above.  Longitudinal analysis could become a unique feature of the IPAI project given the time horizon, and would contribute findings that so far have been largely in the realm of speculation.  However a serious limitation will be capacity and costs.  </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b/>
          <w:color w:val="000000"/>
          <w:sz w:val="22"/>
          <w:szCs w:val="22"/>
        </w:rPr>
      </w:pPr>
      <w:r w:rsidRPr="00350D34">
        <w:rPr>
          <w:rFonts w:ascii="Calibri" w:hAnsi="Calibri"/>
          <w:sz w:val="22"/>
          <w:szCs w:val="22"/>
        </w:rPr>
        <w:t>The sampled PAs (or a sub-sample) can be identified for a repeat survey after 2-3 years.  If the inventory is updated, this exercise will be further facilitated. The samples (or sub-samples) of PA users and that of non-users could also be maintained (something that must be known ahead of time and make appropriate arrangements).  Talking to users again (perhaps through e-mail next time) would provide more answers to the issue of migrating to private access or not and the like.  Non-users (perhaps through a telephone) would shed light on the change of their status down the road etc.</w:t>
      </w:r>
    </w:p>
    <w:p w:rsidR="001044AF" w:rsidRPr="00350D34" w:rsidRDefault="001044AF" w:rsidP="001044AF">
      <w:pPr>
        <w:rPr>
          <w:rFonts w:ascii="Calibri" w:hAnsi="Calibri"/>
          <w:b/>
          <w:color w:val="000000"/>
          <w:sz w:val="22"/>
          <w:szCs w:val="22"/>
        </w:rPr>
      </w:pPr>
    </w:p>
    <w:p w:rsidR="001044AF" w:rsidRPr="00350D34" w:rsidRDefault="001044AF" w:rsidP="001044AF">
      <w:pPr>
        <w:rPr>
          <w:rFonts w:ascii="Calibri" w:hAnsi="Calibri"/>
          <w:b/>
          <w:sz w:val="22"/>
          <w:szCs w:val="22"/>
        </w:rPr>
      </w:pPr>
      <w:r w:rsidRPr="00350D34">
        <w:rPr>
          <w:rFonts w:ascii="Calibri" w:hAnsi="Calibri"/>
          <w:sz w:val="22"/>
          <w:szCs w:val="22"/>
        </w:rPr>
        <w:t>Of course, there are many different ways to go with a longitudinal survey.  Much care should be taken in the design of a longitudinal study of users given the lack of solid theory about the impact of PA use has on individuals over time, at different dosage levels, and/or across community contexts.  Without this type of information it is difficult to design an instrument that would track behavioral changes over time.  Designing an instrument without this type of information runs the risk of tracking a wide range of behaviors or conditions that have little or no direct relationship to public access use.  One key dimension of interest that can be captured is the potential migration (or not) of only-PA users currently to home-use.</w:t>
      </w:r>
    </w:p>
    <w:p w:rsidR="001044AF" w:rsidRPr="00350D34" w:rsidRDefault="001044AF" w:rsidP="001044AF">
      <w:pPr>
        <w:rPr>
          <w:rFonts w:ascii="Calibri" w:hAnsi="Calibri"/>
          <w:sz w:val="22"/>
          <w:szCs w:val="22"/>
        </w:rPr>
      </w:pPr>
    </w:p>
    <w:p w:rsidR="001044AF" w:rsidRPr="00350D34" w:rsidRDefault="001044AF" w:rsidP="001044AF">
      <w:pPr>
        <w:rPr>
          <w:rFonts w:ascii="Calibri" w:hAnsi="Calibri"/>
          <w:b/>
          <w:sz w:val="22"/>
          <w:szCs w:val="22"/>
        </w:rPr>
      </w:pPr>
      <w:r w:rsidRPr="00350D34">
        <w:rPr>
          <w:rFonts w:ascii="Calibri" w:hAnsi="Calibri"/>
          <w:b/>
          <w:sz w:val="22"/>
          <w:szCs w:val="22"/>
        </w:rPr>
        <w:t>Survey Design Recommendations</w:t>
      </w:r>
    </w:p>
    <w:p w:rsidR="001044AF" w:rsidRPr="00350D34" w:rsidRDefault="001044AF" w:rsidP="001044AF">
      <w:pPr>
        <w:rPr>
          <w:rFonts w:ascii="Calibri" w:hAnsi="Calibri"/>
          <w:sz w:val="22"/>
          <w:szCs w:val="22"/>
        </w:rPr>
      </w:pPr>
      <w:r w:rsidRPr="00350D34">
        <w:rPr>
          <w:rFonts w:ascii="Calibri" w:hAnsi="Calibri"/>
          <w:sz w:val="22"/>
          <w:szCs w:val="22"/>
        </w:rPr>
        <w:lastRenderedPageBreak/>
        <w:t>Given the relative merits of the three general design strategies discussed above the IPAI team recommends dropping consideration of the National Household Surveys of Users and Non-Users and Separate National Public Access Venue Survey.  This survey strategy is a poor fit to the goals of the research project as it provides: a) limited data on PA users, b) fails to link venues to beneficiaries, and c) does not take full advantage of the PA inventories collected by the IPAI country teams.</w:t>
      </w:r>
    </w:p>
    <w:p w:rsidR="001044AF" w:rsidRPr="00350D34" w:rsidRDefault="001044AF" w:rsidP="001044AF">
      <w:pPr>
        <w:rPr>
          <w:rFonts w:ascii="Calibri" w:hAnsi="Calibri"/>
          <w:b/>
          <w:sz w:val="22"/>
          <w:szCs w:val="22"/>
        </w:rPr>
      </w:pPr>
    </w:p>
    <w:p w:rsidR="001044AF" w:rsidRPr="002D5068" w:rsidRDefault="001044AF" w:rsidP="001044AF">
      <w:pPr>
        <w:rPr>
          <w:rFonts w:ascii="Calibri" w:hAnsi="Calibri"/>
          <w:sz w:val="22"/>
          <w:szCs w:val="22"/>
        </w:rPr>
      </w:pPr>
      <w:r w:rsidRPr="00350D34">
        <w:rPr>
          <w:rFonts w:ascii="Calibri" w:hAnsi="Calibri"/>
          <w:sz w:val="22"/>
          <w:szCs w:val="22"/>
        </w:rPr>
        <w:t xml:space="preserve">The other two designs could be used to address most of the research clusters identified by the IPAI.  Depending upon the scope and focus of these research projects one survey design strategy may be more useful than another. Below we provide a matrix listing the relative advantage of each design for each research cluster. </w:t>
      </w:r>
    </w:p>
    <w:p w:rsidR="001044AF" w:rsidRDefault="001044AF" w:rsidP="001044AF">
      <w:pPr>
        <w:rPr>
          <w:rFonts w:ascii="Calibri" w:hAnsi="Calibri"/>
          <w:b/>
          <w:sz w:val="22"/>
          <w:szCs w:val="22"/>
        </w:rPr>
      </w:pPr>
    </w:p>
    <w:p w:rsidR="001044AF" w:rsidRPr="00350D34" w:rsidRDefault="001044AF" w:rsidP="001044AF">
      <w:pPr>
        <w:rPr>
          <w:rFonts w:ascii="Calibri" w:hAnsi="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sz w:val="22"/>
                <w:szCs w:val="22"/>
              </w:rPr>
            </w:pPr>
          </w:p>
        </w:tc>
        <w:tc>
          <w:tcPr>
            <w:tcW w:w="2952" w:type="dxa"/>
            <w:shd w:val="clear" w:color="auto" w:fill="E0E0E0"/>
            <w:vAlign w:val="center"/>
          </w:tcPr>
          <w:p w:rsidR="001044AF" w:rsidRPr="00886D6D" w:rsidRDefault="001044AF" w:rsidP="00A6390F">
            <w:pPr>
              <w:jc w:val="center"/>
              <w:rPr>
                <w:rFonts w:ascii="Calibri" w:hAnsi="Calibri"/>
                <w:b/>
                <w:sz w:val="22"/>
                <w:szCs w:val="22"/>
              </w:rPr>
            </w:pPr>
            <w:r w:rsidRPr="00886D6D">
              <w:rPr>
                <w:rFonts w:ascii="Calibri" w:hAnsi="Calibri"/>
                <w:b/>
                <w:sz w:val="22"/>
                <w:szCs w:val="22"/>
              </w:rPr>
              <w:t>National Public Access Venue Surveys</w:t>
            </w:r>
          </w:p>
        </w:tc>
        <w:tc>
          <w:tcPr>
            <w:tcW w:w="2952" w:type="dxa"/>
            <w:shd w:val="clear" w:color="auto" w:fill="E0E0E0"/>
            <w:vAlign w:val="center"/>
          </w:tcPr>
          <w:p w:rsidR="001044AF" w:rsidRPr="00886D6D" w:rsidRDefault="001044AF" w:rsidP="00A6390F">
            <w:pPr>
              <w:jc w:val="center"/>
              <w:rPr>
                <w:rFonts w:ascii="Calibri" w:hAnsi="Calibri"/>
                <w:b/>
                <w:sz w:val="22"/>
                <w:szCs w:val="22"/>
              </w:rPr>
            </w:pPr>
            <w:r w:rsidRPr="00886D6D">
              <w:rPr>
                <w:rFonts w:ascii="Calibri" w:hAnsi="Calibri"/>
                <w:b/>
                <w:sz w:val="22"/>
                <w:szCs w:val="22"/>
              </w:rPr>
              <w:t>Local Area Surveys</w:t>
            </w:r>
          </w:p>
        </w:tc>
      </w:tr>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color w:val="000000"/>
                <w:sz w:val="22"/>
                <w:szCs w:val="22"/>
              </w:rPr>
            </w:pPr>
            <w:r w:rsidRPr="00886D6D">
              <w:rPr>
                <w:rFonts w:ascii="Calibri" w:hAnsi="Calibri"/>
                <w:b/>
                <w:color w:val="000000"/>
                <w:sz w:val="22"/>
                <w:szCs w:val="22"/>
              </w:rPr>
              <w:t>Reach of Public Access ICTs</w:t>
            </w:r>
          </w:p>
          <w:p w:rsidR="001044AF" w:rsidRPr="00886D6D" w:rsidRDefault="001044AF" w:rsidP="00A6390F">
            <w:pPr>
              <w:pStyle w:val="ListParagraph"/>
              <w:ind w:left="0"/>
              <w:jc w:val="center"/>
              <w:rPr>
                <w:b/>
              </w:rPr>
            </w:pPr>
          </w:p>
        </w:tc>
        <w:tc>
          <w:tcPr>
            <w:tcW w:w="2952" w:type="dxa"/>
          </w:tcPr>
          <w:p w:rsidR="001044AF" w:rsidRPr="00886D6D" w:rsidRDefault="001044AF" w:rsidP="00A6390F">
            <w:pPr>
              <w:rPr>
                <w:rFonts w:ascii="Calibri" w:hAnsi="Calibri"/>
                <w:b/>
                <w:sz w:val="22"/>
                <w:szCs w:val="22"/>
              </w:rPr>
            </w:pPr>
            <w:r w:rsidRPr="00886D6D">
              <w:rPr>
                <w:rFonts w:ascii="Calibri" w:hAnsi="Calibri"/>
                <w:b/>
                <w:sz w:val="22"/>
                <w:szCs w:val="22"/>
              </w:rPr>
              <w:t>Design allows for comparison of geographic, costs across venue types.</w:t>
            </w:r>
          </w:p>
        </w:tc>
        <w:tc>
          <w:tcPr>
            <w:tcW w:w="2952" w:type="dxa"/>
          </w:tcPr>
          <w:p w:rsidR="001044AF" w:rsidRPr="00886D6D" w:rsidRDefault="001044AF" w:rsidP="00A6390F">
            <w:pPr>
              <w:rPr>
                <w:rFonts w:ascii="Calibri" w:hAnsi="Calibri"/>
                <w:b/>
                <w:sz w:val="22"/>
                <w:szCs w:val="22"/>
              </w:rPr>
            </w:pPr>
            <w:r w:rsidRPr="00886D6D">
              <w:rPr>
                <w:rFonts w:ascii="Calibri" w:hAnsi="Calibri"/>
                <w:b/>
                <w:sz w:val="22"/>
                <w:szCs w:val="22"/>
              </w:rPr>
              <w:t>Allows for comparison of PAC reach within a given community (how many local residents are affected?) to other community information services.</w:t>
            </w:r>
          </w:p>
        </w:tc>
      </w:tr>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color w:val="000000"/>
                <w:sz w:val="22"/>
                <w:szCs w:val="22"/>
              </w:rPr>
            </w:pPr>
            <w:r w:rsidRPr="00886D6D">
              <w:rPr>
                <w:rFonts w:ascii="Calibri" w:hAnsi="Calibri"/>
                <w:b/>
                <w:color w:val="000000"/>
                <w:sz w:val="22"/>
                <w:szCs w:val="22"/>
              </w:rPr>
              <w:t>Usage of Public Access ICTs</w:t>
            </w:r>
          </w:p>
          <w:p w:rsidR="001044AF" w:rsidRPr="00886D6D" w:rsidRDefault="001044AF" w:rsidP="00A6390F">
            <w:pPr>
              <w:jc w:val="center"/>
              <w:rPr>
                <w:rFonts w:ascii="Calibri" w:hAnsi="Calibri"/>
                <w:b/>
                <w:color w:val="000000"/>
                <w:sz w:val="22"/>
                <w:szCs w:val="22"/>
              </w:rPr>
            </w:pPr>
          </w:p>
        </w:tc>
        <w:tc>
          <w:tcPr>
            <w:tcW w:w="2952" w:type="dxa"/>
          </w:tcPr>
          <w:p w:rsidR="001044AF" w:rsidRPr="00886D6D" w:rsidRDefault="001044AF" w:rsidP="00A6390F">
            <w:pPr>
              <w:rPr>
                <w:rFonts w:ascii="Calibri" w:hAnsi="Calibri"/>
                <w:b/>
                <w:sz w:val="22"/>
                <w:szCs w:val="22"/>
              </w:rPr>
            </w:pPr>
            <w:r w:rsidRPr="00886D6D">
              <w:rPr>
                <w:rFonts w:ascii="Calibri" w:hAnsi="Calibri"/>
                <w:b/>
                <w:sz w:val="22"/>
                <w:szCs w:val="22"/>
              </w:rPr>
              <w:t>Design can be used to characterize differences in usage across venue types.</w:t>
            </w:r>
          </w:p>
        </w:tc>
        <w:tc>
          <w:tcPr>
            <w:tcW w:w="2952" w:type="dxa"/>
            <w:tcBorders>
              <w:bottom w:val="single" w:sz="4" w:space="0" w:color="auto"/>
            </w:tcBorders>
          </w:tcPr>
          <w:p w:rsidR="001044AF" w:rsidRPr="00886D6D" w:rsidRDefault="001044AF" w:rsidP="00A6390F">
            <w:pPr>
              <w:rPr>
                <w:rFonts w:ascii="Calibri" w:hAnsi="Calibri"/>
                <w:b/>
                <w:sz w:val="22"/>
                <w:szCs w:val="22"/>
              </w:rPr>
            </w:pPr>
            <w:r w:rsidRPr="00886D6D">
              <w:rPr>
                <w:rFonts w:ascii="Calibri" w:hAnsi="Calibri"/>
                <w:b/>
                <w:sz w:val="22"/>
                <w:szCs w:val="22"/>
              </w:rPr>
              <w:t>Design could be used to compare PA usage patterns to other community services.</w:t>
            </w:r>
          </w:p>
        </w:tc>
      </w:tr>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color w:val="000000"/>
                <w:sz w:val="22"/>
                <w:szCs w:val="22"/>
              </w:rPr>
            </w:pPr>
            <w:r w:rsidRPr="00886D6D">
              <w:rPr>
                <w:rFonts w:ascii="Calibri" w:hAnsi="Calibri"/>
                <w:b/>
                <w:color w:val="000000"/>
                <w:sz w:val="22"/>
                <w:szCs w:val="22"/>
              </w:rPr>
              <w:t>Physical Design and Location of Public Access Venues</w:t>
            </w:r>
          </w:p>
          <w:p w:rsidR="001044AF" w:rsidRPr="00886D6D" w:rsidRDefault="001044AF" w:rsidP="00A6390F">
            <w:pPr>
              <w:jc w:val="center"/>
              <w:rPr>
                <w:rFonts w:ascii="Calibri" w:hAnsi="Calibri"/>
                <w:b/>
                <w:color w:val="000000"/>
                <w:sz w:val="22"/>
                <w:szCs w:val="22"/>
              </w:rPr>
            </w:pPr>
          </w:p>
        </w:tc>
        <w:tc>
          <w:tcPr>
            <w:tcW w:w="2952" w:type="dxa"/>
          </w:tcPr>
          <w:p w:rsidR="001044AF" w:rsidRPr="00886D6D" w:rsidRDefault="001044AF" w:rsidP="00A6390F">
            <w:pPr>
              <w:rPr>
                <w:rFonts w:ascii="Calibri" w:hAnsi="Calibri"/>
                <w:b/>
                <w:sz w:val="22"/>
                <w:szCs w:val="22"/>
              </w:rPr>
            </w:pPr>
            <w:r w:rsidRPr="00886D6D">
              <w:rPr>
                <w:rFonts w:ascii="Calibri" w:hAnsi="Calibri"/>
                <w:b/>
                <w:sz w:val="22"/>
                <w:szCs w:val="22"/>
              </w:rPr>
              <w:t>Large sample of venues allow for detailed physical design and location comparisons for different PA site types.</w:t>
            </w:r>
          </w:p>
        </w:tc>
        <w:tc>
          <w:tcPr>
            <w:tcW w:w="2952" w:type="dxa"/>
            <w:shd w:val="clear" w:color="auto" w:fill="FFFF99"/>
          </w:tcPr>
          <w:p w:rsidR="001044AF" w:rsidRPr="00886D6D" w:rsidRDefault="001044AF" w:rsidP="00A6390F">
            <w:pPr>
              <w:rPr>
                <w:rFonts w:ascii="Calibri" w:hAnsi="Calibri"/>
                <w:b/>
                <w:sz w:val="22"/>
                <w:szCs w:val="22"/>
              </w:rPr>
            </w:pPr>
            <w:r w:rsidRPr="00886D6D">
              <w:rPr>
                <w:rFonts w:ascii="Calibri" w:hAnsi="Calibri"/>
                <w:b/>
                <w:sz w:val="22"/>
                <w:szCs w:val="22"/>
              </w:rPr>
              <w:t>Survey design would yield limited data for this cluster.</w:t>
            </w:r>
          </w:p>
        </w:tc>
      </w:tr>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color w:val="000000"/>
                <w:sz w:val="22"/>
                <w:szCs w:val="22"/>
              </w:rPr>
            </w:pPr>
            <w:r w:rsidRPr="00886D6D">
              <w:rPr>
                <w:rFonts w:ascii="Calibri" w:hAnsi="Calibri"/>
                <w:b/>
                <w:color w:val="000000"/>
                <w:sz w:val="22"/>
                <w:szCs w:val="22"/>
              </w:rPr>
              <w:t>Public Access Venue Services and Operations</w:t>
            </w:r>
          </w:p>
          <w:p w:rsidR="001044AF" w:rsidRPr="00886D6D" w:rsidRDefault="001044AF" w:rsidP="00A6390F">
            <w:pPr>
              <w:jc w:val="center"/>
              <w:rPr>
                <w:rFonts w:ascii="Calibri" w:hAnsi="Calibri"/>
                <w:b/>
                <w:color w:val="000000"/>
                <w:sz w:val="22"/>
                <w:szCs w:val="22"/>
              </w:rPr>
            </w:pPr>
          </w:p>
        </w:tc>
        <w:tc>
          <w:tcPr>
            <w:tcW w:w="2952" w:type="dxa"/>
            <w:tcBorders>
              <w:bottom w:val="single" w:sz="4" w:space="0" w:color="auto"/>
            </w:tcBorders>
          </w:tcPr>
          <w:p w:rsidR="001044AF" w:rsidRPr="00886D6D" w:rsidRDefault="001044AF" w:rsidP="00A6390F">
            <w:pPr>
              <w:rPr>
                <w:rFonts w:ascii="Calibri" w:hAnsi="Calibri"/>
                <w:b/>
                <w:sz w:val="22"/>
                <w:szCs w:val="22"/>
              </w:rPr>
            </w:pPr>
            <w:r w:rsidRPr="00886D6D">
              <w:rPr>
                <w:rFonts w:ascii="Calibri" w:hAnsi="Calibri"/>
                <w:b/>
                <w:sz w:val="22"/>
                <w:szCs w:val="22"/>
              </w:rPr>
              <w:t>Wide range of operational issues can be enumerated for different venue types.</w:t>
            </w:r>
          </w:p>
        </w:tc>
        <w:tc>
          <w:tcPr>
            <w:tcW w:w="2952" w:type="dxa"/>
            <w:tcBorders>
              <w:bottom w:val="single" w:sz="4" w:space="0" w:color="auto"/>
            </w:tcBorders>
          </w:tcPr>
          <w:p w:rsidR="001044AF" w:rsidRPr="00886D6D" w:rsidRDefault="001044AF" w:rsidP="00A6390F">
            <w:pPr>
              <w:rPr>
                <w:rFonts w:ascii="Calibri" w:hAnsi="Calibri"/>
                <w:b/>
                <w:sz w:val="22"/>
                <w:szCs w:val="22"/>
              </w:rPr>
            </w:pPr>
            <w:r w:rsidRPr="00886D6D">
              <w:rPr>
                <w:rFonts w:ascii="Calibri" w:hAnsi="Calibri"/>
                <w:b/>
                <w:sz w:val="22"/>
                <w:szCs w:val="22"/>
              </w:rPr>
              <w:t>Design could be used to compare costs, range of services, and accessibility to other (non-PA) community services.</w:t>
            </w:r>
          </w:p>
        </w:tc>
      </w:tr>
      <w:tr w:rsidR="001044AF" w:rsidRPr="00886D6D" w:rsidTr="00A6390F">
        <w:tc>
          <w:tcPr>
            <w:tcW w:w="2952" w:type="dxa"/>
            <w:shd w:val="clear" w:color="auto" w:fill="E0E0E0"/>
            <w:vAlign w:val="center"/>
          </w:tcPr>
          <w:p w:rsidR="001044AF" w:rsidRPr="00886D6D" w:rsidRDefault="001044AF" w:rsidP="00A6390F">
            <w:pPr>
              <w:jc w:val="center"/>
              <w:rPr>
                <w:rFonts w:ascii="Calibri" w:hAnsi="Calibri"/>
                <w:b/>
                <w:color w:val="000000"/>
                <w:sz w:val="22"/>
                <w:szCs w:val="22"/>
              </w:rPr>
            </w:pPr>
            <w:r w:rsidRPr="00886D6D">
              <w:rPr>
                <w:rFonts w:ascii="Calibri" w:hAnsi="Calibri"/>
                <w:b/>
                <w:color w:val="000000"/>
                <w:sz w:val="22"/>
                <w:szCs w:val="22"/>
              </w:rPr>
              <w:t>Information Ecologies</w:t>
            </w:r>
          </w:p>
          <w:p w:rsidR="001044AF" w:rsidRPr="00886D6D" w:rsidRDefault="001044AF" w:rsidP="00A6390F">
            <w:pPr>
              <w:jc w:val="center"/>
              <w:rPr>
                <w:rFonts w:ascii="Calibri" w:hAnsi="Calibri"/>
                <w:b/>
                <w:color w:val="000000"/>
                <w:sz w:val="22"/>
                <w:szCs w:val="22"/>
              </w:rPr>
            </w:pPr>
          </w:p>
        </w:tc>
        <w:tc>
          <w:tcPr>
            <w:tcW w:w="2952" w:type="dxa"/>
            <w:tcBorders>
              <w:bottom w:val="nil"/>
            </w:tcBorders>
            <w:shd w:val="clear" w:color="auto" w:fill="FFFF99"/>
          </w:tcPr>
          <w:p w:rsidR="001044AF" w:rsidRPr="00886D6D" w:rsidRDefault="001044AF" w:rsidP="00A6390F">
            <w:pPr>
              <w:rPr>
                <w:rFonts w:ascii="Calibri" w:hAnsi="Calibri"/>
                <w:b/>
                <w:sz w:val="22"/>
                <w:szCs w:val="22"/>
              </w:rPr>
            </w:pPr>
            <w:r w:rsidRPr="00886D6D">
              <w:rPr>
                <w:rFonts w:ascii="Calibri" w:hAnsi="Calibri"/>
                <w:b/>
                <w:sz w:val="22"/>
                <w:szCs w:val="22"/>
              </w:rPr>
              <w:t>Survey design would yield limited data for this cluster.</w:t>
            </w:r>
          </w:p>
        </w:tc>
        <w:tc>
          <w:tcPr>
            <w:tcW w:w="2952" w:type="dxa"/>
            <w:tcBorders>
              <w:bottom w:val="single" w:sz="4" w:space="0" w:color="auto"/>
            </w:tcBorders>
            <w:shd w:val="clear" w:color="auto" w:fill="auto"/>
          </w:tcPr>
          <w:p w:rsidR="001044AF" w:rsidRPr="00886D6D" w:rsidRDefault="001044AF" w:rsidP="00A6390F">
            <w:pPr>
              <w:rPr>
                <w:rFonts w:ascii="Calibri" w:hAnsi="Calibri"/>
                <w:b/>
                <w:sz w:val="22"/>
                <w:szCs w:val="22"/>
              </w:rPr>
            </w:pPr>
            <w:r w:rsidRPr="00886D6D">
              <w:rPr>
                <w:rFonts w:ascii="Calibri" w:hAnsi="Calibri"/>
                <w:b/>
                <w:sz w:val="22"/>
                <w:szCs w:val="22"/>
              </w:rPr>
              <w:t xml:space="preserve">Design very useful for comparing info ecology for different local actors across different community contexts. </w:t>
            </w:r>
          </w:p>
        </w:tc>
      </w:tr>
      <w:tr w:rsidR="001044AF" w:rsidRPr="00886D6D" w:rsidTr="00A6390F">
        <w:tc>
          <w:tcPr>
            <w:tcW w:w="2952" w:type="dxa"/>
            <w:shd w:val="clear" w:color="auto" w:fill="E0E0E0"/>
            <w:vAlign w:val="center"/>
          </w:tcPr>
          <w:p w:rsidR="001044AF" w:rsidRPr="00886D6D" w:rsidRDefault="001044AF" w:rsidP="00A6390F">
            <w:pPr>
              <w:pStyle w:val="ListParagraph"/>
              <w:ind w:left="0"/>
              <w:jc w:val="center"/>
              <w:rPr>
                <w:b/>
                <w:color w:val="000000"/>
              </w:rPr>
            </w:pPr>
            <w:r w:rsidRPr="00886D6D">
              <w:rPr>
                <w:b/>
                <w:color w:val="000000"/>
              </w:rPr>
              <w:t>Policy and Regulatory Context</w:t>
            </w:r>
          </w:p>
          <w:p w:rsidR="001044AF" w:rsidRPr="00886D6D" w:rsidRDefault="001044AF" w:rsidP="00A6390F">
            <w:pPr>
              <w:jc w:val="center"/>
              <w:rPr>
                <w:rFonts w:ascii="Calibri" w:hAnsi="Calibri"/>
                <w:b/>
                <w:color w:val="000000"/>
                <w:sz w:val="22"/>
                <w:szCs w:val="22"/>
              </w:rPr>
            </w:pPr>
          </w:p>
        </w:tc>
        <w:tc>
          <w:tcPr>
            <w:tcW w:w="2952" w:type="dxa"/>
            <w:tcBorders>
              <w:top w:val="nil"/>
            </w:tcBorders>
            <w:shd w:val="clear" w:color="auto" w:fill="FFFF99"/>
          </w:tcPr>
          <w:p w:rsidR="001044AF" w:rsidRPr="00886D6D" w:rsidRDefault="001044AF" w:rsidP="00A6390F">
            <w:pPr>
              <w:rPr>
                <w:rFonts w:ascii="Calibri" w:hAnsi="Calibri"/>
                <w:b/>
                <w:sz w:val="22"/>
                <w:szCs w:val="22"/>
              </w:rPr>
            </w:pPr>
            <w:r w:rsidRPr="00886D6D">
              <w:rPr>
                <w:rFonts w:ascii="Calibri" w:hAnsi="Calibri"/>
                <w:b/>
                <w:sz w:val="22"/>
                <w:szCs w:val="22"/>
              </w:rPr>
              <w:t>Survey design would yield limited data for this cluster.</w:t>
            </w:r>
          </w:p>
        </w:tc>
        <w:tc>
          <w:tcPr>
            <w:tcW w:w="2952" w:type="dxa"/>
            <w:shd w:val="clear" w:color="auto" w:fill="FFFF99"/>
          </w:tcPr>
          <w:p w:rsidR="001044AF" w:rsidRPr="00886D6D" w:rsidRDefault="001044AF" w:rsidP="00A6390F">
            <w:pPr>
              <w:rPr>
                <w:rFonts w:ascii="Calibri" w:hAnsi="Calibri"/>
                <w:b/>
                <w:sz w:val="22"/>
                <w:szCs w:val="22"/>
              </w:rPr>
            </w:pPr>
            <w:r w:rsidRPr="00886D6D">
              <w:rPr>
                <w:rFonts w:ascii="Calibri" w:hAnsi="Calibri"/>
                <w:b/>
                <w:sz w:val="22"/>
                <w:szCs w:val="22"/>
              </w:rPr>
              <w:t>Survey design would yield limited data for this cluster.</w:t>
            </w:r>
          </w:p>
        </w:tc>
      </w:tr>
    </w:tbl>
    <w:p w:rsidR="001044AF" w:rsidRPr="00350D34" w:rsidRDefault="001044AF" w:rsidP="001044AF">
      <w:pPr>
        <w:rPr>
          <w:rFonts w:ascii="Calibri" w:hAnsi="Calibri"/>
          <w:sz w:val="22"/>
          <w:szCs w:val="22"/>
        </w:rPr>
      </w:pPr>
    </w:p>
    <w:p w:rsidR="00F42850" w:rsidRDefault="00F42850"/>
    <w:sectPr w:rsidR="00F42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40CB"/>
    <w:multiLevelType w:val="hybridMultilevel"/>
    <w:tmpl w:val="B9B01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D536AE7"/>
    <w:multiLevelType w:val="hybridMultilevel"/>
    <w:tmpl w:val="ACD04AE8"/>
    <w:lvl w:ilvl="0" w:tplc="04090001">
      <w:start w:val="8"/>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FBD7778"/>
    <w:multiLevelType w:val="hybridMultilevel"/>
    <w:tmpl w:val="DEAACC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04F213F"/>
    <w:multiLevelType w:val="hybridMultilevel"/>
    <w:tmpl w:val="DF566326"/>
    <w:lvl w:ilvl="0" w:tplc="04090001">
      <w:start w:val="1"/>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Aria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Aria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Arial"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4AF"/>
    <w:rsid w:val="001044AF"/>
    <w:rsid w:val="007361E1"/>
    <w:rsid w:val="00810545"/>
    <w:rsid w:val="00A54F82"/>
    <w:rsid w:val="00F42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4AF"/>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044AF"/>
    <w:pPr>
      <w:spacing w:after="200" w:line="276" w:lineRule="auto"/>
      <w:ind w:left="720"/>
      <w:contextualSpacing/>
    </w:pPr>
    <w:rPr>
      <w:rFonts w:ascii="Calibri" w:eastAsia="Times New Roman"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4AF"/>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044AF"/>
    <w:pPr>
      <w:spacing w:after="200" w:line="276" w:lineRule="auto"/>
      <w:ind w:left="720"/>
      <w:contextualSpacing/>
    </w:pPr>
    <w:rPr>
      <w:rFonts w:ascii="Calibri" w:eastAsia="Times New Roman"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2755</Words>
  <Characters>12949</Characters>
  <Application>Microsoft Office Word</Application>
  <DocSecurity>0</DocSecurity>
  <Lines>219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2014-05-14T15:30:00Z</dcterms:created>
  <dcterms:modified xsi:type="dcterms:W3CDTF">2014-05-14T15:30:00Z</dcterms:modified>
</cp:coreProperties>
</file>