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widowControl w:val="0"/>
        <w:spacing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en-US"/>
        </w:rPr>
        <w:t>Table 3. Reflective Practice for Public Health Nurses Engaging in Reproductive Justice</w:t>
      </w:r>
    </w:p>
    <w:p>
      <w:pPr>
        <w:pStyle w:val="Body"/>
        <w:widowControl w:val="0"/>
        <w:spacing w:line="240" w:lineRule="auto"/>
      </w:pPr>
    </w:p>
    <w:tbl>
      <w:tblPr>
        <w:tblW w:w="770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370"/>
        <w:gridCol w:w="6336"/>
      </w:tblGrid>
      <w:tr>
        <w:tblPrEx>
          <w:shd w:val="clear" w:color="auto" w:fill="cdd4e9"/>
        </w:tblPrEx>
        <w:trPr>
          <w:trHeight w:val="193" w:hRule="atLeast"/>
        </w:trPr>
        <w:tc>
          <w:tcPr>
            <w:tcW w:type="dxa" w:w="1370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480" w:lineRule="auto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Question</w:t>
            </w: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vertAlign w:val="superscript"/>
                <w:rtl w:val="0"/>
                <w:lang w:val="en-US"/>
              </w:rPr>
              <w:t>1</w:t>
            </w:r>
          </w:p>
        </w:tc>
        <w:tc>
          <w:tcPr>
            <w:tcW w:type="dxa" w:w="6336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48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Prompts for Deeper Reflection</w:t>
            </w:r>
          </w:p>
        </w:tc>
      </w:tr>
      <w:tr>
        <w:tblPrEx>
          <w:shd w:val="clear" w:color="auto" w:fill="cdd4e9"/>
        </w:tblPrEx>
        <w:trPr>
          <w:trHeight w:val="536" w:hRule="atLeast"/>
        </w:trPr>
        <w:tc>
          <w:tcPr>
            <w:tcW w:type="dxa" w:w="137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480" w:lineRule="auto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What happened?</w:t>
            </w:r>
          </w:p>
        </w:tc>
        <w:tc>
          <w:tcPr>
            <w:tcW w:type="dxa" w:w="6336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1"/>
              </w:numPr>
              <w:spacing w:after="0" w:line="48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Describe a critical incident/event you experienced in your reproductive justice work.</w:t>
            </w:r>
          </w:p>
          <w:p>
            <w:pPr>
              <w:pStyle w:val="Body"/>
              <w:numPr>
                <w:ilvl w:val="0"/>
                <w:numId w:val="1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Include your observation of the persons and actions involved.</w:t>
            </w:r>
          </w:p>
        </w:tc>
      </w:tr>
      <w:tr>
        <w:tblPrEx>
          <w:shd w:val="clear" w:color="auto" w:fill="cdd4e9"/>
        </w:tblPrEx>
        <w:trPr>
          <w:trHeight w:val="3352" w:hRule="atLeast"/>
        </w:trPr>
        <w:tc>
          <w:tcPr>
            <w:tcW w:type="dxa" w:w="13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480" w:lineRule="auto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So what?</w:t>
            </w:r>
          </w:p>
        </w:tc>
        <w:tc>
          <w:tcPr>
            <w:tcW w:type="dxa" w:w="6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What were your feelings?</w:t>
            </w:r>
          </w:p>
          <w:p>
            <w:pPr>
              <w:pStyle w:val="Body"/>
              <w:numPr>
                <w:ilvl w:val="1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How did your feelings influence what you observed?</w:t>
            </w:r>
            <w:r>
              <w:rPr>
                <w:rFonts w:ascii="Times New Roman" w:hAnsi="Times New Roman"/>
                <w:sz w:val="16"/>
                <w:szCs w:val="16"/>
                <w:vertAlign w:val="superscript"/>
                <w:rtl w:val="0"/>
                <w:lang w:val="en-US"/>
              </w:rPr>
              <w:t>2</w:t>
            </w:r>
          </w:p>
          <w:p>
            <w:pPr>
              <w:pStyle w:val="Body"/>
              <w:numPr>
                <w:ilvl w:val="0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Evaluate what was good or challenging about this experience?</w:t>
            </w:r>
          </w:p>
          <w:p>
            <w:pPr>
              <w:pStyle w:val="Body"/>
              <w:numPr>
                <w:ilvl w:val="0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What did you learn about yourself in this experience?</w:t>
            </w:r>
            <w:r>
              <w:rPr>
                <w:rFonts w:ascii="Times New Roman" w:hAnsi="Times New Roman"/>
                <w:sz w:val="16"/>
                <w:szCs w:val="16"/>
                <w:vertAlign w:val="superscript"/>
                <w:rtl w:val="0"/>
                <w:lang w:val="en-US"/>
              </w:rPr>
              <w:t>3</w:t>
            </w:r>
          </w:p>
          <w:p>
            <w:pPr>
              <w:pStyle w:val="Body"/>
              <w:numPr>
                <w:ilvl w:val="1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About your privilege?</w:t>
            </w:r>
          </w:p>
          <w:p>
            <w:pPr>
              <w:pStyle w:val="Body"/>
              <w:numPr>
                <w:ilvl w:val="1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About your oppression of others?</w:t>
            </w:r>
          </w:p>
          <w:p>
            <w:pPr>
              <w:pStyle w:val="Body"/>
              <w:numPr>
                <w:ilvl w:val="2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Through stereotyping?</w:t>
            </w:r>
          </w:p>
          <w:p>
            <w:pPr>
              <w:pStyle w:val="Body"/>
              <w:numPr>
                <w:ilvl w:val="2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Through withholding information or resources?</w:t>
            </w: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vertAlign w:val="superscript"/>
                <w:rtl w:val="0"/>
                <w:lang w:val="en-US"/>
              </w:rPr>
              <w:t>4</w:t>
            </w:r>
          </w:p>
          <w:p>
            <w:pPr>
              <w:pStyle w:val="Body"/>
              <w:numPr>
                <w:ilvl w:val="0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How does this experience apply to issues of reproductive justice?</w:t>
            </w:r>
          </w:p>
          <w:p>
            <w:pPr>
              <w:pStyle w:val="Body"/>
              <w:numPr>
                <w:ilvl w:val="0"/>
                <w:numId w:val="2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What could you have done differently?</w:t>
            </w:r>
          </w:p>
        </w:tc>
      </w:tr>
      <w:tr>
        <w:tblPrEx>
          <w:shd w:val="clear" w:color="auto" w:fill="cdd4e9"/>
        </w:tblPrEx>
        <w:trPr>
          <w:trHeight w:val="1586" w:hRule="atLeast"/>
        </w:trPr>
        <w:tc>
          <w:tcPr>
            <w:tcW w:type="dxa" w:w="13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480" w:lineRule="auto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  <w:lang w:val="en-US"/>
              </w:rPr>
              <w:t>Now what?</w:t>
            </w:r>
          </w:p>
        </w:tc>
        <w:tc>
          <w:tcPr>
            <w:tcW w:type="dxa" w:w="6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3"/>
              </w:numPr>
              <w:spacing w:after="0" w:line="48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How will this experience change your practice?</w:t>
            </w:r>
          </w:p>
          <w:p>
            <w:pPr>
              <w:pStyle w:val="Body"/>
              <w:numPr>
                <w:ilvl w:val="0"/>
                <w:numId w:val="3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What actions will you take?</w:t>
            </w:r>
          </w:p>
          <w:p>
            <w:pPr>
              <w:pStyle w:val="Body"/>
              <w:numPr>
                <w:ilvl w:val="1"/>
                <w:numId w:val="3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To counter your stereotyping of the experience?</w:t>
            </w: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vertAlign w:val="superscript"/>
                <w:rtl w:val="0"/>
                <w:lang w:val="en-US"/>
              </w:rPr>
              <w:t>4</w:t>
            </w:r>
          </w:p>
          <w:p>
            <w:pPr>
              <w:pStyle w:val="Body"/>
              <w:numPr>
                <w:ilvl w:val="1"/>
                <w:numId w:val="3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To better individuate your encounters with others?</w:t>
            </w:r>
          </w:p>
          <w:p>
            <w:pPr>
              <w:pStyle w:val="Body"/>
              <w:numPr>
                <w:ilvl w:val="1"/>
                <w:numId w:val="3"/>
              </w:numPr>
              <w:bidi w:val="0"/>
              <w:spacing w:after="0" w:line="480" w:lineRule="auto"/>
              <w:ind w:right="0"/>
              <w:jc w:val="left"/>
              <w:rPr>
                <w:rFonts w:ascii="Times New Roman" w:hAnsi="Times New Roman"/>
                <w:sz w:val="16"/>
                <w:szCs w:val="16"/>
                <w:rtl w:val="0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rtl w:val="0"/>
                <w:lang w:val="en-US"/>
              </w:rPr>
              <w:t>To protect your clients?</w:t>
            </w:r>
            <w:r>
              <w:rPr>
                <w:rFonts w:ascii="Times New Roman" w:hAnsi="Times New Roman"/>
                <w:sz w:val="16"/>
                <w:szCs w:val="16"/>
                <w:shd w:val="nil" w:color="auto" w:fill="auto"/>
                <w:vertAlign w:val="superscript"/>
                <w:rtl w:val="0"/>
                <w:lang w:val="en-US"/>
              </w:rPr>
              <w:t>2</w:t>
            </w:r>
          </w:p>
        </w:tc>
      </w:tr>
    </w:tbl>
    <w:p>
      <w:pPr>
        <w:pStyle w:val="Body"/>
        <w:widowControl w:val="0"/>
        <w:spacing w:line="240" w:lineRule="auto"/>
      </w:pPr>
    </w:p>
    <w:p>
      <w:pPr>
        <w:pStyle w:val="Body"/>
        <w:spacing w:after="0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18"/>
          <w:szCs w:val="18"/>
          <w:rtl w:val="0"/>
          <w:lang w:val="en-US"/>
        </w:rPr>
        <w:t>1. Rolfe, Jasper, &amp; Freshwater (2010)</w:t>
      </w:r>
    </w:p>
    <w:p>
      <w:pPr>
        <w:pStyle w:val="Body"/>
        <w:spacing w:after="0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rtl w:val="0"/>
          <w:lang w:val="en-US"/>
        </w:rPr>
        <w:t>2. Beam, O'Brien, &amp; Neal (2010)</w:t>
      </w:r>
    </w:p>
    <w:p>
      <w:pPr>
        <w:pStyle w:val="Body"/>
        <w:spacing w:after="0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rtl w:val="0"/>
        </w:rPr>
        <w:t>3. Wesp et al. (2018)</w:t>
      </w:r>
    </w:p>
    <w:p>
      <w:pPr>
        <w:pStyle w:val="Body"/>
        <w:spacing w:after="0"/>
      </w:pPr>
      <w:r>
        <w:rPr>
          <w:rFonts w:ascii="Times New Roman" w:hAnsi="Times New Roman"/>
          <w:sz w:val="18"/>
          <w:szCs w:val="18"/>
          <w:rtl w:val="0"/>
          <w:lang w:val="fr-FR"/>
        </w:rPr>
        <w:t>4. Devine et al. (2012)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216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216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216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216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216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216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1440"/>
        </w:tabs>
        <w:ind w:left="216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1440"/>
        </w:tabs>
        <w:ind w:left="288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1440"/>
        </w:tabs>
        <w:ind w:left="360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1440"/>
        </w:tabs>
        <w:ind w:left="432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1440"/>
        </w:tabs>
        <w:ind w:left="504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1440"/>
        </w:tabs>
        <w:ind w:left="576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1440"/>
        </w:tabs>
        <w:ind w:left="648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