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5F857" w14:textId="22B8D803" w:rsidR="00D9585A" w:rsidRPr="006D7FDC" w:rsidRDefault="00285910" w:rsidP="00D9585A">
      <w:pPr>
        <w:tabs>
          <w:tab w:val="left" w:pos="0"/>
        </w:tabs>
        <w:jc w:val="center"/>
        <w:rPr>
          <w:rFonts w:eastAsia="SimSun" w:cs="Arial"/>
          <w:b/>
          <w:sz w:val="24"/>
        </w:rPr>
      </w:pPr>
      <w:r w:rsidRPr="006D7FDC">
        <w:rPr>
          <w:rFonts w:eastAsia="SimSun" w:cs="Arial"/>
          <w:b/>
          <w:color w:val="222222"/>
          <w:sz w:val="24"/>
          <w:shd w:val="clear" w:color="auto" w:fill="FFFFFF"/>
        </w:rPr>
        <w:t xml:space="preserve">Metabolic flux analysis and metabolomics of </w:t>
      </w:r>
      <w:proofErr w:type="spellStart"/>
      <w:r w:rsidRPr="006D7FDC">
        <w:rPr>
          <w:rFonts w:eastAsia="SimSun" w:cs="Arial"/>
          <w:b/>
          <w:color w:val="222222"/>
          <w:sz w:val="24"/>
          <w:shd w:val="clear" w:color="auto" w:fill="FFFFFF"/>
        </w:rPr>
        <w:t>Methylotrophs</w:t>
      </w:r>
      <w:proofErr w:type="spellEnd"/>
    </w:p>
    <w:p w14:paraId="1CC51153" w14:textId="483D1B77" w:rsidR="00D9585A" w:rsidRPr="000D5F05" w:rsidRDefault="00D9585A" w:rsidP="00D9585A">
      <w:pPr>
        <w:tabs>
          <w:tab w:val="left" w:pos="0"/>
        </w:tabs>
        <w:jc w:val="center"/>
        <w:rPr>
          <w:rFonts w:eastAsia="SimSun" w:cs="Arial"/>
          <w:szCs w:val="20"/>
        </w:rPr>
      </w:pPr>
      <w:r w:rsidRPr="000D5F05">
        <w:rPr>
          <w:rFonts w:eastAsia="SimSun" w:cs="Arial"/>
          <w:szCs w:val="20"/>
        </w:rPr>
        <w:t>Yanfen Fu</w:t>
      </w:r>
    </w:p>
    <w:p w14:paraId="4F367052" w14:textId="77777777" w:rsidR="00D9585A" w:rsidRPr="000D5F05" w:rsidRDefault="00D9585A" w:rsidP="00D9585A">
      <w:pPr>
        <w:tabs>
          <w:tab w:val="left" w:pos="0"/>
        </w:tabs>
        <w:autoSpaceDE w:val="0"/>
        <w:autoSpaceDN w:val="0"/>
        <w:adjustRightInd w:val="0"/>
        <w:jc w:val="center"/>
        <w:rPr>
          <w:rFonts w:eastAsia="Calibri" w:cs="Arial"/>
          <w:color w:val="000000"/>
          <w:szCs w:val="20"/>
        </w:rPr>
      </w:pPr>
    </w:p>
    <w:p w14:paraId="767FEB74" w14:textId="77777777" w:rsidR="00D9585A" w:rsidRPr="000D5F05" w:rsidRDefault="00D9585A" w:rsidP="00D9585A">
      <w:pPr>
        <w:tabs>
          <w:tab w:val="left" w:pos="0"/>
        </w:tabs>
        <w:jc w:val="center"/>
        <w:rPr>
          <w:rFonts w:eastAsia="SimSun" w:cs="Arial"/>
          <w:szCs w:val="20"/>
        </w:rPr>
      </w:pPr>
      <w:r w:rsidRPr="000D5F05">
        <w:rPr>
          <w:rFonts w:eastAsia="SimSun" w:cs="Arial"/>
          <w:szCs w:val="20"/>
        </w:rPr>
        <w:t xml:space="preserve">A dissertation </w:t>
      </w:r>
    </w:p>
    <w:p w14:paraId="2478B009" w14:textId="77777777" w:rsidR="00D9585A" w:rsidRPr="000D5F05" w:rsidRDefault="00D9585A" w:rsidP="00D9585A">
      <w:pPr>
        <w:tabs>
          <w:tab w:val="left" w:pos="0"/>
        </w:tabs>
        <w:jc w:val="center"/>
        <w:rPr>
          <w:rFonts w:eastAsia="SimSun" w:cs="Arial"/>
          <w:szCs w:val="20"/>
        </w:rPr>
      </w:pPr>
      <w:r w:rsidRPr="000D5F05">
        <w:rPr>
          <w:rFonts w:eastAsia="SimSun" w:cs="Arial"/>
          <w:szCs w:val="20"/>
        </w:rPr>
        <w:t>Submitted in partial fulfillment of the</w:t>
      </w:r>
    </w:p>
    <w:p w14:paraId="45061C84" w14:textId="77777777" w:rsidR="00D9585A" w:rsidRPr="000D5F05" w:rsidRDefault="00D9585A" w:rsidP="00D9585A">
      <w:pPr>
        <w:tabs>
          <w:tab w:val="left" w:pos="0"/>
        </w:tabs>
        <w:jc w:val="center"/>
        <w:rPr>
          <w:rFonts w:eastAsia="SimSun" w:cs="Arial"/>
          <w:szCs w:val="20"/>
        </w:rPr>
      </w:pPr>
      <w:r w:rsidRPr="000D5F05">
        <w:rPr>
          <w:rFonts w:eastAsia="SimSun" w:cs="Arial"/>
          <w:szCs w:val="20"/>
        </w:rPr>
        <w:t>Requirements for the degree of</w:t>
      </w:r>
    </w:p>
    <w:p w14:paraId="1680C63A" w14:textId="77777777" w:rsidR="00D9585A" w:rsidRPr="000D5F05" w:rsidRDefault="00D9585A" w:rsidP="00D9585A">
      <w:pPr>
        <w:tabs>
          <w:tab w:val="left" w:pos="0"/>
        </w:tabs>
        <w:jc w:val="center"/>
        <w:rPr>
          <w:rFonts w:eastAsia="SimSun" w:cs="Arial"/>
          <w:szCs w:val="20"/>
        </w:rPr>
      </w:pPr>
    </w:p>
    <w:p w14:paraId="6541637A" w14:textId="77777777" w:rsidR="00D9585A" w:rsidRPr="000D5F05" w:rsidRDefault="00D9585A" w:rsidP="00D9585A">
      <w:pPr>
        <w:tabs>
          <w:tab w:val="left" w:pos="0"/>
        </w:tabs>
        <w:jc w:val="center"/>
        <w:rPr>
          <w:rFonts w:eastAsia="SimSun" w:cs="Arial"/>
          <w:szCs w:val="20"/>
        </w:rPr>
      </w:pPr>
      <w:r w:rsidRPr="000D5F05">
        <w:rPr>
          <w:rFonts w:eastAsia="SimSun" w:cs="Arial"/>
          <w:szCs w:val="20"/>
        </w:rPr>
        <w:t>Doctor of Philosophy</w:t>
      </w:r>
    </w:p>
    <w:p w14:paraId="1892394E" w14:textId="77777777" w:rsidR="00D9585A" w:rsidRPr="000D5F05" w:rsidRDefault="00D9585A" w:rsidP="00D9585A">
      <w:pPr>
        <w:tabs>
          <w:tab w:val="left" w:pos="0"/>
        </w:tabs>
        <w:jc w:val="both"/>
        <w:rPr>
          <w:rFonts w:eastAsia="SimSun" w:cs="Arial"/>
          <w:szCs w:val="20"/>
        </w:rPr>
      </w:pPr>
    </w:p>
    <w:p w14:paraId="3CAD3416" w14:textId="77777777" w:rsidR="00D9585A" w:rsidRPr="000D5F05" w:rsidRDefault="00D9585A" w:rsidP="00D9585A">
      <w:pPr>
        <w:tabs>
          <w:tab w:val="left" w:pos="0"/>
        </w:tabs>
        <w:autoSpaceDE w:val="0"/>
        <w:autoSpaceDN w:val="0"/>
        <w:adjustRightInd w:val="0"/>
        <w:jc w:val="center"/>
        <w:rPr>
          <w:rFonts w:eastAsia="Calibri" w:cs="Arial"/>
          <w:color w:val="000000"/>
          <w:szCs w:val="20"/>
        </w:rPr>
      </w:pPr>
      <w:r w:rsidRPr="000D5F05">
        <w:rPr>
          <w:rFonts w:eastAsia="Calibri" w:cs="Arial"/>
          <w:color w:val="000000"/>
          <w:szCs w:val="20"/>
        </w:rPr>
        <w:t>University of Washington</w:t>
      </w:r>
    </w:p>
    <w:p w14:paraId="5BB40629" w14:textId="04326C94" w:rsidR="00D9585A" w:rsidRPr="000D5F05" w:rsidRDefault="00D9585A" w:rsidP="00D9585A">
      <w:pPr>
        <w:tabs>
          <w:tab w:val="left" w:pos="0"/>
        </w:tabs>
        <w:jc w:val="center"/>
        <w:rPr>
          <w:rFonts w:eastAsia="SimSun" w:cs="Arial"/>
          <w:szCs w:val="20"/>
        </w:rPr>
      </w:pPr>
      <w:r w:rsidRPr="000D5F05">
        <w:rPr>
          <w:rFonts w:eastAsia="SimSun" w:cs="Arial"/>
          <w:szCs w:val="20"/>
        </w:rPr>
        <w:t>2016</w:t>
      </w:r>
    </w:p>
    <w:p w14:paraId="245D2864" w14:textId="77777777" w:rsidR="00D9585A" w:rsidRPr="000D5F05" w:rsidRDefault="00D9585A" w:rsidP="00D9585A">
      <w:pPr>
        <w:tabs>
          <w:tab w:val="left" w:pos="0"/>
        </w:tabs>
        <w:jc w:val="center"/>
        <w:rPr>
          <w:rFonts w:eastAsia="SimSun" w:cs="Arial"/>
          <w:szCs w:val="20"/>
        </w:rPr>
      </w:pPr>
    </w:p>
    <w:p w14:paraId="24E34179" w14:textId="77777777" w:rsidR="00D9585A" w:rsidRPr="000D5F05" w:rsidRDefault="00D9585A" w:rsidP="00D9585A">
      <w:pPr>
        <w:tabs>
          <w:tab w:val="left" w:pos="0"/>
        </w:tabs>
        <w:jc w:val="center"/>
        <w:rPr>
          <w:rFonts w:eastAsia="SimSun" w:cs="Arial"/>
          <w:szCs w:val="20"/>
        </w:rPr>
      </w:pPr>
      <w:r w:rsidRPr="000D5F05">
        <w:rPr>
          <w:rFonts w:eastAsia="SimSun" w:cs="Arial"/>
          <w:szCs w:val="20"/>
        </w:rPr>
        <w:t>Reading Committee:</w:t>
      </w:r>
    </w:p>
    <w:p w14:paraId="3D537AD3" w14:textId="6B615897" w:rsidR="00D9585A" w:rsidRPr="000D5F05" w:rsidRDefault="00D9585A" w:rsidP="00D9585A">
      <w:pPr>
        <w:tabs>
          <w:tab w:val="left" w:pos="0"/>
        </w:tabs>
        <w:jc w:val="center"/>
        <w:rPr>
          <w:rFonts w:eastAsia="SimSun" w:cs="Arial"/>
          <w:szCs w:val="20"/>
        </w:rPr>
      </w:pPr>
      <w:r w:rsidRPr="000D5F05">
        <w:rPr>
          <w:rFonts w:eastAsia="SimSun" w:cs="Arial"/>
          <w:szCs w:val="20"/>
        </w:rPr>
        <w:t xml:space="preserve">Mary </w:t>
      </w:r>
      <w:r w:rsidR="004A1483">
        <w:rPr>
          <w:rFonts w:eastAsia="SimSun" w:cs="Arial"/>
          <w:szCs w:val="20"/>
        </w:rPr>
        <w:t xml:space="preserve">E. </w:t>
      </w:r>
      <w:proofErr w:type="spellStart"/>
      <w:r w:rsidRPr="000D5F05">
        <w:rPr>
          <w:rFonts w:eastAsia="SimSun" w:cs="Arial"/>
          <w:szCs w:val="20"/>
        </w:rPr>
        <w:t>Lidstrom</w:t>
      </w:r>
      <w:proofErr w:type="spellEnd"/>
      <w:r w:rsidRPr="000D5F05">
        <w:rPr>
          <w:rFonts w:eastAsia="SimSun" w:cs="Arial"/>
          <w:szCs w:val="20"/>
        </w:rPr>
        <w:t>, Chair</w:t>
      </w:r>
    </w:p>
    <w:p w14:paraId="4C418C35" w14:textId="5A343D5F" w:rsidR="00285910" w:rsidRDefault="00285910" w:rsidP="00D9585A">
      <w:pPr>
        <w:tabs>
          <w:tab w:val="left" w:pos="0"/>
        </w:tabs>
        <w:jc w:val="center"/>
        <w:rPr>
          <w:rFonts w:eastAsia="SimSun" w:cs="Arial"/>
          <w:szCs w:val="20"/>
        </w:rPr>
      </w:pPr>
      <w:r w:rsidRPr="000D5F05">
        <w:rPr>
          <w:rFonts w:eastAsia="SimSun" w:cs="Arial"/>
          <w:szCs w:val="20"/>
        </w:rPr>
        <w:t>Caroline Harwood</w:t>
      </w:r>
    </w:p>
    <w:p w14:paraId="0E62E4DE" w14:textId="3ECF3559" w:rsidR="00871E64" w:rsidRDefault="00871E64" w:rsidP="00871E64">
      <w:pPr>
        <w:tabs>
          <w:tab w:val="left" w:pos="0"/>
        </w:tabs>
        <w:jc w:val="center"/>
        <w:rPr>
          <w:rFonts w:eastAsia="SimSun" w:cs="Arial"/>
          <w:szCs w:val="20"/>
        </w:rPr>
      </w:pPr>
      <w:proofErr w:type="spellStart"/>
      <w:r>
        <w:rPr>
          <w:rFonts w:eastAsia="SimSun" w:cs="Arial"/>
          <w:szCs w:val="20"/>
        </w:rPr>
        <w:t>Shaoyi</w:t>
      </w:r>
      <w:proofErr w:type="spellEnd"/>
      <w:r>
        <w:rPr>
          <w:rFonts w:eastAsia="SimSun" w:cs="Arial"/>
          <w:szCs w:val="20"/>
        </w:rPr>
        <w:t xml:space="preserve"> Jiang</w:t>
      </w:r>
    </w:p>
    <w:p w14:paraId="31422276" w14:textId="77777777" w:rsidR="000519F3" w:rsidRDefault="000519F3" w:rsidP="000519F3">
      <w:pPr>
        <w:tabs>
          <w:tab w:val="left" w:pos="0"/>
        </w:tabs>
        <w:rPr>
          <w:rFonts w:eastAsia="SimSun" w:cs="Arial" w:hint="eastAsia"/>
          <w:szCs w:val="20"/>
          <w:lang w:eastAsia="zh-CN"/>
        </w:rPr>
      </w:pPr>
    </w:p>
    <w:p w14:paraId="3116AF02" w14:textId="77777777" w:rsidR="00BC2F69" w:rsidRDefault="00BC2F69" w:rsidP="000519F3">
      <w:pPr>
        <w:tabs>
          <w:tab w:val="left" w:pos="0"/>
        </w:tabs>
        <w:rPr>
          <w:rFonts w:eastAsia="SimSun" w:cs="Arial" w:hint="eastAsia"/>
          <w:szCs w:val="20"/>
          <w:lang w:eastAsia="zh-CN"/>
        </w:rPr>
      </w:pPr>
    </w:p>
    <w:p w14:paraId="4E449DD7" w14:textId="77777777" w:rsidR="00BC2F69" w:rsidRDefault="00BC2F69" w:rsidP="000519F3">
      <w:pPr>
        <w:tabs>
          <w:tab w:val="left" w:pos="0"/>
        </w:tabs>
        <w:rPr>
          <w:rFonts w:eastAsia="SimSun" w:cs="Arial" w:hint="eastAsia"/>
          <w:szCs w:val="20"/>
          <w:lang w:eastAsia="zh-CN"/>
        </w:rPr>
      </w:pPr>
    </w:p>
    <w:p w14:paraId="39683133" w14:textId="77777777" w:rsidR="00BC2F69" w:rsidRDefault="00BC2F69" w:rsidP="000519F3">
      <w:pPr>
        <w:tabs>
          <w:tab w:val="left" w:pos="0"/>
        </w:tabs>
        <w:rPr>
          <w:rFonts w:eastAsia="SimSun" w:cs="Arial" w:hint="eastAsia"/>
          <w:szCs w:val="20"/>
          <w:lang w:eastAsia="zh-CN"/>
        </w:rPr>
      </w:pPr>
    </w:p>
    <w:p w14:paraId="6D34412C" w14:textId="77777777" w:rsidR="00BC2F69" w:rsidRDefault="00BC2F69" w:rsidP="000519F3">
      <w:pPr>
        <w:tabs>
          <w:tab w:val="left" w:pos="0"/>
        </w:tabs>
        <w:rPr>
          <w:rFonts w:eastAsia="SimSun" w:cs="Arial" w:hint="eastAsia"/>
          <w:szCs w:val="20"/>
          <w:lang w:eastAsia="zh-CN"/>
        </w:rPr>
      </w:pPr>
    </w:p>
    <w:p w14:paraId="08B5386A" w14:textId="77777777" w:rsidR="00BC2F69" w:rsidRDefault="00BC2F69" w:rsidP="000519F3">
      <w:pPr>
        <w:tabs>
          <w:tab w:val="left" w:pos="0"/>
        </w:tabs>
        <w:rPr>
          <w:rFonts w:eastAsia="SimSun" w:cs="Arial" w:hint="eastAsia"/>
          <w:szCs w:val="20"/>
          <w:lang w:eastAsia="zh-CN"/>
        </w:rPr>
      </w:pPr>
    </w:p>
    <w:p w14:paraId="1433120A" w14:textId="77777777" w:rsidR="00BC2F69" w:rsidRPr="000D5F05" w:rsidRDefault="00BC2F69" w:rsidP="000519F3">
      <w:pPr>
        <w:tabs>
          <w:tab w:val="left" w:pos="0"/>
        </w:tabs>
        <w:rPr>
          <w:rFonts w:eastAsia="SimSun" w:cs="Arial"/>
          <w:szCs w:val="20"/>
          <w:lang w:eastAsia="zh-CN"/>
        </w:rPr>
      </w:pPr>
      <w:bookmarkStart w:id="0" w:name="_GoBack"/>
      <w:bookmarkEnd w:id="0"/>
    </w:p>
    <w:p w14:paraId="3115467B" w14:textId="38E3793A" w:rsidR="00D9585A" w:rsidRPr="000D5F05" w:rsidRDefault="00D9585A" w:rsidP="00285910">
      <w:pPr>
        <w:rPr>
          <w:rFonts w:cs="Arial"/>
          <w:szCs w:val="20"/>
        </w:rPr>
      </w:pPr>
    </w:p>
    <w:p w14:paraId="183D9DA6" w14:textId="77777777" w:rsidR="00D9585A" w:rsidRPr="000D5F05" w:rsidRDefault="00D9585A" w:rsidP="00D9585A">
      <w:pPr>
        <w:tabs>
          <w:tab w:val="left" w:pos="0"/>
        </w:tabs>
        <w:jc w:val="center"/>
        <w:rPr>
          <w:rFonts w:eastAsia="SimSun" w:cs="Arial"/>
          <w:szCs w:val="20"/>
        </w:rPr>
      </w:pPr>
      <w:r w:rsidRPr="000D5F05">
        <w:rPr>
          <w:rFonts w:eastAsia="SimSun" w:cs="Arial"/>
          <w:szCs w:val="20"/>
        </w:rPr>
        <w:t>Program Authorized to Offer Degree:</w:t>
      </w:r>
    </w:p>
    <w:p w14:paraId="0ED5AF4B" w14:textId="52517DCD" w:rsidR="00285910" w:rsidRPr="000D5F05" w:rsidRDefault="00D9585A" w:rsidP="00D9585A">
      <w:pPr>
        <w:tabs>
          <w:tab w:val="left" w:pos="0"/>
        </w:tabs>
        <w:jc w:val="center"/>
        <w:rPr>
          <w:rFonts w:eastAsia="SimSun" w:cs="Arial"/>
          <w:szCs w:val="20"/>
        </w:rPr>
      </w:pPr>
      <w:r w:rsidRPr="000D5F05">
        <w:rPr>
          <w:rFonts w:eastAsia="SimSun" w:cs="Arial"/>
          <w:szCs w:val="20"/>
        </w:rPr>
        <w:t>Chemical Engineering</w:t>
      </w:r>
    </w:p>
    <w:p w14:paraId="73E2F46B" w14:textId="7F05676E" w:rsidR="00285910" w:rsidRPr="000D5F05" w:rsidRDefault="00285910" w:rsidP="00285910">
      <w:pPr>
        <w:spacing w:line="240" w:lineRule="auto"/>
        <w:rPr>
          <w:rFonts w:eastAsia="SimSun" w:cs="Arial"/>
          <w:szCs w:val="20"/>
        </w:rPr>
      </w:pPr>
      <w:r w:rsidRPr="000D5F05">
        <w:rPr>
          <w:rFonts w:eastAsia="SimSun" w:cs="Arial"/>
          <w:szCs w:val="20"/>
        </w:rPr>
        <w:br w:type="page"/>
      </w:r>
    </w:p>
    <w:p w14:paraId="36B27663" w14:textId="1234A938" w:rsidR="00D9585A" w:rsidRPr="000D5F05" w:rsidRDefault="00D9585A" w:rsidP="00D9585A">
      <w:pPr>
        <w:spacing w:line="240" w:lineRule="auto"/>
        <w:jc w:val="center"/>
        <w:rPr>
          <w:rFonts w:cs="Arial"/>
          <w:szCs w:val="20"/>
        </w:rPr>
      </w:pPr>
      <w:r w:rsidRPr="000D5F05">
        <w:rPr>
          <w:rFonts w:cs="Arial"/>
          <w:szCs w:val="20"/>
        </w:rPr>
        <w:lastRenderedPageBreak/>
        <w:t>©Copyright 2016</w:t>
      </w:r>
    </w:p>
    <w:p w14:paraId="65186611" w14:textId="2BCABDDF" w:rsidR="00653AF3" w:rsidRDefault="00D9585A" w:rsidP="00D9585A">
      <w:pPr>
        <w:jc w:val="center"/>
        <w:rPr>
          <w:rFonts w:cs="Arial"/>
          <w:szCs w:val="20"/>
        </w:rPr>
      </w:pPr>
      <w:r w:rsidRPr="000D5F05">
        <w:rPr>
          <w:rFonts w:cs="Arial"/>
          <w:szCs w:val="20"/>
        </w:rPr>
        <w:t>Yanfen Fu</w:t>
      </w:r>
    </w:p>
    <w:p w14:paraId="1BE2D37A" w14:textId="77777777" w:rsidR="00653AF3" w:rsidRDefault="00653AF3">
      <w:pPr>
        <w:spacing w:line="240" w:lineRule="auto"/>
        <w:rPr>
          <w:rFonts w:cs="Arial"/>
          <w:szCs w:val="20"/>
        </w:rPr>
      </w:pPr>
      <w:r>
        <w:rPr>
          <w:rFonts w:cs="Arial"/>
          <w:szCs w:val="20"/>
        </w:rPr>
        <w:br w:type="page"/>
      </w:r>
    </w:p>
    <w:p w14:paraId="5C813387" w14:textId="77777777" w:rsidR="006A243E" w:rsidRDefault="006A243E" w:rsidP="006A243E">
      <w:pPr>
        <w:jc w:val="center"/>
        <w:rPr>
          <w:rFonts w:cs="Arial"/>
          <w:szCs w:val="20"/>
        </w:rPr>
      </w:pPr>
      <w:bookmarkStart w:id="1" w:name="_Toc301514129"/>
      <w:bookmarkStart w:id="2" w:name="_Toc301520583"/>
      <w:r>
        <w:rPr>
          <w:rFonts w:cs="Arial"/>
          <w:szCs w:val="20"/>
        </w:rPr>
        <w:lastRenderedPageBreak/>
        <w:t>University of Washington</w:t>
      </w:r>
    </w:p>
    <w:p w14:paraId="63A2A0E6" w14:textId="77777777" w:rsidR="006A243E" w:rsidRPr="006D7FDC" w:rsidRDefault="006A243E" w:rsidP="006A243E">
      <w:pPr>
        <w:jc w:val="center"/>
        <w:rPr>
          <w:rFonts w:cs="Arial"/>
          <w:b/>
          <w:sz w:val="24"/>
        </w:rPr>
      </w:pPr>
      <w:r w:rsidRPr="006D7FDC">
        <w:rPr>
          <w:rFonts w:cs="Arial"/>
          <w:b/>
          <w:sz w:val="24"/>
        </w:rPr>
        <w:t>Abstract</w:t>
      </w:r>
    </w:p>
    <w:p w14:paraId="7103961B"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 xml:space="preserve">Metabolic </w:t>
      </w:r>
      <w:r w:rsidRPr="000D5F05">
        <w:rPr>
          <w:rFonts w:eastAsia="SimSun" w:cs="Arial"/>
          <w:color w:val="222222"/>
          <w:szCs w:val="20"/>
          <w:shd w:val="clear" w:color="auto" w:fill="FFFFFF"/>
        </w:rPr>
        <w:t xml:space="preserve">flux analysis and metabolomics of </w:t>
      </w:r>
      <w:proofErr w:type="spellStart"/>
      <w:r w:rsidRPr="000D5F05">
        <w:rPr>
          <w:rFonts w:eastAsia="SimSun" w:cs="Arial"/>
          <w:color w:val="222222"/>
          <w:szCs w:val="20"/>
          <w:shd w:val="clear" w:color="auto" w:fill="FFFFFF"/>
        </w:rPr>
        <w:t>Methylotrophs</w:t>
      </w:r>
      <w:proofErr w:type="spellEnd"/>
    </w:p>
    <w:p w14:paraId="31A281FF"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Yanfen Fu</w:t>
      </w:r>
    </w:p>
    <w:p w14:paraId="4261D49A"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Chair of the Supervisory Committee:</w:t>
      </w:r>
    </w:p>
    <w:p w14:paraId="3E25DDEE" w14:textId="77777777" w:rsidR="006A243E" w:rsidRDefault="006A243E" w:rsidP="006A243E">
      <w:pPr>
        <w:tabs>
          <w:tab w:val="left" w:pos="0"/>
        </w:tabs>
        <w:jc w:val="center"/>
        <w:rPr>
          <w:rFonts w:eastAsia="SimSun" w:cs="Arial"/>
          <w:color w:val="222222"/>
          <w:szCs w:val="20"/>
          <w:shd w:val="clear" w:color="auto" w:fill="FFFFFF"/>
        </w:rPr>
      </w:pPr>
      <w:r>
        <w:rPr>
          <w:rFonts w:eastAsia="SimSun" w:cs="Arial"/>
          <w:color w:val="222222"/>
          <w:szCs w:val="20"/>
          <w:shd w:val="clear" w:color="auto" w:fill="FFFFFF"/>
        </w:rPr>
        <w:t xml:space="preserve">Frank </w:t>
      </w:r>
      <w:proofErr w:type="spellStart"/>
      <w:r>
        <w:rPr>
          <w:rFonts w:eastAsia="SimSun" w:cs="Arial"/>
          <w:color w:val="222222"/>
          <w:szCs w:val="20"/>
          <w:shd w:val="clear" w:color="auto" w:fill="FFFFFF"/>
        </w:rPr>
        <w:t>Jungers</w:t>
      </w:r>
      <w:proofErr w:type="spellEnd"/>
      <w:r>
        <w:rPr>
          <w:rFonts w:eastAsia="SimSun" w:cs="Arial"/>
          <w:color w:val="222222"/>
          <w:szCs w:val="20"/>
          <w:shd w:val="clear" w:color="auto" w:fill="FFFFFF"/>
        </w:rPr>
        <w:t xml:space="preserve"> Endowed Chair of Engineering Mary </w:t>
      </w:r>
      <w:proofErr w:type="spellStart"/>
      <w:r>
        <w:rPr>
          <w:rFonts w:eastAsia="SimSun" w:cs="Arial"/>
          <w:color w:val="222222"/>
          <w:szCs w:val="20"/>
          <w:shd w:val="clear" w:color="auto" w:fill="FFFFFF"/>
        </w:rPr>
        <w:t>Lidstrom</w:t>
      </w:r>
      <w:proofErr w:type="spellEnd"/>
    </w:p>
    <w:p w14:paraId="4DBFBFF6" w14:textId="77777777" w:rsidR="006A243E" w:rsidRDefault="006A243E" w:rsidP="006A243E">
      <w:pPr>
        <w:jc w:val="center"/>
        <w:rPr>
          <w:shd w:val="clear" w:color="auto" w:fill="FFFFFF"/>
        </w:rPr>
      </w:pPr>
      <w:r>
        <w:rPr>
          <w:shd w:val="clear" w:color="auto" w:fill="FFFFFF"/>
        </w:rPr>
        <w:t>Chemical Engineering and Microbiology Department</w:t>
      </w:r>
    </w:p>
    <w:p w14:paraId="71E557CB" w14:textId="77777777" w:rsidR="00FE3C23" w:rsidRDefault="006A243E" w:rsidP="006A243E">
      <w:pPr>
        <w:pStyle w:val="BodyText"/>
      </w:pPr>
      <w:proofErr w:type="spellStart"/>
      <w:r>
        <w:rPr>
          <w:shd w:val="clear" w:color="auto" w:fill="FFFFFF"/>
        </w:rPr>
        <w:t>Methylotrophs</w:t>
      </w:r>
      <w:proofErr w:type="spellEnd"/>
      <w:r>
        <w:rPr>
          <w:shd w:val="clear" w:color="auto" w:fill="FFFFFF"/>
        </w:rPr>
        <w:t xml:space="preserve"> are a group of microbes that use C1 compounds as the sole carbon and energy source, which are of interest to be used as platforms for bioconversion of C1 substrates to valuable chemicals and fuels. </w:t>
      </w:r>
      <w:r w:rsidRPr="00A25D4A">
        <w:rPr>
          <w:i/>
          <w:shd w:val="clear" w:color="auto" w:fill="FFFFFF"/>
        </w:rPr>
        <w:t xml:space="preserve">Methylobacterium </w:t>
      </w:r>
      <w:proofErr w:type="spellStart"/>
      <w:r w:rsidRPr="00A25D4A">
        <w:rPr>
          <w:i/>
          <w:shd w:val="clear" w:color="auto" w:fill="FFFFFF"/>
        </w:rPr>
        <w:t>extorquens</w:t>
      </w:r>
      <w:proofErr w:type="spellEnd"/>
      <w:r w:rsidRPr="00A25D4A">
        <w:rPr>
          <w:shd w:val="clear" w:color="auto" w:fill="FFFFFF"/>
        </w:rPr>
        <w:t xml:space="preserve"> AM1</w:t>
      </w:r>
      <w:r>
        <w:rPr>
          <w:shd w:val="clear" w:color="auto" w:fill="FFFFFF"/>
        </w:rPr>
        <w:t xml:space="preserve"> is the best studied model organism for </w:t>
      </w:r>
      <w:proofErr w:type="spellStart"/>
      <w:r>
        <w:rPr>
          <w:shd w:val="clear" w:color="auto" w:fill="FFFFFF"/>
        </w:rPr>
        <w:t>methylotrophs</w:t>
      </w:r>
      <w:proofErr w:type="spellEnd"/>
      <w:r>
        <w:rPr>
          <w:shd w:val="clear" w:color="auto" w:fill="FFFFFF"/>
        </w:rPr>
        <w:t xml:space="preserve">, and it uses the serine cycle for assimilation of C1 units. </w:t>
      </w:r>
      <w:proofErr w:type="spellStart"/>
      <w:r w:rsidRPr="00A25D4A">
        <w:rPr>
          <w:i/>
        </w:rPr>
        <w:t>Methylomicrobium</w:t>
      </w:r>
      <w:proofErr w:type="spellEnd"/>
      <w:r w:rsidRPr="00A25D4A">
        <w:rPr>
          <w:i/>
        </w:rPr>
        <w:t xml:space="preserve"> buryatense</w:t>
      </w:r>
      <w:r w:rsidRPr="00CB2125">
        <w:t xml:space="preserve"> 5GB1</w:t>
      </w:r>
      <w:r>
        <w:t xml:space="preserve"> is a Type I methanotroph that uses the ribulose monophosphate (</w:t>
      </w:r>
      <w:proofErr w:type="spellStart"/>
      <w:r>
        <w:t>RuMP</w:t>
      </w:r>
      <w:proofErr w:type="spellEnd"/>
      <w:r>
        <w:t xml:space="preserve">) pathway for assimilation, and it is also an industrially promising candidate for bio-conversion of methane into valuable chemicals. </w:t>
      </w:r>
      <w:r>
        <w:rPr>
          <w:shd w:val="clear" w:color="auto" w:fill="FFFFFF"/>
        </w:rPr>
        <w:t xml:space="preserve">Metabolic flux analysis and metabolomics are two important approaches to investigate cell behavior at the level of metabolites and fluxes, which are integrative consequences of gene expression. These approaches will provide critical information for a rational strain design process in metabolic engineering iterations. In the first part of the thesis, the metabolic flux analysis approach was successfully applied to </w:t>
      </w:r>
      <w:r>
        <w:rPr>
          <w:i/>
          <w:shd w:val="clear" w:color="auto" w:fill="FFFFFF"/>
        </w:rPr>
        <w:t xml:space="preserve">M. </w:t>
      </w:r>
      <w:proofErr w:type="spellStart"/>
      <w:r>
        <w:rPr>
          <w:i/>
          <w:shd w:val="clear" w:color="auto" w:fill="FFFFFF"/>
        </w:rPr>
        <w:t>exorquens</w:t>
      </w:r>
      <w:proofErr w:type="spellEnd"/>
      <w:r>
        <w:rPr>
          <w:i/>
          <w:shd w:val="clear" w:color="auto" w:fill="FFFFFF"/>
        </w:rPr>
        <w:t xml:space="preserve"> </w:t>
      </w:r>
      <w:r>
        <w:rPr>
          <w:shd w:val="clear" w:color="auto" w:fill="FFFFFF"/>
        </w:rPr>
        <w:t xml:space="preserve">AM1 to investigate the metabolic network response to the trade-off between growth rate and biomass yield. Then the method was tailored to apply to </w:t>
      </w:r>
      <w:r>
        <w:rPr>
          <w:i/>
        </w:rPr>
        <w:t>M.</w:t>
      </w:r>
      <w:r w:rsidRPr="00A25D4A">
        <w:rPr>
          <w:i/>
        </w:rPr>
        <w:t xml:space="preserve"> buryatense</w:t>
      </w:r>
      <w:r w:rsidRPr="00CB2125">
        <w:t xml:space="preserve"> 5GB1</w:t>
      </w:r>
      <w:r>
        <w:t xml:space="preserve"> for flux elucidation in core metabolism under methane growth to provide baseline information for better prediction of performance. At the end, the combined approaches were used to investigate the core metabolism of </w:t>
      </w:r>
      <w:r w:rsidRPr="00A25D4A">
        <w:rPr>
          <w:i/>
        </w:rPr>
        <w:t>M</w:t>
      </w:r>
      <w:r>
        <w:rPr>
          <w:i/>
        </w:rPr>
        <w:t>.</w:t>
      </w:r>
      <w:r w:rsidRPr="00A25D4A">
        <w:rPr>
          <w:i/>
        </w:rPr>
        <w:t xml:space="preserve"> buryatense</w:t>
      </w:r>
      <w:r w:rsidRPr="00CB2125">
        <w:t xml:space="preserve"> 5GB1</w:t>
      </w:r>
      <w:r>
        <w:t xml:space="preserve"> response to two substrates, methane and methanol.</w:t>
      </w:r>
    </w:p>
    <w:p w14:paraId="420EF62D" w14:textId="5D3412BE" w:rsidR="00C65BD2" w:rsidRDefault="006A243E" w:rsidP="006A243E">
      <w:pPr>
        <w:pStyle w:val="BodyText"/>
      </w:pPr>
      <w:r>
        <w:t xml:space="preserve">This work has resulted in major new insights into methylotrophic metabolism.  For the serine cycle </w:t>
      </w:r>
      <w:proofErr w:type="spellStart"/>
      <w:r>
        <w:t>methylotroph</w:t>
      </w:r>
      <w:proofErr w:type="spellEnd"/>
      <w:r>
        <w:t xml:space="preserve">, it was demonstrated that the C3/C4 interconversion reactions, previously thought to be side reactions of little relevance to core metabolism, are critical to the ultimate values of growth rate and yield. This new insight now provides targets for strain engineering towards either maximum growth rate, or maximum yield. For the </w:t>
      </w:r>
      <w:proofErr w:type="spellStart"/>
      <w:r>
        <w:t>RuMP</w:t>
      </w:r>
      <w:proofErr w:type="spellEnd"/>
      <w:r>
        <w:t xml:space="preserve"> cycle methanotroph, it was determined first, that contrary to decades of </w:t>
      </w:r>
      <w:r>
        <w:lastRenderedPageBreak/>
        <w:t>assumptions in the literature, the Type I methanotroph studied here operates a complete, oxidative TCA cycle. That finding changes the entire metabolic network balance, especially with regard</w:t>
      </w:r>
      <w:r w:rsidR="00DC1423">
        <w:t>s</w:t>
      </w:r>
      <w:r>
        <w:t xml:space="preserve"> to NADH generation, and this knowledge is essential for generating accurat</w:t>
      </w:r>
      <w:r w:rsidR="00DC1423">
        <w:t xml:space="preserve">e predictive metabolic models. </w:t>
      </w:r>
      <w:r>
        <w:t xml:space="preserve">Second, it was determined that the partial serine cycle present in Type I </w:t>
      </w:r>
      <w:proofErr w:type="spellStart"/>
      <w:r>
        <w:t>methanotrophs</w:t>
      </w:r>
      <w:proofErr w:type="spellEnd"/>
      <w:r>
        <w:t xml:space="preserve"> does not play a significant role during growth on methan</w:t>
      </w:r>
      <w:r w:rsidR="001151CC">
        <w:t xml:space="preserve">e. </w:t>
      </w:r>
      <w:r>
        <w:t>However, it was discovered that it does play a role during growth on methanol. Growth on methanol was discovered to involve a substantially rearranged metabolic n</w:t>
      </w:r>
      <w:r w:rsidR="00B87945">
        <w:t xml:space="preserve">etwork compared to methane, </w:t>
      </w:r>
      <w:r>
        <w:t xml:space="preserve">in complete contrast to literature expectations. In this case, the TCA cycle is broken, NADH is generated mainly from </w:t>
      </w:r>
      <w:proofErr w:type="spellStart"/>
      <w:r>
        <w:t>formate</w:t>
      </w:r>
      <w:proofErr w:type="spellEnd"/>
      <w:r>
        <w:t xml:space="preserve"> oxidation, and flux shifts from the </w:t>
      </w:r>
      <w:proofErr w:type="spellStart"/>
      <w:r w:rsidR="00CB268C">
        <w:t>Embden</w:t>
      </w:r>
      <w:proofErr w:type="spellEnd"/>
      <w:r w:rsidR="00CB268C">
        <w:t>-Meyer-</w:t>
      </w:r>
      <w:proofErr w:type="spellStart"/>
      <w:r w:rsidR="00CB268C">
        <w:t>Parnas</w:t>
      </w:r>
      <w:proofErr w:type="spellEnd"/>
      <w:r w:rsidR="00CB268C">
        <w:t xml:space="preserve"> </w:t>
      </w:r>
      <w:r w:rsidR="00C52F56">
        <w:t xml:space="preserve">pathway to the </w:t>
      </w:r>
      <w:proofErr w:type="spellStart"/>
      <w:r w:rsidR="00C52F56">
        <w:t>Entner-</w:t>
      </w:r>
      <w:r>
        <w:t>Douderoff</w:t>
      </w:r>
      <w:proofErr w:type="spellEnd"/>
      <w:r>
        <w:t xml:space="preserve"> pathway. In addition, substantial carbon is redirected to synthesis of glycogen and excretion of </w:t>
      </w:r>
      <w:proofErr w:type="spellStart"/>
      <w:r w:rsidR="009C5736">
        <w:t>formate</w:t>
      </w:r>
      <w:proofErr w:type="spellEnd"/>
      <w:r w:rsidR="009C5736">
        <w:t xml:space="preserve">. </w:t>
      </w:r>
    </w:p>
    <w:p w14:paraId="0CEA5663" w14:textId="5306F8E2" w:rsidR="002B6B8A" w:rsidRPr="006A243E" w:rsidRDefault="006A243E" w:rsidP="006A243E">
      <w:pPr>
        <w:pStyle w:val="BodyText"/>
      </w:pPr>
      <w:r>
        <w:t xml:space="preserve">We have concluded that both </w:t>
      </w:r>
      <w:r>
        <w:rPr>
          <w:shd w:val="clear" w:color="auto" w:fill="FFFFFF"/>
        </w:rPr>
        <w:t>metabolic flux analysis and metabolomics</w:t>
      </w:r>
      <w:r w:rsidDel="00634848">
        <w:t xml:space="preserve"> </w:t>
      </w:r>
      <w:r>
        <w:t xml:space="preserve">are extremely valuable tools in understanding the metabolic network of </w:t>
      </w:r>
      <w:proofErr w:type="spellStart"/>
      <w:r>
        <w:t>methylotrophs</w:t>
      </w:r>
      <w:proofErr w:type="spellEnd"/>
      <w:r>
        <w:t xml:space="preserve">, and their use has corrected metabolic misunderstanding that has been in the literature for decades. These methods must be tailored for the C1 assimilation system, and the results presented in this thesis demonstrate an approach for the two main types of </w:t>
      </w:r>
      <w:proofErr w:type="spellStart"/>
      <w:r>
        <w:t>methylotrophs</w:t>
      </w:r>
      <w:proofErr w:type="spellEnd"/>
      <w:r>
        <w:t xml:space="preserve">. These new techniques are now ready to use for investigating other </w:t>
      </w:r>
      <w:proofErr w:type="spellStart"/>
      <w:r>
        <w:t>methylotrophs</w:t>
      </w:r>
      <w:proofErr w:type="spellEnd"/>
      <w:r>
        <w:t xml:space="preserve"> in the future, and to serve as important tools for future metabolic engineering of </w:t>
      </w:r>
      <w:proofErr w:type="spellStart"/>
      <w:r>
        <w:t>methylotrophs</w:t>
      </w:r>
      <w:proofErr w:type="spellEnd"/>
      <w:r>
        <w:t xml:space="preserve"> for biotechnology applications.</w:t>
      </w:r>
      <w:r>
        <w:br w:type="page"/>
      </w:r>
    </w:p>
    <w:p w14:paraId="13C60736" w14:textId="77777777" w:rsidR="002B6B8A" w:rsidRDefault="002B6B8A" w:rsidP="002B6B8A">
      <w:pPr>
        <w:jc w:val="center"/>
        <w:rPr>
          <w:rFonts w:cs="Arial"/>
          <w:szCs w:val="20"/>
        </w:rPr>
      </w:pPr>
      <w:r>
        <w:rPr>
          <w:rFonts w:cs="Arial"/>
          <w:szCs w:val="20"/>
        </w:rPr>
        <w:lastRenderedPageBreak/>
        <w:t>ACKNOWLEDGMENTS</w:t>
      </w:r>
    </w:p>
    <w:p w14:paraId="1DB5B6F6" w14:textId="28F862FD" w:rsidR="00015938" w:rsidRDefault="00C41C2E" w:rsidP="00CC25CA">
      <w:pPr>
        <w:rPr>
          <w:rFonts w:cs="Arial"/>
          <w:szCs w:val="20"/>
        </w:rPr>
      </w:pPr>
      <w:r>
        <w:rPr>
          <w:rFonts w:cs="Arial"/>
          <w:szCs w:val="20"/>
        </w:rPr>
        <w:t xml:space="preserve">It has been a great experience for me. I have so many people on this list that I </w:t>
      </w:r>
      <w:r w:rsidR="0022600F">
        <w:rPr>
          <w:rFonts w:cs="Arial"/>
          <w:szCs w:val="20"/>
        </w:rPr>
        <w:t>feel</w:t>
      </w:r>
      <w:r>
        <w:rPr>
          <w:rFonts w:cs="Arial"/>
          <w:szCs w:val="20"/>
        </w:rPr>
        <w:t xml:space="preserve"> deeply grateful</w:t>
      </w:r>
      <w:r w:rsidR="00044472">
        <w:rPr>
          <w:rFonts w:cs="Arial"/>
          <w:szCs w:val="20"/>
        </w:rPr>
        <w:t xml:space="preserve"> to</w:t>
      </w:r>
      <w:r>
        <w:rPr>
          <w:rFonts w:cs="Arial"/>
          <w:szCs w:val="20"/>
        </w:rPr>
        <w:t xml:space="preserve">. Without </w:t>
      </w:r>
      <w:r w:rsidR="00044472">
        <w:rPr>
          <w:rFonts w:cs="Arial"/>
          <w:szCs w:val="20"/>
        </w:rPr>
        <w:t>them</w:t>
      </w:r>
      <w:r>
        <w:rPr>
          <w:rFonts w:cs="Arial"/>
          <w:szCs w:val="20"/>
        </w:rPr>
        <w:t>, it will be a different story. First of all, I would like to thank my previous mentor</w:t>
      </w:r>
      <w:r w:rsidR="008A5BCF">
        <w:rPr>
          <w:rFonts w:cs="Arial"/>
          <w:szCs w:val="20"/>
        </w:rPr>
        <w:t>, Jackie Shanks,</w:t>
      </w:r>
      <w:r>
        <w:rPr>
          <w:rFonts w:cs="Arial"/>
          <w:szCs w:val="20"/>
        </w:rPr>
        <w:t xml:space="preserve"> in Iowa State University</w:t>
      </w:r>
      <w:r w:rsidR="00CC25CA">
        <w:rPr>
          <w:rFonts w:cs="Arial"/>
          <w:szCs w:val="20"/>
        </w:rPr>
        <w:t xml:space="preserve">, who gave me the wonderful opportunity of studying metabolic flux analysis on </w:t>
      </w:r>
      <w:proofErr w:type="gramStart"/>
      <w:r w:rsidR="00CC25CA" w:rsidRPr="00CC25CA">
        <w:rPr>
          <w:rFonts w:cs="Arial"/>
          <w:i/>
          <w:szCs w:val="20"/>
        </w:rPr>
        <w:t>E.coli</w:t>
      </w:r>
      <w:proofErr w:type="gramEnd"/>
      <w:r w:rsidR="00CC25CA">
        <w:rPr>
          <w:rFonts w:cs="Arial"/>
          <w:szCs w:val="20"/>
        </w:rPr>
        <w:t xml:space="preserve">. I would also like to thank </w:t>
      </w:r>
      <w:r w:rsidR="00494500">
        <w:rPr>
          <w:rFonts w:cs="Arial"/>
          <w:szCs w:val="20"/>
        </w:rPr>
        <w:t>an</w:t>
      </w:r>
      <w:r w:rsidR="001273C0">
        <w:rPr>
          <w:rFonts w:cs="Arial"/>
          <w:szCs w:val="20"/>
        </w:rPr>
        <w:t>other mentor and</w:t>
      </w:r>
      <w:r w:rsidR="00CC25CA">
        <w:rPr>
          <w:rFonts w:cs="Arial"/>
          <w:szCs w:val="20"/>
        </w:rPr>
        <w:t xml:space="preserve"> good friend, S</w:t>
      </w:r>
      <w:r w:rsidR="008A5BCF">
        <w:rPr>
          <w:rFonts w:cs="Arial"/>
          <w:szCs w:val="20"/>
        </w:rPr>
        <w:t>ong</w:t>
      </w:r>
      <w:r w:rsidR="00BB4170">
        <w:rPr>
          <w:rFonts w:cs="Arial"/>
          <w:szCs w:val="20"/>
        </w:rPr>
        <w:t xml:space="preserve"> </w:t>
      </w:r>
      <w:r w:rsidR="00CC25CA">
        <w:rPr>
          <w:rFonts w:cs="Arial"/>
          <w:szCs w:val="20"/>
        </w:rPr>
        <w:t>Yang, who spent a lot of time training me to get to know the C1</w:t>
      </w:r>
      <w:r w:rsidR="003A6ACA">
        <w:rPr>
          <w:rFonts w:cs="Arial"/>
          <w:szCs w:val="20"/>
        </w:rPr>
        <w:t xml:space="preserve"> metabolism in</w:t>
      </w:r>
      <w:r w:rsidR="00CC25CA">
        <w:rPr>
          <w:rFonts w:cs="Arial"/>
          <w:szCs w:val="20"/>
        </w:rPr>
        <w:t xml:space="preserve"> </w:t>
      </w:r>
      <w:proofErr w:type="spellStart"/>
      <w:r w:rsidR="00CC25CA">
        <w:rPr>
          <w:rFonts w:cs="Arial"/>
          <w:szCs w:val="20"/>
        </w:rPr>
        <w:t>methylotrophs</w:t>
      </w:r>
      <w:proofErr w:type="spellEnd"/>
      <w:r w:rsidR="00CC25CA">
        <w:rPr>
          <w:rFonts w:cs="Arial"/>
          <w:szCs w:val="20"/>
        </w:rPr>
        <w:t>. Secondly, I am so gratefully to everyone in</w:t>
      </w:r>
      <w:r w:rsidR="005965AD">
        <w:rPr>
          <w:rFonts w:cs="Arial"/>
          <w:szCs w:val="20"/>
        </w:rPr>
        <w:t xml:space="preserve"> </w:t>
      </w:r>
      <w:proofErr w:type="spellStart"/>
      <w:r w:rsidR="005965AD">
        <w:rPr>
          <w:rFonts w:cs="Arial"/>
          <w:szCs w:val="20"/>
        </w:rPr>
        <w:t>L</w:t>
      </w:r>
      <w:r w:rsidR="00922E72">
        <w:rPr>
          <w:rFonts w:cs="Arial"/>
          <w:szCs w:val="20"/>
        </w:rPr>
        <w:t>idstrom</w:t>
      </w:r>
      <w:proofErr w:type="spellEnd"/>
      <w:r w:rsidR="00922E72">
        <w:rPr>
          <w:rFonts w:cs="Arial"/>
          <w:szCs w:val="20"/>
        </w:rPr>
        <w:t xml:space="preserve"> lab</w:t>
      </w:r>
      <w:r w:rsidR="00494500">
        <w:rPr>
          <w:rFonts w:cs="Arial"/>
          <w:szCs w:val="20"/>
        </w:rPr>
        <w:t xml:space="preserve"> (Aaron, Alexey, Amanda, </w:t>
      </w:r>
      <w:r w:rsidR="00234FC8">
        <w:rPr>
          <w:rFonts w:cs="Arial"/>
          <w:szCs w:val="20"/>
        </w:rPr>
        <w:t xml:space="preserve">Bo, </w:t>
      </w:r>
      <w:r w:rsidR="00494500">
        <w:rPr>
          <w:rFonts w:cs="Arial"/>
          <w:szCs w:val="20"/>
        </w:rPr>
        <w:t xml:space="preserve">David, Frances, Ginger, Janet, </w:t>
      </w:r>
      <w:r w:rsidR="0058714D">
        <w:rPr>
          <w:rFonts w:cs="Arial"/>
          <w:szCs w:val="20"/>
        </w:rPr>
        <w:t xml:space="preserve">Jing, Marina, </w:t>
      </w:r>
      <w:r w:rsidR="00494500">
        <w:rPr>
          <w:rFonts w:cs="Arial"/>
          <w:szCs w:val="20"/>
        </w:rPr>
        <w:t xml:space="preserve">Mila, Mitch, Melissa, Sasha, </w:t>
      </w:r>
      <w:r w:rsidR="006F62AC">
        <w:rPr>
          <w:rFonts w:cs="Arial"/>
          <w:szCs w:val="20"/>
        </w:rPr>
        <w:t xml:space="preserve">Xin, </w:t>
      </w:r>
      <w:r w:rsidR="00494500">
        <w:rPr>
          <w:rFonts w:cs="Arial"/>
          <w:szCs w:val="20"/>
        </w:rPr>
        <w:t>Yu and Yue) and my student</w:t>
      </w:r>
      <w:r w:rsidR="00E84B26">
        <w:rPr>
          <w:rFonts w:cs="Arial"/>
          <w:szCs w:val="20"/>
        </w:rPr>
        <w:t xml:space="preserve"> Yi, </w:t>
      </w:r>
      <w:r w:rsidR="00922E72">
        <w:rPr>
          <w:rFonts w:cs="Arial"/>
          <w:szCs w:val="20"/>
        </w:rPr>
        <w:t xml:space="preserve">for the </w:t>
      </w:r>
      <w:r w:rsidR="00CC25CA">
        <w:rPr>
          <w:rFonts w:cs="Arial"/>
          <w:szCs w:val="20"/>
        </w:rPr>
        <w:t xml:space="preserve">supportive </w:t>
      </w:r>
      <w:r>
        <w:rPr>
          <w:rFonts w:cs="Arial"/>
          <w:szCs w:val="20"/>
        </w:rPr>
        <w:t>environment</w:t>
      </w:r>
      <w:r w:rsidR="00CC25CA">
        <w:rPr>
          <w:rFonts w:cs="Arial"/>
          <w:szCs w:val="20"/>
        </w:rPr>
        <w:t xml:space="preserve"> where I feel </w:t>
      </w:r>
      <w:r w:rsidR="00CE4CF7">
        <w:rPr>
          <w:rFonts w:cs="Arial"/>
          <w:szCs w:val="20"/>
        </w:rPr>
        <w:t>encouraged</w:t>
      </w:r>
      <w:r w:rsidR="00CC25CA">
        <w:rPr>
          <w:rFonts w:cs="Arial"/>
          <w:szCs w:val="20"/>
        </w:rPr>
        <w:t xml:space="preserve"> to do my daily research work</w:t>
      </w:r>
      <w:r w:rsidR="00CE4CF7">
        <w:rPr>
          <w:rFonts w:cs="Arial"/>
          <w:szCs w:val="20"/>
        </w:rPr>
        <w:t xml:space="preserve"> in lab</w:t>
      </w:r>
      <w:r>
        <w:rPr>
          <w:rFonts w:cs="Arial"/>
          <w:szCs w:val="20"/>
        </w:rPr>
        <w:t xml:space="preserve">. </w:t>
      </w:r>
      <w:r w:rsidR="005321A7">
        <w:rPr>
          <w:rFonts w:cs="Arial"/>
          <w:szCs w:val="20"/>
        </w:rPr>
        <w:t>I have also received a lot of help</w:t>
      </w:r>
      <w:r w:rsidR="00914D1C">
        <w:rPr>
          <w:rFonts w:cs="Arial"/>
          <w:szCs w:val="20"/>
        </w:rPr>
        <w:t xml:space="preserve"> </w:t>
      </w:r>
      <w:r w:rsidR="005321A7">
        <w:rPr>
          <w:rFonts w:cs="Arial"/>
          <w:szCs w:val="20"/>
        </w:rPr>
        <w:t xml:space="preserve">in mass spectrum instrumentation from </w:t>
      </w:r>
      <w:r w:rsidR="00922E72">
        <w:rPr>
          <w:rFonts w:cs="Arial"/>
          <w:szCs w:val="20"/>
        </w:rPr>
        <w:t>experts in mass spectrometry</w:t>
      </w:r>
      <w:r w:rsidR="0087523D">
        <w:rPr>
          <w:rFonts w:cs="Arial"/>
          <w:szCs w:val="20"/>
        </w:rPr>
        <w:t xml:space="preserve"> facility, Martin</w:t>
      </w:r>
      <w:r w:rsidR="00015938">
        <w:rPr>
          <w:rFonts w:cs="Arial"/>
          <w:szCs w:val="20"/>
        </w:rPr>
        <w:t xml:space="preserve"> </w:t>
      </w:r>
      <w:proofErr w:type="spellStart"/>
      <w:r w:rsidR="00015938">
        <w:rPr>
          <w:rFonts w:cs="Arial"/>
          <w:szCs w:val="20"/>
        </w:rPr>
        <w:t>Sadilek</w:t>
      </w:r>
      <w:proofErr w:type="spellEnd"/>
      <w:r w:rsidR="00015938">
        <w:rPr>
          <w:rFonts w:cs="Arial"/>
          <w:szCs w:val="20"/>
        </w:rPr>
        <w:t xml:space="preserve"> and </w:t>
      </w:r>
      <w:r w:rsidR="00015938" w:rsidRPr="00015938">
        <w:rPr>
          <w:rFonts w:cs="Arial"/>
          <w:szCs w:val="20"/>
        </w:rPr>
        <w:t>Laura T. Carlson</w:t>
      </w:r>
      <w:r w:rsidR="00015938">
        <w:rPr>
          <w:rFonts w:cs="Arial"/>
          <w:szCs w:val="20"/>
        </w:rPr>
        <w:t>.</w:t>
      </w:r>
      <w:r>
        <w:rPr>
          <w:rFonts w:cs="Arial"/>
          <w:szCs w:val="20"/>
        </w:rPr>
        <w:t xml:space="preserve"> </w:t>
      </w:r>
      <w:r w:rsidR="00CD4509">
        <w:rPr>
          <w:rFonts w:cs="Arial"/>
          <w:szCs w:val="20"/>
        </w:rPr>
        <w:t>Many</w:t>
      </w:r>
      <w:r w:rsidR="00015938">
        <w:rPr>
          <w:rFonts w:cs="Arial"/>
          <w:szCs w:val="20"/>
        </w:rPr>
        <w:t xml:space="preserve"> thank</w:t>
      </w:r>
      <w:r w:rsidR="00CD4509">
        <w:rPr>
          <w:rFonts w:cs="Arial"/>
          <w:szCs w:val="20"/>
        </w:rPr>
        <w:t>s to</w:t>
      </w:r>
      <w:r w:rsidR="00015938">
        <w:rPr>
          <w:rFonts w:cs="Arial"/>
          <w:szCs w:val="20"/>
        </w:rPr>
        <w:t xml:space="preserve"> </w:t>
      </w:r>
      <w:r w:rsidR="00015938" w:rsidRPr="00015938">
        <w:rPr>
          <w:rFonts w:cs="Arial"/>
          <w:szCs w:val="20"/>
        </w:rPr>
        <w:t>Brian Fitz</w:t>
      </w:r>
      <w:r w:rsidR="0087523D">
        <w:rPr>
          <w:rFonts w:cs="Arial"/>
          <w:szCs w:val="20"/>
        </w:rPr>
        <w:t xml:space="preserve"> as well as </w:t>
      </w:r>
      <w:r w:rsidR="0087523D">
        <w:rPr>
          <w:rStyle w:val="gi"/>
        </w:rPr>
        <w:t xml:space="preserve">Christopher E. </w:t>
      </w:r>
      <w:proofErr w:type="spellStart"/>
      <w:r w:rsidR="0087523D">
        <w:rPr>
          <w:rStyle w:val="gi"/>
        </w:rPr>
        <w:t>Freye</w:t>
      </w:r>
      <w:proofErr w:type="spellEnd"/>
      <w:r w:rsidR="0087523D">
        <w:rPr>
          <w:rStyle w:val="gi"/>
        </w:rPr>
        <w:t xml:space="preserve"> </w:t>
      </w:r>
      <w:r w:rsidR="00015938" w:rsidRPr="00015938">
        <w:rPr>
          <w:rFonts w:cs="Arial"/>
          <w:szCs w:val="20"/>
        </w:rPr>
        <w:t>for help with</w:t>
      </w:r>
      <w:r w:rsidR="00015938">
        <w:rPr>
          <w:rFonts w:cs="Arial"/>
          <w:szCs w:val="20"/>
        </w:rPr>
        <w:t xml:space="preserve"> GC-FID instrument</w:t>
      </w:r>
      <w:r>
        <w:rPr>
          <w:rFonts w:cs="Arial"/>
          <w:szCs w:val="20"/>
        </w:rPr>
        <w:t xml:space="preserve">ation for methanol measurement. </w:t>
      </w:r>
      <w:r w:rsidR="009F30E7">
        <w:rPr>
          <w:rFonts w:cs="Arial"/>
          <w:szCs w:val="20"/>
        </w:rPr>
        <w:t xml:space="preserve">I would also like to thank all committee members for your support during all the exams. </w:t>
      </w:r>
      <w:r w:rsidR="00015938">
        <w:rPr>
          <w:rFonts w:cs="Arial"/>
          <w:szCs w:val="20"/>
        </w:rPr>
        <w:t xml:space="preserve">Last but not least, I would like to thank my advisor, mentor as well as role </w:t>
      </w:r>
      <w:r w:rsidR="00660C30">
        <w:rPr>
          <w:rFonts w:cs="Arial"/>
          <w:szCs w:val="20"/>
        </w:rPr>
        <w:t xml:space="preserve">model, Mary E. </w:t>
      </w:r>
      <w:proofErr w:type="spellStart"/>
      <w:r w:rsidR="00660C30">
        <w:rPr>
          <w:rFonts w:cs="Arial"/>
          <w:szCs w:val="20"/>
        </w:rPr>
        <w:t>Lidstrom</w:t>
      </w:r>
      <w:proofErr w:type="spellEnd"/>
      <w:r w:rsidR="001B16CC">
        <w:rPr>
          <w:rFonts w:cs="Arial"/>
          <w:szCs w:val="20"/>
        </w:rPr>
        <w:t>,</w:t>
      </w:r>
      <w:r w:rsidR="00660C30">
        <w:rPr>
          <w:rFonts w:cs="Arial"/>
          <w:szCs w:val="20"/>
        </w:rPr>
        <w:t xml:space="preserve"> for </w:t>
      </w:r>
      <w:r w:rsidR="00CD4509">
        <w:rPr>
          <w:rFonts w:cs="Arial"/>
          <w:szCs w:val="20"/>
        </w:rPr>
        <w:t xml:space="preserve">offering the </w:t>
      </w:r>
      <w:r w:rsidR="00015938">
        <w:rPr>
          <w:rFonts w:cs="Arial"/>
          <w:szCs w:val="20"/>
        </w:rPr>
        <w:t>wonderful opportunity, for her support and encouragement, for all the inspiration she had brought to my work and life.</w:t>
      </w:r>
      <w:r w:rsidR="00747CCC">
        <w:rPr>
          <w:rFonts w:cs="Arial"/>
          <w:szCs w:val="20"/>
        </w:rPr>
        <w:t xml:space="preserve"> I have learned </w:t>
      </w:r>
      <w:r w:rsidR="00054DAE">
        <w:rPr>
          <w:rFonts w:cs="Arial"/>
          <w:szCs w:val="20"/>
        </w:rPr>
        <w:t>and grown</w:t>
      </w:r>
      <w:r w:rsidR="00747CCC">
        <w:rPr>
          <w:rFonts w:cs="Arial"/>
          <w:szCs w:val="20"/>
        </w:rPr>
        <w:t xml:space="preserve"> so much from the great experience that would be beneficial for life.</w:t>
      </w:r>
    </w:p>
    <w:p w14:paraId="792A769D" w14:textId="77777777" w:rsidR="002B6B8A" w:rsidRDefault="002B6B8A">
      <w:pPr>
        <w:spacing w:line="240" w:lineRule="auto"/>
        <w:rPr>
          <w:rFonts w:cs="Arial"/>
          <w:szCs w:val="20"/>
        </w:rPr>
      </w:pPr>
      <w:r>
        <w:rPr>
          <w:rFonts w:cs="Arial"/>
          <w:szCs w:val="20"/>
        </w:rPr>
        <w:br w:type="page"/>
      </w:r>
    </w:p>
    <w:p w14:paraId="02AD5F71" w14:textId="77777777" w:rsidR="00FE342B" w:rsidRDefault="002B6B8A" w:rsidP="00072C57">
      <w:pPr>
        <w:spacing w:line="240" w:lineRule="auto"/>
        <w:jc w:val="center"/>
        <w:rPr>
          <w:rFonts w:cs="Arial"/>
          <w:szCs w:val="20"/>
        </w:rPr>
      </w:pPr>
      <w:r>
        <w:rPr>
          <w:rFonts w:cs="Arial"/>
          <w:szCs w:val="20"/>
        </w:rPr>
        <w:lastRenderedPageBreak/>
        <w:t>DEDICATION</w:t>
      </w:r>
    </w:p>
    <w:p w14:paraId="53AF6F2D" w14:textId="77777777" w:rsidR="00FE342B" w:rsidRDefault="00FE342B" w:rsidP="00072C57">
      <w:pPr>
        <w:spacing w:line="240" w:lineRule="auto"/>
        <w:jc w:val="center"/>
        <w:rPr>
          <w:rFonts w:cs="Arial"/>
          <w:szCs w:val="20"/>
        </w:rPr>
      </w:pPr>
    </w:p>
    <w:p w14:paraId="5EA8E1CE" w14:textId="7211E439" w:rsidR="00072C57" w:rsidRDefault="00FE342B" w:rsidP="00072C57">
      <w:pPr>
        <w:spacing w:line="240" w:lineRule="auto"/>
        <w:jc w:val="center"/>
        <w:rPr>
          <w:rFonts w:cs="Arial"/>
          <w:szCs w:val="20"/>
        </w:rPr>
      </w:pPr>
      <w:r>
        <w:rPr>
          <w:rFonts w:cs="Arial"/>
          <w:szCs w:val="20"/>
        </w:rPr>
        <w:t>To my husband,</w:t>
      </w:r>
      <w:r w:rsidR="00297A27">
        <w:rPr>
          <w:rFonts w:cs="Arial"/>
          <w:szCs w:val="20"/>
        </w:rPr>
        <w:t xml:space="preserve"> </w:t>
      </w:r>
      <w:r>
        <w:rPr>
          <w:rFonts w:cs="Arial"/>
          <w:szCs w:val="20"/>
        </w:rPr>
        <w:t>Ning, for his support, love, and</w:t>
      </w:r>
      <w:r w:rsidR="002638A6">
        <w:rPr>
          <w:rFonts w:cs="Arial"/>
          <w:szCs w:val="20"/>
        </w:rPr>
        <w:t xml:space="preserve"> fun</w:t>
      </w:r>
      <w:r w:rsidR="00E124D3">
        <w:rPr>
          <w:rFonts w:cs="Arial"/>
          <w:szCs w:val="20"/>
        </w:rPr>
        <w:t xml:space="preserve"> outside </w:t>
      </w:r>
      <w:r w:rsidR="0079397A">
        <w:rPr>
          <w:rFonts w:cs="Arial"/>
          <w:szCs w:val="20"/>
        </w:rPr>
        <w:t>school and work</w:t>
      </w:r>
      <w:r w:rsidR="005154C4">
        <w:rPr>
          <w:rFonts w:cs="Arial"/>
          <w:szCs w:val="20"/>
        </w:rPr>
        <w:t xml:space="preserve">. To </w:t>
      </w:r>
      <w:r>
        <w:rPr>
          <w:rFonts w:cs="Arial"/>
          <w:szCs w:val="20"/>
        </w:rPr>
        <w:t xml:space="preserve">my </w:t>
      </w:r>
      <w:r w:rsidR="00922E72">
        <w:rPr>
          <w:rFonts w:cs="Arial"/>
          <w:szCs w:val="20"/>
        </w:rPr>
        <w:t>little girl</w:t>
      </w:r>
      <w:r>
        <w:rPr>
          <w:rFonts w:cs="Arial"/>
          <w:szCs w:val="20"/>
        </w:rPr>
        <w:t>,</w:t>
      </w:r>
      <w:r w:rsidR="00297A27">
        <w:rPr>
          <w:rFonts w:cs="Arial"/>
          <w:szCs w:val="20"/>
        </w:rPr>
        <w:t xml:space="preserve"> </w:t>
      </w:r>
      <w:r w:rsidR="00922E72">
        <w:rPr>
          <w:rFonts w:cs="Arial"/>
          <w:szCs w:val="20"/>
        </w:rPr>
        <w:t>Veronica,</w:t>
      </w:r>
      <w:r>
        <w:rPr>
          <w:rFonts w:cs="Arial"/>
          <w:szCs w:val="20"/>
        </w:rPr>
        <w:t xml:space="preserve"> for the</w:t>
      </w:r>
      <w:r w:rsidR="005154C4">
        <w:rPr>
          <w:rFonts w:cs="Arial"/>
          <w:szCs w:val="20"/>
        </w:rPr>
        <w:t xml:space="preserve"> wonderful journey </w:t>
      </w:r>
      <w:r w:rsidR="00922E72">
        <w:rPr>
          <w:rFonts w:cs="Arial"/>
          <w:szCs w:val="20"/>
        </w:rPr>
        <w:t>of motherhood</w:t>
      </w:r>
      <w:r w:rsidR="005C461E">
        <w:rPr>
          <w:rFonts w:cs="Arial"/>
          <w:szCs w:val="20"/>
        </w:rPr>
        <w:t xml:space="preserve">. To </w:t>
      </w:r>
      <w:r>
        <w:rPr>
          <w:rFonts w:cs="Arial"/>
          <w:szCs w:val="20"/>
        </w:rPr>
        <w:t>my parents</w:t>
      </w:r>
      <w:r w:rsidR="005C461E">
        <w:rPr>
          <w:rFonts w:cs="Arial"/>
          <w:szCs w:val="20"/>
        </w:rPr>
        <w:t xml:space="preserve"> and sister</w:t>
      </w:r>
      <w:r>
        <w:rPr>
          <w:rFonts w:cs="Arial"/>
          <w:szCs w:val="20"/>
        </w:rPr>
        <w:t>, for their unconditional love and support.</w:t>
      </w:r>
      <w:r w:rsidR="00072C57">
        <w:rPr>
          <w:rFonts w:cs="Arial"/>
          <w:szCs w:val="20"/>
        </w:rPr>
        <w:br w:type="page"/>
      </w:r>
    </w:p>
    <w:sdt>
      <w:sdtPr>
        <w:rPr>
          <w:rFonts w:eastAsiaTheme="minorEastAsia" w:cs="Arial"/>
          <w:b w:val="0"/>
          <w:bCs w:val="0"/>
          <w:sz w:val="20"/>
          <w:szCs w:val="20"/>
        </w:rPr>
        <w:id w:val="-1033413998"/>
        <w:docPartObj>
          <w:docPartGallery w:val="Table of Contents"/>
          <w:docPartUnique/>
        </w:docPartObj>
      </w:sdtPr>
      <w:sdtEndPr>
        <w:rPr>
          <w:noProof/>
        </w:rPr>
      </w:sdtEndPr>
      <w:sdtContent>
        <w:p w14:paraId="2AB2679D" w14:textId="77777777" w:rsidR="00072C57" w:rsidRPr="00FA76B2" w:rsidRDefault="00072C57" w:rsidP="00072C57">
          <w:pPr>
            <w:pStyle w:val="TOCHeading"/>
            <w:rPr>
              <w:rFonts w:cs="Arial"/>
            </w:rPr>
          </w:pPr>
          <w:r w:rsidRPr="00FA76B2">
            <w:rPr>
              <w:rFonts w:cs="Arial"/>
            </w:rPr>
            <w:t>Table of Contents</w:t>
          </w:r>
        </w:p>
        <w:p w14:paraId="4E41DA40" w14:textId="77777777" w:rsidR="00AA3732" w:rsidRDefault="00072C57">
          <w:pPr>
            <w:pStyle w:val="TOC1"/>
            <w:tabs>
              <w:tab w:val="right" w:leader="dot" w:pos="9350"/>
            </w:tabs>
            <w:rPr>
              <w:rFonts w:asciiTheme="minorHAnsi" w:hAnsiTheme="minorHAnsi"/>
              <w:b w:val="0"/>
              <w:noProof/>
              <w:sz w:val="24"/>
              <w:lang w:eastAsia="zh-CN"/>
            </w:rPr>
          </w:pPr>
          <w:r w:rsidRPr="000D5F05">
            <w:rPr>
              <w:rFonts w:cs="Arial"/>
              <w:b w:val="0"/>
              <w:szCs w:val="20"/>
            </w:rPr>
            <w:fldChar w:fldCharType="begin"/>
          </w:r>
          <w:r w:rsidRPr="000D5F05">
            <w:rPr>
              <w:rFonts w:cs="Arial"/>
              <w:szCs w:val="20"/>
            </w:rPr>
            <w:instrText xml:space="preserve"> TOC \o "1-3" \h \z \u </w:instrText>
          </w:r>
          <w:r w:rsidRPr="000D5F05">
            <w:rPr>
              <w:rFonts w:cs="Arial"/>
              <w:b w:val="0"/>
              <w:szCs w:val="20"/>
            </w:rPr>
            <w:fldChar w:fldCharType="separate"/>
          </w:r>
          <w:hyperlink w:anchor="_Toc468311695" w:history="1">
            <w:r w:rsidR="00AA3732" w:rsidRPr="00AA3732">
              <w:rPr>
                <w:rStyle w:val="Hyperlink"/>
                <w:noProof/>
                <w:sz w:val="24"/>
              </w:rPr>
              <w:t>Chapter 1: Introduction</w:t>
            </w:r>
            <w:r w:rsidR="00AA3732">
              <w:rPr>
                <w:noProof/>
                <w:webHidden/>
              </w:rPr>
              <w:tab/>
            </w:r>
            <w:r w:rsidR="00AA3732">
              <w:rPr>
                <w:noProof/>
                <w:webHidden/>
              </w:rPr>
              <w:fldChar w:fldCharType="begin"/>
            </w:r>
            <w:r w:rsidR="00AA3732">
              <w:rPr>
                <w:noProof/>
                <w:webHidden/>
              </w:rPr>
              <w:instrText xml:space="preserve"> PAGEREF _Toc468311695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4F5EB96B"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696" w:history="1">
            <w:r w:rsidR="00AA3732" w:rsidRPr="00E3129F">
              <w:rPr>
                <w:rStyle w:val="Hyperlink"/>
                <w:noProof/>
              </w:rPr>
              <w:t>1.1 Methylotrophs</w:t>
            </w:r>
            <w:r w:rsidR="00AA3732">
              <w:rPr>
                <w:noProof/>
                <w:webHidden/>
              </w:rPr>
              <w:tab/>
            </w:r>
            <w:r w:rsidR="00AA3732">
              <w:rPr>
                <w:noProof/>
                <w:webHidden/>
              </w:rPr>
              <w:fldChar w:fldCharType="begin"/>
            </w:r>
            <w:r w:rsidR="00AA3732">
              <w:rPr>
                <w:noProof/>
                <w:webHidden/>
              </w:rPr>
              <w:instrText xml:space="preserve"> PAGEREF _Toc468311696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7FFC147C"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697" w:history="1">
            <w:r w:rsidR="00AA3732" w:rsidRPr="00E3129F">
              <w:rPr>
                <w:rStyle w:val="Hyperlink"/>
                <w:noProof/>
              </w:rPr>
              <w:t xml:space="preserve">1.2 </w:t>
            </w:r>
            <w:r w:rsidR="00AA3732" w:rsidRPr="00E3129F">
              <w:rPr>
                <w:rStyle w:val="Hyperlink"/>
                <w:i/>
                <w:noProof/>
              </w:rPr>
              <w:t>Methylobacterium extorquens</w:t>
            </w:r>
            <w:r w:rsidR="00AA3732" w:rsidRPr="00E3129F">
              <w:rPr>
                <w:rStyle w:val="Hyperlink"/>
                <w:noProof/>
              </w:rPr>
              <w:t xml:space="preserve"> AM1</w:t>
            </w:r>
            <w:r w:rsidR="00AA3732">
              <w:rPr>
                <w:noProof/>
                <w:webHidden/>
              </w:rPr>
              <w:tab/>
            </w:r>
            <w:r w:rsidR="00AA3732">
              <w:rPr>
                <w:noProof/>
                <w:webHidden/>
              </w:rPr>
              <w:fldChar w:fldCharType="begin"/>
            </w:r>
            <w:r w:rsidR="00AA3732">
              <w:rPr>
                <w:noProof/>
                <w:webHidden/>
              </w:rPr>
              <w:instrText xml:space="preserve"> PAGEREF _Toc468311697 \h </w:instrText>
            </w:r>
            <w:r w:rsidR="00AA3732">
              <w:rPr>
                <w:noProof/>
                <w:webHidden/>
              </w:rPr>
            </w:r>
            <w:r w:rsidR="00AA3732">
              <w:rPr>
                <w:noProof/>
                <w:webHidden/>
              </w:rPr>
              <w:fldChar w:fldCharType="separate"/>
            </w:r>
            <w:r w:rsidR="00AA3732">
              <w:rPr>
                <w:noProof/>
                <w:webHidden/>
              </w:rPr>
              <w:t>11</w:t>
            </w:r>
            <w:r w:rsidR="00AA3732">
              <w:rPr>
                <w:noProof/>
                <w:webHidden/>
              </w:rPr>
              <w:fldChar w:fldCharType="end"/>
            </w:r>
          </w:hyperlink>
        </w:p>
        <w:p w14:paraId="04AAD85B" w14:textId="77777777" w:rsidR="00AA3732" w:rsidRDefault="008F6669">
          <w:pPr>
            <w:pStyle w:val="TOC3"/>
            <w:tabs>
              <w:tab w:val="right" w:leader="dot" w:pos="9350"/>
            </w:tabs>
            <w:rPr>
              <w:rFonts w:asciiTheme="minorHAnsi" w:hAnsiTheme="minorHAnsi"/>
              <w:noProof/>
              <w:sz w:val="24"/>
              <w:szCs w:val="24"/>
              <w:lang w:eastAsia="zh-CN"/>
            </w:rPr>
          </w:pPr>
          <w:hyperlink w:anchor="_Toc468311698" w:history="1">
            <w:r w:rsidR="00AA3732" w:rsidRPr="00E3129F">
              <w:rPr>
                <w:rStyle w:val="Hyperlink"/>
                <w:noProof/>
              </w:rPr>
              <w:t>1.2.1. Central carbon metabolism</w:t>
            </w:r>
            <w:r w:rsidR="00AA3732">
              <w:rPr>
                <w:noProof/>
                <w:webHidden/>
              </w:rPr>
              <w:tab/>
            </w:r>
            <w:r w:rsidR="00AA3732">
              <w:rPr>
                <w:noProof/>
                <w:webHidden/>
              </w:rPr>
              <w:fldChar w:fldCharType="begin"/>
            </w:r>
            <w:r w:rsidR="00AA3732">
              <w:rPr>
                <w:noProof/>
                <w:webHidden/>
              </w:rPr>
              <w:instrText xml:space="preserve"> PAGEREF _Toc468311698 \h </w:instrText>
            </w:r>
            <w:r w:rsidR="00AA3732">
              <w:rPr>
                <w:noProof/>
                <w:webHidden/>
              </w:rPr>
            </w:r>
            <w:r w:rsidR="00AA3732">
              <w:rPr>
                <w:noProof/>
                <w:webHidden/>
              </w:rPr>
              <w:fldChar w:fldCharType="separate"/>
            </w:r>
            <w:r w:rsidR="00AA3732">
              <w:rPr>
                <w:noProof/>
                <w:webHidden/>
              </w:rPr>
              <w:t>12</w:t>
            </w:r>
            <w:r w:rsidR="00AA3732">
              <w:rPr>
                <w:noProof/>
                <w:webHidden/>
              </w:rPr>
              <w:fldChar w:fldCharType="end"/>
            </w:r>
          </w:hyperlink>
        </w:p>
        <w:p w14:paraId="293ABF8D" w14:textId="77777777" w:rsidR="00AA3732" w:rsidRDefault="008F6669">
          <w:pPr>
            <w:pStyle w:val="TOC3"/>
            <w:tabs>
              <w:tab w:val="right" w:leader="dot" w:pos="9350"/>
            </w:tabs>
            <w:rPr>
              <w:rFonts w:asciiTheme="minorHAnsi" w:hAnsiTheme="minorHAnsi"/>
              <w:noProof/>
              <w:sz w:val="24"/>
              <w:szCs w:val="24"/>
              <w:lang w:eastAsia="zh-CN"/>
            </w:rPr>
          </w:pPr>
          <w:hyperlink w:anchor="_Toc468311699" w:history="1">
            <w:r w:rsidR="00AA3732" w:rsidRPr="00E3129F">
              <w:rPr>
                <w:rStyle w:val="Hyperlink"/>
                <w:noProof/>
              </w:rPr>
              <w:t>1.2.2. Central carbon metabolism response to environmental change and gene manipulation</w:t>
            </w:r>
            <w:r w:rsidR="00AA3732">
              <w:rPr>
                <w:noProof/>
                <w:webHidden/>
              </w:rPr>
              <w:tab/>
            </w:r>
            <w:r w:rsidR="00AA3732">
              <w:rPr>
                <w:noProof/>
                <w:webHidden/>
              </w:rPr>
              <w:fldChar w:fldCharType="begin"/>
            </w:r>
            <w:r w:rsidR="00AA3732">
              <w:rPr>
                <w:noProof/>
                <w:webHidden/>
              </w:rPr>
              <w:instrText xml:space="preserve"> PAGEREF _Toc468311699 \h </w:instrText>
            </w:r>
            <w:r w:rsidR="00AA3732">
              <w:rPr>
                <w:noProof/>
                <w:webHidden/>
              </w:rPr>
            </w:r>
            <w:r w:rsidR="00AA3732">
              <w:rPr>
                <w:noProof/>
                <w:webHidden/>
              </w:rPr>
              <w:fldChar w:fldCharType="separate"/>
            </w:r>
            <w:r w:rsidR="00AA3732">
              <w:rPr>
                <w:noProof/>
                <w:webHidden/>
              </w:rPr>
              <w:t>13</w:t>
            </w:r>
            <w:r w:rsidR="00AA3732">
              <w:rPr>
                <w:noProof/>
                <w:webHidden/>
              </w:rPr>
              <w:fldChar w:fldCharType="end"/>
            </w:r>
          </w:hyperlink>
        </w:p>
        <w:p w14:paraId="4DD3494E"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00" w:history="1">
            <w:r w:rsidR="00AA3732" w:rsidRPr="00E3129F">
              <w:rPr>
                <w:rStyle w:val="Hyperlink"/>
                <w:noProof/>
              </w:rPr>
              <w:t xml:space="preserve">1.3 </w:t>
            </w:r>
            <w:r w:rsidR="00AA3732" w:rsidRPr="00E3129F">
              <w:rPr>
                <w:rStyle w:val="Hyperlink"/>
                <w:i/>
                <w:noProof/>
              </w:rPr>
              <w:t>Methylomicrobium buryatense</w:t>
            </w:r>
            <w:r w:rsidR="00AA3732" w:rsidRPr="00E3129F">
              <w:rPr>
                <w:rStyle w:val="Hyperlink"/>
                <w:noProof/>
              </w:rPr>
              <w:t xml:space="preserve"> 5G</w:t>
            </w:r>
            <w:r w:rsidR="00AA3732">
              <w:rPr>
                <w:noProof/>
                <w:webHidden/>
              </w:rPr>
              <w:tab/>
            </w:r>
            <w:r w:rsidR="00AA3732">
              <w:rPr>
                <w:noProof/>
                <w:webHidden/>
              </w:rPr>
              <w:fldChar w:fldCharType="begin"/>
            </w:r>
            <w:r w:rsidR="00AA3732">
              <w:rPr>
                <w:noProof/>
                <w:webHidden/>
              </w:rPr>
              <w:instrText xml:space="preserve"> PAGEREF _Toc468311700 \h </w:instrText>
            </w:r>
            <w:r w:rsidR="00AA3732">
              <w:rPr>
                <w:noProof/>
                <w:webHidden/>
              </w:rPr>
            </w:r>
            <w:r w:rsidR="00AA3732">
              <w:rPr>
                <w:noProof/>
                <w:webHidden/>
              </w:rPr>
              <w:fldChar w:fldCharType="separate"/>
            </w:r>
            <w:r w:rsidR="00AA3732">
              <w:rPr>
                <w:noProof/>
                <w:webHidden/>
              </w:rPr>
              <w:t>14</w:t>
            </w:r>
            <w:r w:rsidR="00AA3732">
              <w:rPr>
                <w:noProof/>
                <w:webHidden/>
              </w:rPr>
              <w:fldChar w:fldCharType="end"/>
            </w:r>
          </w:hyperlink>
        </w:p>
        <w:p w14:paraId="3DB0214F" w14:textId="77777777" w:rsidR="00AA3732" w:rsidRDefault="008F6669">
          <w:pPr>
            <w:pStyle w:val="TOC3"/>
            <w:tabs>
              <w:tab w:val="right" w:leader="dot" w:pos="9350"/>
            </w:tabs>
            <w:rPr>
              <w:rFonts w:asciiTheme="minorHAnsi" w:hAnsiTheme="minorHAnsi"/>
              <w:noProof/>
              <w:sz w:val="24"/>
              <w:szCs w:val="24"/>
              <w:lang w:eastAsia="zh-CN"/>
            </w:rPr>
          </w:pPr>
          <w:hyperlink w:anchor="_Toc468311701" w:history="1">
            <w:r w:rsidR="00AA3732" w:rsidRPr="00E3129F">
              <w:rPr>
                <w:rStyle w:val="Hyperlink"/>
                <w:noProof/>
              </w:rPr>
              <w:t>1.3.1 Central carbon metabolism</w:t>
            </w:r>
            <w:r w:rsidR="00AA3732">
              <w:rPr>
                <w:noProof/>
                <w:webHidden/>
              </w:rPr>
              <w:tab/>
            </w:r>
            <w:r w:rsidR="00AA3732">
              <w:rPr>
                <w:noProof/>
                <w:webHidden/>
              </w:rPr>
              <w:fldChar w:fldCharType="begin"/>
            </w:r>
            <w:r w:rsidR="00AA3732">
              <w:rPr>
                <w:noProof/>
                <w:webHidden/>
              </w:rPr>
              <w:instrText xml:space="preserve"> PAGEREF _Toc468311701 \h </w:instrText>
            </w:r>
            <w:r w:rsidR="00AA3732">
              <w:rPr>
                <w:noProof/>
                <w:webHidden/>
              </w:rPr>
            </w:r>
            <w:r w:rsidR="00AA3732">
              <w:rPr>
                <w:noProof/>
                <w:webHidden/>
              </w:rPr>
              <w:fldChar w:fldCharType="separate"/>
            </w:r>
            <w:r w:rsidR="00AA3732">
              <w:rPr>
                <w:noProof/>
                <w:webHidden/>
              </w:rPr>
              <w:t>14</w:t>
            </w:r>
            <w:r w:rsidR="00AA3732">
              <w:rPr>
                <w:noProof/>
                <w:webHidden/>
              </w:rPr>
              <w:fldChar w:fldCharType="end"/>
            </w:r>
          </w:hyperlink>
        </w:p>
        <w:p w14:paraId="28FAA3B9" w14:textId="77777777" w:rsidR="00AA3732" w:rsidRDefault="008F6669">
          <w:pPr>
            <w:pStyle w:val="TOC3"/>
            <w:tabs>
              <w:tab w:val="right" w:leader="dot" w:pos="9350"/>
            </w:tabs>
            <w:rPr>
              <w:rFonts w:asciiTheme="minorHAnsi" w:hAnsiTheme="minorHAnsi"/>
              <w:noProof/>
              <w:sz w:val="24"/>
              <w:szCs w:val="24"/>
              <w:lang w:eastAsia="zh-CN"/>
            </w:rPr>
          </w:pPr>
          <w:hyperlink w:anchor="_Toc468311702" w:history="1">
            <w:r w:rsidR="00AA3732" w:rsidRPr="00E3129F">
              <w:rPr>
                <w:rStyle w:val="Hyperlink"/>
                <w:rFonts w:cs="Arial"/>
                <w:noProof/>
              </w:rPr>
              <w:t>1.3.2 Metabolic engineer for lipid production</w:t>
            </w:r>
            <w:r w:rsidR="00AA3732">
              <w:rPr>
                <w:noProof/>
                <w:webHidden/>
              </w:rPr>
              <w:tab/>
            </w:r>
            <w:r w:rsidR="00AA3732">
              <w:rPr>
                <w:noProof/>
                <w:webHidden/>
              </w:rPr>
              <w:fldChar w:fldCharType="begin"/>
            </w:r>
            <w:r w:rsidR="00AA3732">
              <w:rPr>
                <w:noProof/>
                <w:webHidden/>
              </w:rPr>
              <w:instrText xml:space="preserve"> PAGEREF _Toc468311702 \h </w:instrText>
            </w:r>
            <w:r w:rsidR="00AA3732">
              <w:rPr>
                <w:noProof/>
                <w:webHidden/>
              </w:rPr>
            </w:r>
            <w:r w:rsidR="00AA3732">
              <w:rPr>
                <w:noProof/>
                <w:webHidden/>
              </w:rPr>
              <w:fldChar w:fldCharType="separate"/>
            </w:r>
            <w:r w:rsidR="00AA3732">
              <w:rPr>
                <w:noProof/>
                <w:webHidden/>
              </w:rPr>
              <w:t>15</w:t>
            </w:r>
            <w:r w:rsidR="00AA3732">
              <w:rPr>
                <w:noProof/>
                <w:webHidden/>
              </w:rPr>
              <w:fldChar w:fldCharType="end"/>
            </w:r>
          </w:hyperlink>
        </w:p>
        <w:p w14:paraId="3267C9BF"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03" w:history="1">
            <w:r w:rsidR="00AA3732" w:rsidRPr="00E3129F">
              <w:rPr>
                <w:rStyle w:val="Hyperlink"/>
                <w:noProof/>
              </w:rPr>
              <w:t>1.4 Metabolic flux analysis</w:t>
            </w:r>
            <w:r w:rsidR="00AA3732">
              <w:rPr>
                <w:noProof/>
                <w:webHidden/>
              </w:rPr>
              <w:tab/>
            </w:r>
            <w:r w:rsidR="00AA3732">
              <w:rPr>
                <w:noProof/>
                <w:webHidden/>
              </w:rPr>
              <w:fldChar w:fldCharType="begin"/>
            </w:r>
            <w:r w:rsidR="00AA3732">
              <w:rPr>
                <w:noProof/>
                <w:webHidden/>
              </w:rPr>
              <w:instrText xml:space="preserve"> PAGEREF _Toc468311703 \h </w:instrText>
            </w:r>
            <w:r w:rsidR="00AA3732">
              <w:rPr>
                <w:noProof/>
                <w:webHidden/>
              </w:rPr>
            </w:r>
            <w:r w:rsidR="00AA3732">
              <w:rPr>
                <w:noProof/>
                <w:webHidden/>
              </w:rPr>
              <w:fldChar w:fldCharType="separate"/>
            </w:r>
            <w:r w:rsidR="00AA3732">
              <w:rPr>
                <w:noProof/>
                <w:webHidden/>
              </w:rPr>
              <w:t>16</w:t>
            </w:r>
            <w:r w:rsidR="00AA3732">
              <w:rPr>
                <w:noProof/>
                <w:webHidden/>
              </w:rPr>
              <w:fldChar w:fldCharType="end"/>
            </w:r>
          </w:hyperlink>
        </w:p>
        <w:p w14:paraId="52B3808C" w14:textId="77777777" w:rsidR="00AA3732" w:rsidRDefault="008F6669">
          <w:pPr>
            <w:pStyle w:val="TOC3"/>
            <w:tabs>
              <w:tab w:val="right" w:leader="dot" w:pos="9350"/>
            </w:tabs>
            <w:rPr>
              <w:rFonts w:asciiTheme="minorHAnsi" w:hAnsiTheme="minorHAnsi"/>
              <w:noProof/>
              <w:sz w:val="24"/>
              <w:szCs w:val="24"/>
              <w:lang w:eastAsia="zh-CN"/>
            </w:rPr>
          </w:pPr>
          <w:hyperlink w:anchor="_Toc468311704" w:history="1">
            <w:r w:rsidR="00AA3732" w:rsidRPr="00E3129F">
              <w:rPr>
                <w:rStyle w:val="Hyperlink"/>
                <w:rFonts w:cs="Arial"/>
                <w:noProof/>
              </w:rPr>
              <w:t xml:space="preserve">1.4.1 Stationary </w:t>
            </w:r>
            <w:r w:rsidR="00AA3732" w:rsidRPr="00E3129F">
              <w:rPr>
                <w:rStyle w:val="Hyperlink"/>
                <w:rFonts w:cs="Arial"/>
                <w:noProof/>
                <w:vertAlign w:val="superscript"/>
              </w:rPr>
              <w:t>13</w:t>
            </w:r>
            <w:r w:rsidR="00AA3732" w:rsidRPr="00E3129F">
              <w:rPr>
                <w:rStyle w:val="Hyperlink"/>
                <w:rFonts w:cs="Arial"/>
                <w:noProof/>
              </w:rPr>
              <w:t>C flux analysis</w:t>
            </w:r>
            <w:r w:rsidR="00AA3732">
              <w:rPr>
                <w:noProof/>
                <w:webHidden/>
              </w:rPr>
              <w:tab/>
            </w:r>
            <w:r w:rsidR="00AA3732">
              <w:rPr>
                <w:noProof/>
                <w:webHidden/>
              </w:rPr>
              <w:fldChar w:fldCharType="begin"/>
            </w:r>
            <w:r w:rsidR="00AA3732">
              <w:rPr>
                <w:noProof/>
                <w:webHidden/>
              </w:rPr>
              <w:instrText xml:space="preserve"> PAGEREF _Toc468311704 \h </w:instrText>
            </w:r>
            <w:r w:rsidR="00AA3732">
              <w:rPr>
                <w:noProof/>
                <w:webHidden/>
              </w:rPr>
            </w:r>
            <w:r w:rsidR="00AA3732">
              <w:rPr>
                <w:noProof/>
                <w:webHidden/>
              </w:rPr>
              <w:fldChar w:fldCharType="separate"/>
            </w:r>
            <w:r w:rsidR="00AA3732">
              <w:rPr>
                <w:noProof/>
                <w:webHidden/>
              </w:rPr>
              <w:t>16</w:t>
            </w:r>
            <w:r w:rsidR="00AA3732">
              <w:rPr>
                <w:noProof/>
                <w:webHidden/>
              </w:rPr>
              <w:fldChar w:fldCharType="end"/>
            </w:r>
          </w:hyperlink>
        </w:p>
        <w:p w14:paraId="4B5764BC" w14:textId="77777777" w:rsidR="00AA3732" w:rsidRDefault="008F6669">
          <w:pPr>
            <w:pStyle w:val="TOC3"/>
            <w:tabs>
              <w:tab w:val="right" w:leader="dot" w:pos="9350"/>
            </w:tabs>
            <w:rPr>
              <w:rFonts w:asciiTheme="minorHAnsi" w:hAnsiTheme="minorHAnsi"/>
              <w:noProof/>
              <w:sz w:val="24"/>
              <w:szCs w:val="24"/>
              <w:lang w:eastAsia="zh-CN"/>
            </w:rPr>
          </w:pPr>
          <w:hyperlink w:anchor="_Toc468311705" w:history="1">
            <w:r w:rsidR="00AA3732" w:rsidRPr="00E3129F">
              <w:rPr>
                <w:rStyle w:val="Hyperlink"/>
                <w:rFonts w:cs="Arial"/>
                <w:noProof/>
              </w:rPr>
              <w:t xml:space="preserve">1.4.2 Non-stationary </w:t>
            </w:r>
            <w:r w:rsidR="00AA3732" w:rsidRPr="00E3129F">
              <w:rPr>
                <w:rStyle w:val="Hyperlink"/>
                <w:rFonts w:cs="Arial"/>
                <w:noProof/>
                <w:vertAlign w:val="superscript"/>
              </w:rPr>
              <w:t xml:space="preserve">13 </w:t>
            </w:r>
            <w:r w:rsidR="00AA3732" w:rsidRPr="00E3129F">
              <w:rPr>
                <w:rStyle w:val="Hyperlink"/>
                <w:rFonts w:cs="Arial"/>
                <w:noProof/>
              </w:rPr>
              <w:t>C flux analysis</w:t>
            </w:r>
            <w:r w:rsidR="00AA3732">
              <w:rPr>
                <w:noProof/>
                <w:webHidden/>
              </w:rPr>
              <w:tab/>
            </w:r>
            <w:r w:rsidR="00AA3732">
              <w:rPr>
                <w:noProof/>
                <w:webHidden/>
              </w:rPr>
              <w:fldChar w:fldCharType="begin"/>
            </w:r>
            <w:r w:rsidR="00AA3732">
              <w:rPr>
                <w:noProof/>
                <w:webHidden/>
              </w:rPr>
              <w:instrText xml:space="preserve"> PAGEREF _Toc468311705 \h </w:instrText>
            </w:r>
            <w:r w:rsidR="00AA3732">
              <w:rPr>
                <w:noProof/>
                <w:webHidden/>
              </w:rPr>
            </w:r>
            <w:r w:rsidR="00AA3732">
              <w:rPr>
                <w:noProof/>
                <w:webHidden/>
              </w:rPr>
              <w:fldChar w:fldCharType="separate"/>
            </w:r>
            <w:r w:rsidR="00AA3732">
              <w:rPr>
                <w:noProof/>
                <w:webHidden/>
              </w:rPr>
              <w:t>17</w:t>
            </w:r>
            <w:r w:rsidR="00AA3732">
              <w:rPr>
                <w:noProof/>
                <w:webHidden/>
              </w:rPr>
              <w:fldChar w:fldCharType="end"/>
            </w:r>
          </w:hyperlink>
        </w:p>
        <w:p w14:paraId="72C04D05"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06" w:history="1">
            <w:r w:rsidR="00AA3732" w:rsidRPr="00E3129F">
              <w:rPr>
                <w:rStyle w:val="Hyperlink"/>
                <w:noProof/>
              </w:rPr>
              <w:t>1.5 Goals and dissertation layout</w:t>
            </w:r>
            <w:r w:rsidR="00AA3732">
              <w:rPr>
                <w:noProof/>
                <w:webHidden/>
              </w:rPr>
              <w:tab/>
            </w:r>
            <w:r w:rsidR="00AA3732">
              <w:rPr>
                <w:noProof/>
                <w:webHidden/>
              </w:rPr>
              <w:fldChar w:fldCharType="begin"/>
            </w:r>
            <w:r w:rsidR="00AA3732">
              <w:rPr>
                <w:noProof/>
                <w:webHidden/>
              </w:rPr>
              <w:instrText xml:space="preserve"> PAGEREF _Toc468311706 \h </w:instrText>
            </w:r>
            <w:r w:rsidR="00AA3732">
              <w:rPr>
                <w:noProof/>
                <w:webHidden/>
              </w:rPr>
            </w:r>
            <w:r w:rsidR="00AA3732">
              <w:rPr>
                <w:noProof/>
                <w:webHidden/>
              </w:rPr>
              <w:fldChar w:fldCharType="separate"/>
            </w:r>
            <w:r w:rsidR="00AA3732">
              <w:rPr>
                <w:noProof/>
                <w:webHidden/>
              </w:rPr>
              <w:t>17</w:t>
            </w:r>
            <w:r w:rsidR="00AA3732">
              <w:rPr>
                <w:noProof/>
                <w:webHidden/>
              </w:rPr>
              <w:fldChar w:fldCharType="end"/>
            </w:r>
          </w:hyperlink>
        </w:p>
        <w:p w14:paraId="5657B905" w14:textId="77777777" w:rsidR="00AA3732" w:rsidRDefault="008F6669">
          <w:pPr>
            <w:pStyle w:val="TOC1"/>
            <w:tabs>
              <w:tab w:val="right" w:leader="dot" w:pos="9350"/>
            </w:tabs>
            <w:rPr>
              <w:rFonts w:asciiTheme="minorHAnsi" w:hAnsiTheme="minorHAnsi"/>
              <w:b w:val="0"/>
              <w:noProof/>
              <w:sz w:val="24"/>
              <w:lang w:eastAsia="zh-CN"/>
            </w:rPr>
          </w:pPr>
          <w:hyperlink w:anchor="_Toc468311707" w:history="1">
            <w:r w:rsidR="00AA3732" w:rsidRPr="00AA3732">
              <w:rPr>
                <w:rStyle w:val="Hyperlink"/>
                <w:noProof/>
                <w:sz w:val="24"/>
              </w:rPr>
              <w:t>Chapter 2: Difference in C3-C4 metabolism underlies tradeoff between growth rate and biomass yield in Methylobacterium extorquens AM1</w:t>
            </w:r>
            <w:r w:rsidR="00AA3732">
              <w:rPr>
                <w:noProof/>
                <w:webHidden/>
              </w:rPr>
              <w:tab/>
            </w:r>
            <w:r w:rsidR="00AA3732">
              <w:rPr>
                <w:noProof/>
                <w:webHidden/>
              </w:rPr>
              <w:fldChar w:fldCharType="begin"/>
            </w:r>
            <w:r w:rsidR="00AA3732">
              <w:rPr>
                <w:noProof/>
                <w:webHidden/>
              </w:rPr>
              <w:instrText xml:space="preserve"> PAGEREF _Toc468311707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7E61C68F"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08"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_Toc468311708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080B62AD"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09" w:history="1">
            <w:r w:rsidR="00AA3732" w:rsidRPr="00E3129F">
              <w:rPr>
                <w:rStyle w:val="Hyperlink"/>
                <w:noProof/>
              </w:rPr>
              <w:t>Background</w:t>
            </w:r>
            <w:r w:rsidR="00AA3732">
              <w:rPr>
                <w:noProof/>
                <w:webHidden/>
              </w:rPr>
              <w:tab/>
            </w:r>
            <w:r w:rsidR="00AA3732">
              <w:rPr>
                <w:noProof/>
                <w:webHidden/>
              </w:rPr>
              <w:fldChar w:fldCharType="begin"/>
            </w:r>
            <w:r w:rsidR="00AA3732">
              <w:rPr>
                <w:noProof/>
                <w:webHidden/>
              </w:rPr>
              <w:instrText xml:space="preserve"> PAGEREF _Toc468311709 \h </w:instrText>
            </w:r>
            <w:r w:rsidR="00AA3732">
              <w:rPr>
                <w:noProof/>
                <w:webHidden/>
              </w:rPr>
            </w:r>
            <w:r w:rsidR="00AA3732">
              <w:rPr>
                <w:noProof/>
                <w:webHidden/>
              </w:rPr>
              <w:fldChar w:fldCharType="separate"/>
            </w:r>
            <w:r w:rsidR="00AA3732">
              <w:rPr>
                <w:noProof/>
                <w:webHidden/>
              </w:rPr>
              <w:t>19</w:t>
            </w:r>
            <w:r w:rsidR="00AA3732">
              <w:rPr>
                <w:noProof/>
                <w:webHidden/>
              </w:rPr>
              <w:fldChar w:fldCharType="end"/>
            </w:r>
          </w:hyperlink>
        </w:p>
        <w:p w14:paraId="37D52ABD"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10"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_Toc468311710 \h </w:instrText>
            </w:r>
            <w:r w:rsidR="00AA3732">
              <w:rPr>
                <w:noProof/>
                <w:webHidden/>
              </w:rPr>
            </w:r>
            <w:r w:rsidR="00AA3732">
              <w:rPr>
                <w:noProof/>
                <w:webHidden/>
              </w:rPr>
              <w:fldChar w:fldCharType="separate"/>
            </w:r>
            <w:r w:rsidR="00AA3732">
              <w:rPr>
                <w:noProof/>
                <w:webHidden/>
              </w:rPr>
              <w:t>21</w:t>
            </w:r>
            <w:r w:rsidR="00AA3732">
              <w:rPr>
                <w:noProof/>
                <w:webHidden/>
              </w:rPr>
              <w:fldChar w:fldCharType="end"/>
            </w:r>
          </w:hyperlink>
        </w:p>
        <w:p w14:paraId="07D56EBA" w14:textId="77777777" w:rsidR="00AA3732" w:rsidRDefault="008F6669">
          <w:pPr>
            <w:pStyle w:val="TOC3"/>
            <w:tabs>
              <w:tab w:val="right" w:leader="dot" w:pos="9350"/>
            </w:tabs>
            <w:rPr>
              <w:rFonts w:asciiTheme="minorHAnsi" w:hAnsiTheme="minorHAnsi"/>
              <w:noProof/>
              <w:sz w:val="24"/>
              <w:szCs w:val="24"/>
              <w:lang w:eastAsia="zh-CN"/>
            </w:rPr>
          </w:pPr>
          <w:hyperlink w:anchor="_Toc468311711" w:history="1">
            <w:r w:rsidR="00AA3732" w:rsidRPr="00E3129F">
              <w:rPr>
                <w:rStyle w:val="Hyperlink"/>
                <w:noProof/>
              </w:rPr>
              <w:t xml:space="preserve">2.1 Tradeoff between growth rate and biomass yield exists in </w:t>
            </w:r>
            <w:r w:rsidR="00AA3732" w:rsidRPr="00E3129F">
              <w:rPr>
                <w:rStyle w:val="Hyperlink"/>
                <w:i/>
                <w:noProof/>
              </w:rPr>
              <w:t xml:space="preserve">M. extorquens </w:t>
            </w:r>
            <w:r w:rsidR="00AA3732" w:rsidRPr="00E3129F">
              <w:rPr>
                <w:rStyle w:val="Hyperlink"/>
                <w:noProof/>
              </w:rPr>
              <w:t>AM1 for two strain variants as well as two cobalt levels</w:t>
            </w:r>
            <w:r w:rsidR="00AA3732">
              <w:rPr>
                <w:noProof/>
                <w:webHidden/>
              </w:rPr>
              <w:tab/>
            </w:r>
            <w:r w:rsidR="00AA3732">
              <w:rPr>
                <w:noProof/>
                <w:webHidden/>
              </w:rPr>
              <w:fldChar w:fldCharType="begin"/>
            </w:r>
            <w:r w:rsidR="00AA3732">
              <w:rPr>
                <w:noProof/>
                <w:webHidden/>
              </w:rPr>
              <w:instrText xml:space="preserve"> PAGEREF _Toc468311711 \h </w:instrText>
            </w:r>
            <w:r w:rsidR="00AA3732">
              <w:rPr>
                <w:noProof/>
                <w:webHidden/>
              </w:rPr>
            </w:r>
            <w:r w:rsidR="00AA3732">
              <w:rPr>
                <w:noProof/>
                <w:webHidden/>
              </w:rPr>
              <w:fldChar w:fldCharType="separate"/>
            </w:r>
            <w:r w:rsidR="00AA3732">
              <w:rPr>
                <w:noProof/>
                <w:webHidden/>
              </w:rPr>
              <w:t>21</w:t>
            </w:r>
            <w:r w:rsidR="00AA3732">
              <w:rPr>
                <w:noProof/>
                <w:webHidden/>
              </w:rPr>
              <w:fldChar w:fldCharType="end"/>
            </w:r>
          </w:hyperlink>
        </w:p>
        <w:p w14:paraId="220595C9" w14:textId="77777777" w:rsidR="00AA3732" w:rsidRDefault="008F6669">
          <w:pPr>
            <w:pStyle w:val="TOC3"/>
            <w:tabs>
              <w:tab w:val="right" w:leader="dot" w:pos="9350"/>
            </w:tabs>
            <w:rPr>
              <w:rFonts w:asciiTheme="minorHAnsi" w:hAnsiTheme="minorHAnsi"/>
              <w:noProof/>
              <w:sz w:val="24"/>
              <w:szCs w:val="24"/>
              <w:lang w:eastAsia="zh-CN"/>
            </w:rPr>
          </w:pPr>
          <w:hyperlink w:anchor="_Toc468311712" w:history="1">
            <w:r w:rsidR="00AA3732" w:rsidRPr="00E3129F">
              <w:rPr>
                <w:rStyle w:val="Hyperlink"/>
                <w:noProof/>
              </w:rPr>
              <w:t>2.2 Flux distribution reveals different metabolic strategies in C</w:t>
            </w:r>
            <w:r w:rsidR="00AA3732" w:rsidRPr="00E3129F">
              <w:rPr>
                <w:rStyle w:val="Hyperlink"/>
                <w:noProof/>
                <w:vertAlign w:val="subscript"/>
              </w:rPr>
              <w:t>3</w:t>
            </w:r>
            <w:r w:rsidR="00AA3732" w:rsidRPr="00E3129F">
              <w:rPr>
                <w:rStyle w:val="Hyperlink"/>
                <w:noProof/>
              </w:rPr>
              <w:t>-C</w:t>
            </w:r>
            <w:r w:rsidR="00AA3732" w:rsidRPr="00E3129F">
              <w:rPr>
                <w:rStyle w:val="Hyperlink"/>
                <w:noProof/>
                <w:vertAlign w:val="subscript"/>
              </w:rPr>
              <w:t>4</w:t>
            </w:r>
            <w:r w:rsidR="00AA3732" w:rsidRPr="00E3129F">
              <w:rPr>
                <w:rStyle w:val="Hyperlink"/>
                <w:noProof/>
              </w:rPr>
              <w:t xml:space="preserve"> interconversions and the formate branch node</w:t>
            </w:r>
            <w:r w:rsidR="00AA3732">
              <w:rPr>
                <w:noProof/>
                <w:webHidden/>
              </w:rPr>
              <w:tab/>
            </w:r>
            <w:r w:rsidR="00AA3732">
              <w:rPr>
                <w:noProof/>
                <w:webHidden/>
              </w:rPr>
              <w:fldChar w:fldCharType="begin"/>
            </w:r>
            <w:r w:rsidR="00AA3732">
              <w:rPr>
                <w:noProof/>
                <w:webHidden/>
              </w:rPr>
              <w:instrText xml:space="preserve"> PAGEREF _Toc468311712 \h </w:instrText>
            </w:r>
            <w:r w:rsidR="00AA3732">
              <w:rPr>
                <w:noProof/>
                <w:webHidden/>
              </w:rPr>
            </w:r>
            <w:r w:rsidR="00AA3732">
              <w:rPr>
                <w:noProof/>
                <w:webHidden/>
              </w:rPr>
              <w:fldChar w:fldCharType="separate"/>
            </w:r>
            <w:r w:rsidR="00AA3732">
              <w:rPr>
                <w:noProof/>
                <w:webHidden/>
              </w:rPr>
              <w:t>22</w:t>
            </w:r>
            <w:r w:rsidR="00AA3732">
              <w:rPr>
                <w:noProof/>
                <w:webHidden/>
              </w:rPr>
              <w:fldChar w:fldCharType="end"/>
            </w:r>
          </w:hyperlink>
        </w:p>
        <w:p w14:paraId="4B500D0C" w14:textId="77777777" w:rsidR="00AA3732" w:rsidRDefault="008F6669">
          <w:pPr>
            <w:pStyle w:val="TOC3"/>
            <w:tabs>
              <w:tab w:val="right" w:leader="dot" w:pos="9350"/>
            </w:tabs>
            <w:rPr>
              <w:rFonts w:asciiTheme="minorHAnsi" w:hAnsiTheme="minorHAnsi"/>
              <w:noProof/>
              <w:sz w:val="24"/>
              <w:szCs w:val="24"/>
              <w:lang w:eastAsia="zh-CN"/>
            </w:rPr>
          </w:pPr>
          <w:hyperlink w:anchor="_Toc468311713" w:history="1">
            <w:r w:rsidR="00AA3732" w:rsidRPr="00E3129F">
              <w:rPr>
                <w:rStyle w:val="Hyperlink"/>
                <w:noProof/>
              </w:rPr>
              <w:t>2.3 Phenotypic differences of mutants</w:t>
            </w:r>
            <w:r w:rsidR="00AA3732">
              <w:rPr>
                <w:noProof/>
                <w:webHidden/>
              </w:rPr>
              <w:tab/>
            </w:r>
            <w:r w:rsidR="00AA3732">
              <w:rPr>
                <w:noProof/>
                <w:webHidden/>
              </w:rPr>
              <w:fldChar w:fldCharType="begin"/>
            </w:r>
            <w:r w:rsidR="00AA3732">
              <w:rPr>
                <w:noProof/>
                <w:webHidden/>
              </w:rPr>
              <w:instrText xml:space="preserve"> PAGEREF _Toc468311713 \h </w:instrText>
            </w:r>
            <w:r w:rsidR="00AA3732">
              <w:rPr>
                <w:noProof/>
                <w:webHidden/>
              </w:rPr>
            </w:r>
            <w:r w:rsidR="00AA3732">
              <w:rPr>
                <w:noProof/>
                <w:webHidden/>
              </w:rPr>
              <w:fldChar w:fldCharType="separate"/>
            </w:r>
            <w:r w:rsidR="00AA3732">
              <w:rPr>
                <w:noProof/>
                <w:webHidden/>
              </w:rPr>
              <w:t>24</w:t>
            </w:r>
            <w:r w:rsidR="00AA3732">
              <w:rPr>
                <w:noProof/>
                <w:webHidden/>
              </w:rPr>
              <w:fldChar w:fldCharType="end"/>
            </w:r>
          </w:hyperlink>
        </w:p>
        <w:p w14:paraId="591154B5"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14"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_Toc468311714 \h </w:instrText>
            </w:r>
            <w:r w:rsidR="00AA3732">
              <w:rPr>
                <w:noProof/>
                <w:webHidden/>
              </w:rPr>
            </w:r>
            <w:r w:rsidR="00AA3732">
              <w:rPr>
                <w:noProof/>
                <w:webHidden/>
              </w:rPr>
              <w:fldChar w:fldCharType="separate"/>
            </w:r>
            <w:r w:rsidR="00AA3732">
              <w:rPr>
                <w:noProof/>
                <w:webHidden/>
              </w:rPr>
              <w:t>25</w:t>
            </w:r>
            <w:r w:rsidR="00AA3732">
              <w:rPr>
                <w:noProof/>
                <w:webHidden/>
              </w:rPr>
              <w:fldChar w:fldCharType="end"/>
            </w:r>
          </w:hyperlink>
        </w:p>
        <w:p w14:paraId="08EB8B4F" w14:textId="77777777" w:rsidR="00AA3732" w:rsidRDefault="008F6669">
          <w:pPr>
            <w:pStyle w:val="TOC3"/>
            <w:tabs>
              <w:tab w:val="right" w:leader="dot" w:pos="9350"/>
            </w:tabs>
            <w:rPr>
              <w:rFonts w:asciiTheme="minorHAnsi" w:hAnsiTheme="minorHAnsi"/>
              <w:noProof/>
              <w:sz w:val="24"/>
              <w:szCs w:val="24"/>
              <w:lang w:eastAsia="zh-CN"/>
            </w:rPr>
          </w:pPr>
          <w:hyperlink w:anchor="_Toc468311715"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_Toc468311715 \h </w:instrText>
            </w:r>
            <w:r w:rsidR="00AA3732">
              <w:rPr>
                <w:noProof/>
                <w:webHidden/>
              </w:rPr>
            </w:r>
            <w:r w:rsidR="00AA3732">
              <w:rPr>
                <w:noProof/>
                <w:webHidden/>
              </w:rPr>
              <w:fldChar w:fldCharType="separate"/>
            </w:r>
            <w:r w:rsidR="00AA3732">
              <w:rPr>
                <w:noProof/>
                <w:webHidden/>
              </w:rPr>
              <w:t>27</w:t>
            </w:r>
            <w:r w:rsidR="00AA3732">
              <w:rPr>
                <w:noProof/>
                <w:webHidden/>
              </w:rPr>
              <w:fldChar w:fldCharType="end"/>
            </w:r>
          </w:hyperlink>
        </w:p>
        <w:p w14:paraId="4F4C0A39"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16" w:history="1">
            <w:r w:rsidR="00AA3732" w:rsidRPr="00E3129F">
              <w:rPr>
                <w:rStyle w:val="Hyperlink"/>
                <w:noProof/>
              </w:rPr>
              <w:t>List of abbreviations</w:t>
            </w:r>
            <w:r w:rsidR="00AA3732">
              <w:rPr>
                <w:noProof/>
                <w:webHidden/>
              </w:rPr>
              <w:tab/>
            </w:r>
            <w:r w:rsidR="00AA3732">
              <w:rPr>
                <w:noProof/>
                <w:webHidden/>
              </w:rPr>
              <w:fldChar w:fldCharType="begin"/>
            </w:r>
            <w:r w:rsidR="00AA3732">
              <w:rPr>
                <w:noProof/>
                <w:webHidden/>
              </w:rPr>
              <w:instrText xml:space="preserve"> PAGEREF _Toc468311716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33311336"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17" w:history="1">
            <w:r w:rsidR="00AA3732" w:rsidRPr="00E3129F">
              <w:rPr>
                <w:rStyle w:val="Hyperlink"/>
                <w:noProof/>
              </w:rPr>
              <w:t>Methods</w:t>
            </w:r>
            <w:r w:rsidR="00AA3732">
              <w:rPr>
                <w:noProof/>
                <w:webHidden/>
              </w:rPr>
              <w:tab/>
            </w:r>
            <w:r w:rsidR="00AA3732">
              <w:rPr>
                <w:noProof/>
                <w:webHidden/>
              </w:rPr>
              <w:fldChar w:fldCharType="begin"/>
            </w:r>
            <w:r w:rsidR="00AA3732">
              <w:rPr>
                <w:noProof/>
                <w:webHidden/>
              </w:rPr>
              <w:instrText xml:space="preserve"> PAGEREF _Toc468311717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7CBAC4AC" w14:textId="77777777" w:rsidR="00AA3732" w:rsidRDefault="008F6669">
          <w:pPr>
            <w:pStyle w:val="TOC3"/>
            <w:tabs>
              <w:tab w:val="right" w:leader="dot" w:pos="9350"/>
            </w:tabs>
            <w:rPr>
              <w:rFonts w:asciiTheme="minorHAnsi" w:hAnsiTheme="minorHAnsi"/>
              <w:noProof/>
              <w:sz w:val="24"/>
              <w:szCs w:val="24"/>
              <w:lang w:eastAsia="zh-CN"/>
            </w:rPr>
          </w:pPr>
          <w:hyperlink w:anchor="_Toc468311718" w:history="1">
            <w:r w:rsidR="00AA3732" w:rsidRPr="00E3129F">
              <w:rPr>
                <w:rStyle w:val="Hyperlink"/>
                <w:noProof/>
              </w:rPr>
              <w:t>2.4 Chemicals and medium composition</w:t>
            </w:r>
            <w:r w:rsidR="00AA3732">
              <w:rPr>
                <w:noProof/>
                <w:webHidden/>
              </w:rPr>
              <w:tab/>
            </w:r>
            <w:r w:rsidR="00AA3732">
              <w:rPr>
                <w:noProof/>
                <w:webHidden/>
              </w:rPr>
              <w:fldChar w:fldCharType="begin"/>
            </w:r>
            <w:r w:rsidR="00AA3732">
              <w:rPr>
                <w:noProof/>
                <w:webHidden/>
              </w:rPr>
              <w:instrText xml:space="preserve"> PAGEREF _Toc468311718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2417F452" w14:textId="77777777" w:rsidR="00AA3732" w:rsidRDefault="008F6669">
          <w:pPr>
            <w:pStyle w:val="TOC3"/>
            <w:tabs>
              <w:tab w:val="right" w:leader="dot" w:pos="9350"/>
            </w:tabs>
            <w:rPr>
              <w:rFonts w:asciiTheme="minorHAnsi" w:hAnsiTheme="minorHAnsi"/>
              <w:noProof/>
              <w:sz w:val="24"/>
              <w:szCs w:val="24"/>
              <w:lang w:eastAsia="zh-CN"/>
            </w:rPr>
          </w:pPr>
          <w:hyperlink w:anchor="_Toc468311719" w:history="1">
            <w:r w:rsidR="00AA3732" w:rsidRPr="00E3129F">
              <w:rPr>
                <w:rStyle w:val="Hyperlink"/>
                <w:noProof/>
              </w:rPr>
              <w:t>2.5 Bacterial strains, plasmid and growth condition</w:t>
            </w:r>
            <w:r w:rsidR="00AA3732">
              <w:rPr>
                <w:noProof/>
                <w:webHidden/>
              </w:rPr>
              <w:tab/>
            </w:r>
            <w:r w:rsidR="00AA3732">
              <w:rPr>
                <w:noProof/>
                <w:webHidden/>
              </w:rPr>
              <w:fldChar w:fldCharType="begin"/>
            </w:r>
            <w:r w:rsidR="00AA3732">
              <w:rPr>
                <w:noProof/>
                <w:webHidden/>
              </w:rPr>
              <w:instrText xml:space="preserve"> PAGEREF _Toc468311719 \h </w:instrText>
            </w:r>
            <w:r w:rsidR="00AA3732">
              <w:rPr>
                <w:noProof/>
                <w:webHidden/>
              </w:rPr>
            </w:r>
            <w:r w:rsidR="00AA3732">
              <w:rPr>
                <w:noProof/>
                <w:webHidden/>
              </w:rPr>
              <w:fldChar w:fldCharType="separate"/>
            </w:r>
            <w:r w:rsidR="00AA3732">
              <w:rPr>
                <w:noProof/>
                <w:webHidden/>
              </w:rPr>
              <w:t>28</w:t>
            </w:r>
            <w:r w:rsidR="00AA3732">
              <w:rPr>
                <w:noProof/>
                <w:webHidden/>
              </w:rPr>
              <w:fldChar w:fldCharType="end"/>
            </w:r>
          </w:hyperlink>
        </w:p>
        <w:p w14:paraId="4604AEC0" w14:textId="77777777" w:rsidR="00AA3732" w:rsidRDefault="008F6669">
          <w:pPr>
            <w:pStyle w:val="TOC3"/>
            <w:tabs>
              <w:tab w:val="right" w:leader="dot" w:pos="9350"/>
            </w:tabs>
            <w:rPr>
              <w:rFonts w:asciiTheme="minorHAnsi" w:hAnsiTheme="minorHAnsi"/>
              <w:noProof/>
              <w:sz w:val="24"/>
              <w:szCs w:val="24"/>
              <w:lang w:eastAsia="zh-CN"/>
            </w:rPr>
          </w:pPr>
          <w:hyperlink w:anchor="_Toc468311720" w:history="1">
            <w:r w:rsidR="00AA3732" w:rsidRPr="00E3129F">
              <w:rPr>
                <w:rStyle w:val="Hyperlink"/>
                <w:noProof/>
                <w:lang w:val="en-GB"/>
              </w:rPr>
              <w:t>2.6 Methanol measurements in supernatant</w:t>
            </w:r>
            <w:r w:rsidR="00AA3732">
              <w:rPr>
                <w:noProof/>
                <w:webHidden/>
              </w:rPr>
              <w:tab/>
            </w:r>
            <w:r w:rsidR="00AA3732">
              <w:rPr>
                <w:noProof/>
                <w:webHidden/>
              </w:rPr>
              <w:fldChar w:fldCharType="begin"/>
            </w:r>
            <w:r w:rsidR="00AA3732">
              <w:rPr>
                <w:noProof/>
                <w:webHidden/>
              </w:rPr>
              <w:instrText xml:space="preserve"> PAGEREF _Toc468311720 \h </w:instrText>
            </w:r>
            <w:r w:rsidR="00AA3732">
              <w:rPr>
                <w:noProof/>
                <w:webHidden/>
              </w:rPr>
            </w:r>
            <w:r w:rsidR="00AA3732">
              <w:rPr>
                <w:noProof/>
                <w:webHidden/>
              </w:rPr>
              <w:fldChar w:fldCharType="separate"/>
            </w:r>
            <w:r w:rsidR="00AA3732">
              <w:rPr>
                <w:noProof/>
                <w:webHidden/>
              </w:rPr>
              <w:t>29</w:t>
            </w:r>
            <w:r w:rsidR="00AA3732">
              <w:rPr>
                <w:noProof/>
                <w:webHidden/>
              </w:rPr>
              <w:fldChar w:fldCharType="end"/>
            </w:r>
          </w:hyperlink>
        </w:p>
        <w:p w14:paraId="3CB0E819" w14:textId="77777777" w:rsidR="00AA3732" w:rsidRDefault="008F6669">
          <w:pPr>
            <w:pStyle w:val="TOC3"/>
            <w:tabs>
              <w:tab w:val="right" w:leader="dot" w:pos="9350"/>
            </w:tabs>
            <w:rPr>
              <w:rFonts w:asciiTheme="minorHAnsi" w:hAnsiTheme="minorHAnsi"/>
              <w:noProof/>
              <w:sz w:val="24"/>
              <w:szCs w:val="24"/>
              <w:lang w:eastAsia="zh-CN"/>
            </w:rPr>
          </w:pPr>
          <w:hyperlink w:anchor="_Toc468311721" w:history="1">
            <w:r w:rsidR="00AA3732" w:rsidRPr="00E3129F">
              <w:rPr>
                <w:rStyle w:val="Hyperlink"/>
                <w:noProof/>
                <w:shd w:val="clear" w:color="auto" w:fill="FFFFFF"/>
              </w:rPr>
              <w:t>2.7 Metabolite extraction and biomass hydrolysis for isotopomer distribution measurements</w:t>
            </w:r>
            <w:r w:rsidR="00AA3732">
              <w:rPr>
                <w:noProof/>
                <w:webHidden/>
              </w:rPr>
              <w:tab/>
            </w:r>
            <w:r w:rsidR="00AA3732">
              <w:rPr>
                <w:noProof/>
                <w:webHidden/>
              </w:rPr>
              <w:fldChar w:fldCharType="begin"/>
            </w:r>
            <w:r w:rsidR="00AA3732">
              <w:rPr>
                <w:noProof/>
                <w:webHidden/>
              </w:rPr>
              <w:instrText xml:space="preserve"> PAGEREF _Toc468311721 \h </w:instrText>
            </w:r>
            <w:r w:rsidR="00AA3732">
              <w:rPr>
                <w:noProof/>
                <w:webHidden/>
              </w:rPr>
            </w:r>
            <w:r w:rsidR="00AA3732">
              <w:rPr>
                <w:noProof/>
                <w:webHidden/>
              </w:rPr>
              <w:fldChar w:fldCharType="separate"/>
            </w:r>
            <w:r w:rsidR="00AA3732">
              <w:rPr>
                <w:noProof/>
                <w:webHidden/>
              </w:rPr>
              <w:t>29</w:t>
            </w:r>
            <w:r w:rsidR="00AA3732">
              <w:rPr>
                <w:noProof/>
                <w:webHidden/>
              </w:rPr>
              <w:fldChar w:fldCharType="end"/>
            </w:r>
          </w:hyperlink>
        </w:p>
        <w:p w14:paraId="69C4D395" w14:textId="77777777" w:rsidR="00AA3732" w:rsidRDefault="008F6669">
          <w:pPr>
            <w:pStyle w:val="TOC3"/>
            <w:tabs>
              <w:tab w:val="right" w:leader="dot" w:pos="9350"/>
            </w:tabs>
            <w:rPr>
              <w:rFonts w:asciiTheme="minorHAnsi" w:hAnsiTheme="minorHAnsi"/>
              <w:noProof/>
              <w:sz w:val="24"/>
              <w:szCs w:val="24"/>
              <w:lang w:eastAsia="zh-CN"/>
            </w:rPr>
          </w:pPr>
          <w:hyperlink w:anchor="_Toc468311722" w:history="1">
            <w:r w:rsidR="00AA3732" w:rsidRPr="00E3129F">
              <w:rPr>
                <w:rStyle w:val="Hyperlink"/>
                <w:noProof/>
                <w:shd w:val="clear" w:color="auto" w:fill="FFFFFF"/>
              </w:rPr>
              <w:t xml:space="preserve">2.8 Central carbon metabolism model construction and </w:t>
            </w:r>
            <w:r w:rsidR="00AA3732" w:rsidRPr="00E3129F">
              <w:rPr>
                <w:rStyle w:val="Hyperlink"/>
                <w:noProof/>
                <w:shd w:val="clear" w:color="auto" w:fill="FFFFFF"/>
                <w:vertAlign w:val="superscript"/>
              </w:rPr>
              <w:t>13</w:t>
            </w:r>
            <w:r w:rsidR="00AA3732" w:rsidRPr="00E3129F">
              <w:rPr>
                <w:rStyle w:val="Hyperlink"/>
                <w:noProof/>
                <w:shd w:val="clear" w:color="auto" w:fill="FFFFFF"/>
              </w:rPr>
              <w:t>C flux analysis</w:t>
            </w:r>
            <w:r w:rsidR="00AA3732">
              <w:rPr>
                <w:noProof/>
                <w:webHidden/>
              </w:rPr>
              <w:tab/>
            </w:r>
            <w:r w:rsidR="00AA3732">
              <w:rPr>
                <w:noProof/>
                <w:webHidden/>
              </w:rPr>
              <w:fldChar w:fldCharType="begin"/>
            </w:r>
            <w:r w:rsidR="00AA3732">
              <w:rPr>
                <w:noProof/>
                <w:webHidden/>
              </w:rPr>
              <w:instrText xml:space="preserve"> PAGEREF _Toc468311722 \h </w:instrText>
            </w:r>
            <w:r w:rsidR="00AA3732">
              <w:rPr>
                <w:noProof/>
                <w:webHidden/>
              </w:rPr>
            </w:r>
            <w:r w:rsidR="00AA3732">
              <w:rPr>
                <w:noProof/>
                <w:webHidden/>
              </w:rPr>
              <w:fldChar w:fldCharType="separate"/>
            </w:r>
            <w:r w:rsidR="00AA3732">
              <w:rPr>
                <w:noProof/>
                <w:webHidden/>
              </w:rPr>
              <w:t>31</w:t>
            </w:r>
            <w:r w:rsidR="00AA3732">
              <w:rPr>
                <w:noProof/>
                <w:webHidden/>
              </w:rPr>
              <w:fldChar w:fldCharType="end"/>
            </w:r>
          </w:hyperlink>
        </w:p>
        <w:p w14:paraId="3EF5E66D"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3"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_Toc468311723 \h </w:instrText>
            </w:r>
            <w:r w:rsidR="00AA3732">
              <w:rPr>
                <w:noProof/>
                <w:webHidden/>
              </w:rPr>
            </w:r>
            <w:r w:rsidR="00AA3732">
              <w:rPr>
                <w:noProof/>
                <w:webHidden/>
              </w:rPr>
              <w:fldChar w:fldCharType="separate"/>
            </w:r>
            <w:r w:rsidR="00AA3732">
              <w:rPr>
                <w:noProof/>
                <w:webHidden/>
              </w:rPr>
              <w:t>32</w:t>
            </w:r>
            <w:r w:rsidR="00AA3732">
              <w:rPr>
                <w:noProof/>
                <w:webHidden/>
              </w:rPr>
              <w:fldChar w:fldCharType="end"/>
            </w:r>
          </w:hyperlink>
        </w:p>
        <w:p w14:paraId="7A95C1A1"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4" w:history="1">
            <w:r w:rsidR="00AA3732" w:rsidRPr="00E3129F">
              <w:rPr>
                <w:rStyle w:val="Hyperlink"/>
                <w:noProof/>
              </w:rPr>
              <w:t>Figures</w:t>
            </w:r>
            <w:r w:rsidR="00AA3732">
              <w:rPr>
                <w:noProof/>
                <w:webHidden/>
              </w:rPr>
              <w:tab/>
            </w:r>
            <w:r w:rsidR="00AA3732">
              <w:rPr>
                <w:noProof/>
                <w:webHidden/>
              </w:rPr>
              <w:fldChar w:fldCharType="begin"/>
            </w:r>
            <w:r w:rsidR="00AA3732">
              <w:rPr>
                <w:noProof/>
                <w:webHidden/>
              </w:rPr>
              <w:instrText xml:space="preserve"> PAGEREF _Toc468311724 \h </w:instrText>
            </w:r>
            <w:r w:rsidR="00AA3732">
              <w:rPr>
                <w:noProof/>
                <w:webHidden/>
              </w:rPr>
            </w:r>
            <w:r w:rsidR="00AA3732">
              <w:rPr>
                <w:noProof/>
                <w:webHidden/>
              </w:rPr>
              <w:fldChar w:fldCharType="separate"/>
            </w:r>
            <w:r w:rsidR="00AA3732">
              <w:rPr>
                <w:noProof/>
                <w:webHidden/>
              </w:rPr>
              <w:t>35</w:t>
            </w:r>
            <w:r w:rsidR="00AA3732">
              <w:rPr>
                <w:noProof/>
                <w:webHidden/>
              </w:rPr>
              <w:fldChar w:fldCharType="end"/>
            </w:r>
          </w:hyperlink>
        </w:p>
        <w:p w14:paraId="5E323C1E"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5" w:history="1">
            <w:r w:rsidR="00AA3732" w:rsidRPr="00E3129F">
              <w:rPr>
                <w:rStyle w:val="Hyperlink"/>
                <w:noProof/>
              </w:rPr>
              <w:t>Supplementary materials</w:t>
            </w:r>
            <w:r w:rsidR="00AA3732">
              <w:rPr>
                <w:noProof/>
                <w:webHidden/>
              </w:rPr>
              <w:tab/>
            </w:r>
            <w:r w:rsidR="00AA3732">
              <w:rPr>
                <w:noProof/>
                <w:webHidden/>
              </w:rPr>
              <w:fldChar w:fldCharType="begin"/>
            </w:r>
            <w:r w:rsidR="00AA3732">
              <w:rPr>
                <w:noProof/>
                <w:webHidden/>
              </w:rPr>
              <w:instrText xml:space="preserve"> PAGEREF _Toc468311725 \h </w:instrText>
            </w:r>
            <w:r w:rsidR="00AA3732">
              <w:rPr>
                <w:noProof/>
                <w:webHidden/>
              </w:rPr>
            </w:r>
            <w:r w:rsidR="00AA3732">
              <w:rPr>
                <w:noProof/>
                <w:webHidden/>
              </w:rPr>
              <w:fldChar w:fldCharType="separate"/>
            </w:r>
            <w:r w:rsidR="00AA3732">
              <w:rPr>
                <w:noProof/>
                <w:webHidden/>
              </w:rPr>
              <w:t>37</w:t>
            </w:r>
            <w:r w:rsidR="00AA3732">
              <w:rPr>
                <w:noProof/>
                <w:webHidden/>
              </w:rPr>
              <w:fldChar w:fldCharType="end"/>
            </w:r>
          </w:hyperlink>
        </w:p>
        <w:p w14:paraId="483923D7" w14:textId="57ECA0CE" w:rsidR="00AA3732" w:rsidRDefault="008F6669">
          <w:pPr>
            <w:pStyle w:val="TOC1"/>
            <w:tabs>
              <w:tab w:val="right" w:leader="dot" w:pos="9350"/>
            </w:tabs>
            <w:rPr>
              <w:rFonts w:asciiTheme="minorHAnsi" w:hAnsiTheme="minorHAnsi"/>
              <w:b w:val="0"/>
              <w:noProof/>
              <w:sz w:val="24"/>
              <w:lang w:eastAsia="zh-CN"/>
            </w:rPr>
          </w:pPr>
          <w:hyperlink w:anchor="_Toc468311726" w:history="1">
            <w:r w:rsidR="00AA3732" w:rsidRPr="00AA3732">
              <w:rPr>
                <w:rStyle w:val="Hyperlink"/>
                <w:noProof/>
                <w:sz w:val="24"/>
              </w:rPr>
              <w:t>Chapter 3: Oxidative TCA cycle operating during metha</w:t>
            </w:r>
            <w:r w:rsidR="00FC18C0">
              <w:rPr>
                <w:rStyle w:val="Hyperlink"/>
                <w:noProof/>
                <w:sz w:val="24"/>
              </w:rPr>
              <w:t>notrophic growth of the Type I m</w:t>
            </w:r>
            <w:r w:rsidR="00AA3732" w:rsidRPr="00AA3732">
              <w:rPr>
                <w:rStyle w:val="Hyperlink"/>
                <w:noProof/>
                <w:sz w:val="24"/>
              </w:rPr>
              <w:t>ethanotroph Methylomicrobium buryatense 5GB1</w:t>
            </w:r>
            <w:r w:rsidR="00AA3732">
              <w:rPr>
                <w:noProof/>
                <w:webHidden/>
              </w:rPr>
              <w:tab/>
            </w:r>
            <w:r w:rsidR="00AA3732">
              <w:rPr>
                <w:noProof/>
                <w:webHidden/>
              </w:rPr>
              <w:fldChar w:fldCharType="begin"/>
            </w:r>
            <w:r w:rsidR="00AA3732">
              <w:rPr>
                <w:noProof/>
                <w:webHidden/>
              </w:rPr>
              <w:instrText xml:space="preserve"> PAGEREF _Toc468311726 \h </w:instrText>
            </w:r>
            <w:r w:rsidR="00AA3732">
              <w:rPr>
                <w:noProof/>
                <w:webHidden/>
              </w:rPr>
            </w:r>
            <w:r w:rsidR="00AA3732">
              <w:rPr>
                <w:noProof/>
                <w:webHidden/>
              </w:rPr>
              <w:fldChar w:fldCharType="separate"/>
            </w:r>
            <w:r w:rsidR="00AA3732">
              <w:rPr>
                <w:noProof/>
                <w:webHidden/>
              </w:rPr>
              <w:t>39</w:t>
            </w:r>
            <w:r w:rsidR="00AA3732">
              <w:rPr>
                <w:noProof/>
                <w:webHidden/>
              </w:rPr>
              <w:fldChar w:fldCharType="end"/>
            </w:r>
          </w:hyperlink>
        </w:p>
        <w:p w14:paraId="5320B9E2"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7"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_Toc468311727 \h </w:instrText>
            </w:r>
            <w:r w:rsidR="00AA3732">
              <w:rPr>
                <w:noProof/>
                <w:webHidden/>
              </w:rPr>
            </w:r>
            <w:r w:rsidR="00AA3732">
              <w:rPr>
                <w:noProof/>
                <w:webHidden/>
              </w:rPr>
              <w:fldChar w:fldCharType="separate"/>
            </w:r>
            <w:r w:rsidR="00AA3732">
              <w:rPr>
                <w:noProof/>
                <w:webHidden/>
              </w:rPr>
              <w:t>39</w:t>
            </w:r>
            <w:r w:rsidR="00AA3732">
              <w:rPr>
                <w:noProof/>
                <w:webHidden/>
              </w:rPr>
              <w:fldChar w:fldCharType="end"/>
            </w:r>
          </w:hyperlink>
        </w:p>
        <w:p w14:paraId="2987F795"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8" w:history="1">
            <w:r w:rsidR="00AA3732" w:rsidRPr="00E3129F">
              <w:rPr>
                <w:rStyle w:val="Hyperlink"/>
                <w:noProof/>
              </w:rPr>
              <w:t>Introduction</w:t>
            </w:r>
            <w:r w:rsidR="00AA3732">
              <w:rPr>
                <w:noProof/>
                <w:webHidden/>
              </w:rPr>
              <w:tab/>
            </w:r>
            <w:r w:rsidR="00AA3732">
              <w:rPr>
                <w:noProof/>
                <w:webHidden/>
              </w:rPr>
              <w:fldChar w:fldCharType="begin"/>
            </w:r>
            <w:r w:rsidR="00AA3732">
              <w:rPr>
                <w:noProof/>
                <w:webHidden/>
              </w:rPr>
              <w:instrText xml:space="preserve"> PAGEREF _Toc468311728 \h </w:instrText>
            </w:r>
            <w:r w:rsidR="00AA3732">
              <w:rPr>
                <w:noProof/>
                <w:webHidden/>
              </w:rPr>
            </w:r>
            <w:r w:rsidR="00AA3732">
              <w:rPr>
                <w:noProof/>
                <w:webHidden/>
              </w:rPr>
              <w:fldChar w:fldCharType="separate"/>
            </w:r>
            <w:r w:rsidR="00AA3732">
              <w:rPr>
                <w:noProof/>
                <w:webHidden/>
              </w:rPr>
              <w:t>40</w:t>
            </w:r>
            <w:r w:rsidR="00AA3732">
              <w:rPr>
                <w:noProof/>
                <w:webHidden/>
              </w:rPr>
              <w:fldChar w:fldCharType="end"/>
            </w:r>
          </w:hyperlink>
        </w:p>
        <w:p w14:paraId="6031D8DB"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29"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_Toc468311729 \h </w:instrText>
            </w:r>
            <w:r w:rsidR="00AA3732">
              <w:rPr>
                <w:noProof/>
                <w:webHidden/>
              </w:rPr>
            </w:r>
            <w:r w:rsidR="00AA3732">
              <w:rPr>
                <w:noProof/>
                <w:webHidden/>
              </w:rPr>
              <w:fldChar w:fldCharType="separate"/>
            </w:r>
            <w:r w:rsidR="00AA3732">
              <w:rPr>
                <w:noProof/>
                <w:webHidden/>
              </w:rPr>
              <w:t>42</w:t>
            </w:r>
            <w:r w:rsidR="00AA3732">
              <w:rPr>
                <w:noProof/>
                <w:webHidden/>
              </w:rPr>
              <w:fldChar w:fldCharType="end"/>
            </w:r>
          </w:hyperlink>
        </w:p>
        <w:p w14:paraId="73593F91" w14:textId="77777777" w:rsidR="00AA3732" w:rsidRDefault="008F6669">
          <w:pPr>
            <w:pStyle w:val="TOC3"/>
            <w:tabs>
              <w:tab w:val="right" w:leader="dot" w:pos="9350"/>
            </w:tabs>
            <w:rPr>
              <w:rFonts w:asciiTheme="minorHAnsi" w:hAnsiTheme="minorHAnsi"/>
              <w:noProof/>
              <w:sz w:val="24"/>
              <w:szCs w:val="24"/>
              <w:lang w:eastAsia="zh-CN"/>
            </w:rPr>
          </w:pPr>
          <w:hyperlink w:anchor="_Toc468311730" w:history="1">
            <w:r w:rsidR="00AA3732" w:rsidRPr="00E3129F">
              <w:rPr>
                <w:rStyle w:val="Hyperlink"/>
                <w:noProof/>
              </w:rPr>
              <w:t>3.1 Steady state labeling patterns of key metabolites</w:t>
            </w:r>
            <w:r w:rsidR="00AA3732">
              <w:rPr>
                <w:noProof/>
                <w:webHidden/>
              </w:rPr>
              <w:tab/>
            </w:r>
            <w:r w:rsidR="00AA3732">
              <w:rPr>
                <w:noProof/>
                <w:webHidden/>
              </w:rPr>
              <w:fldChar w:fldCharType="begin"/>
            </w:r>
            <w:r w:rsidR="00AA3732">
              <w:rPr>
                <w:noProof/>
                <w:webHidden/>
              </w:rPr>
              <w:instrText xml:space="preserve"> PAGEREF _Toc468311730 \h </w:instrText>
            </w:r>
            <w:r w:rsidR="00AA3732">
              <w:rPr>
                <w:noProof/>
                <w:webHidden/>
              </w:rPr>
            </w:r>
            <w:r w:rsidR="00AA3732">
              <w:rPr>
                <w:noProof/>
                <w:webHidden/>
              </w:rPr>
              <w:fldChar w:fldCharType="separate"/>
            </w:r>
            <w:r w:rsidR="00AA3732">
              <w:rPr>
                <w:noProof/>
                <w:webHidden/>
              </w:rPr>
              <w:t>42</w:t>
            </w:r>
            <w:r w:rsidR="00AA3732">
              <w:rPr>
                <w:noProof/>
                <w:webHidden/>
              </w:rPr>
              <w:fldChar w:fldCharType="end"/>
            </w:r>
          </w:hyperlink>
        </w:p>
        <w:p w14:paraId="41E8A11A" w14:textId="77777777" w:rsidR="00AA3732" w:rsidRDefault="008F6669">
          <w:pPr>
            <w:pStyle w:val="TOC3"/>
            <w:tabs>
              <w:tab w:val="right" w:leader="dot" w:pos="9350"/>
            </w:tabs>
            <w:rPr>
              <w:rFonts w:asciiTheme="minorHAnsi" w:hAnsiTheme="minorHAnsi"/>
              <w:noProof/>
              <w:sz w:val="24"/>
              <w:szCs w:val="24"/>
              <w:lang w:eastAsia="zh-CN"/>
            </w:rPr>
          </w:pPr>
          <w:hyperlink w:anchor="_Toc468311731" w:history="1">
            <w:r w:rsidR="00AA3732" w:rsidRPr="00E3129F">
              <w:rPr>
                <w:rStyle w:val="Hyperlink"/>
                <w:noProof/>
              </w:rPr>
              <w:t xml:space="preserve">3.2. Complete oxidative TCA cycle in </w:t>
            </w:r>
            <w:r w:rsidR="00AA3732" w:rsidRPr="00E3129F">
              <w:rPr>
                <w:rStyle w:val="Hyperlink"/>
                <w:i/>
                <w:noProof/>
              </w:rPr>
              <w:t xml:space="preserve">M. buryatense </w:t>
            </w:r>
            <w:r w:rsidR="00AA3732" w:rsidRPr="00E3129F">
              <w:rPr>
                <w:rStyle w:val="Hyperlink"/>
                <w:noProof/>
              </w:rPr>
              <w:t>5GB1 grown on methane and TCA cycle interruption by mutation</w:t>
            </w:r>
            <w:r w:rsidR="00AA3732">
              <w:rPr>
                <w:noProof/>
                <w:webHidden/>
              </w:rPr>
              <w:tab/>
            </w:r>
            <w:r w:rsidR="00AA3732">
              <w:rPr>
                <w:noProof/>
                <w:webHidden/>
              </w:rPr>
              <w:fldChar w:fldCharType="begin"/>
            </w:r>
            <w:r w:rsidR="00AA3732">
              <w:rPr>
                <w:noProof/>
                <w:webHidden/>
              </w:rPr>
              <w:instrText xml:space="preserve"> PAGEREF _Toc468311731 \h </w:instrText>
            </w:r>
            <w:r w:rsidR="00AA3732">
              <w:rPr>
                <w:noProof/>
                <w:webHidden/>
              </w:rPr>
            </w:r>
            <w:r w:rsidR="00AA3732">
              <w:rPr>
                <w:noProof/>
                <w:webHidden/>
              </w:rPr>
              <w:fldChar w:fldCharType="separate"/>
            </w:r>
            <w:r w:rsidR="00AA3732">
              <w:rPr>
                <w:noProof/>
                <w:webHidden/>
              </w:rPr>
              <w:t>45</w:t>
            </w:r>
            <w:r w:rsidR="00AA3732">
              <w:rPr>
                <w:noProof/>
                <w:webHidden/>
              </w:rPr>
              <w:fldChar w:fldCharType="end"/>
            </w:r>
          </w:hyperlink>
        </w:p>
        <w:p w14:paraId="14792D00" w14:textId="77777777" w:rsidR="00AA3732" w:rsidRDefault="008F6669">
          <w:pPr>
            <w:pStyle w:val="TOC3"/>
            <w:tabs>
              <w:tab w:val="right" w:leader="dot" w:pos="9350"/>
            </w:tabs>
            <w:rPr>
              <w:rFonts w:asciiTheme="minorHAnsi" w:hAnsiTheme="minorHAnsi"/>
              <w:noProof/>
              <w:sz w:val="24"/>
              <w:szCs w:val="24"/>
              <w:lang w:eastAsia="zh-CN"/>
            </w:rPr>
          </w:pPr>
          <w:hyperlink w:anchor="_Toc468311732" w:history="1">
            <w:r w:rsidR="00AA3732" w:rsidRPr="00E3129F">
              <w:rPr>
                <w:rStyle w:val="Hyperlink"/>
                <w:noProof/>
              </w:rPr>
              <w:t xml:space="preserve">3.3. </w:t>
            </w:r>
            <w:r w:rsidR="00AA3732" w:rsidRPr="00E3129F">
              <w:rPr>
                <w:rStyle w:val="Hyperlink"/>
                <w:i/>
                <w:noProof/>
              </w:rPr>
              <w:t>sga</w:t>
            </w:r>
            <w:r w:rsidR="00AA3732" w:rsidRPr="00E3129F">
              <w:rPr>
                <w:rStyle w:val="Hyperlink"/>
                <w:noProof/>
              </w:rPr>
              <w:t xml:space="preserve"> mutants suggest negligible flux through serine cycle.</w:t>
            </w:r>
            <w:r w:rsidR="00AA3732">
              <w:rPr>
                <w:noProof/>
                <w:webHidden/>
              </w:rPr>
              <w:tab/>
            </w:r>
            <w:r w:rsidR="00AA3732">
              <w:rPr>
                <w:noProof/>
                <w:webHidden/>
              </w:rPr>
              <w:fldChar w:fldCharType="begin"/>
            </w:r>
            <w:r w:rsidR="00AA3732">
              <w:rPr>
                <w:noProof/>
                <w:webHidden/>
              </w:rPr>
              <w:instrText xml:space="preserve"> PAGEREF _Toc468311732 \h </w:instrText>
            </w:r>
            <w:r w:rsidR="00AA3732">
              <w:rPr>
                <w:noProof/>
                <w:webHidden/>
              </w:rPr>
            </w:r>
            <w:r w:rsidR="00AA3732">
              <w:rPr>
                <w:noProof/>
                <w:webHidden/>
              </w:rPr>
              <w:fldChar w:fldCharType="separate"/>
            </w:r>
            <w:r w:rsidR="00AA3732">
              <w:rPr>
                <w:noProof/>
                <w:webHidden/>
              </w:rPr>
              <w:t>48</w:t>
            </w:r>
            <w:r w:rsidR="00AA3732">
              <w:rPr>
                <w:noProof/>
                <w:webHidden/>
              </w:rPr>
              <w:fldChar w:fldCharType="end"/>
            </w:r>
          </w:hyperlink>
        </w:p>
        <w:p w14:paraId="07C02894"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33"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_Toc468311733 \h </w:instrText>
            </w:r>
            <w:r w:rsidR="00AA3732">
              <w:rPr>
                <w:noProof/>
                <w:webHidden/>
              </w:rPr>
            </w:r>
            <w:r w:rsidR="00AA3732">
              <w:rPr>
                <w:noProof/>
                <w:webHidden/>
              </w:rPr>
              <w:fldChar w:fldCharType="separate"/>
            </w:r>
            <w:r w:rsidR="00AA3732">
              <w:rPr>
                <w:noProof/>
                <w:webHidden/>
              </w:rPr>
              <w:t>49</w:t>
            </w:r>
            <w:r w:rsidR="00AA3732">
              <w:rPr>
                <w:noProof/>
                <w:webHidden/>
              </w:rPr>
              <w:fldChar w:fldCharType="end"/>
            </w:r>
          </w:hyperlink>
        </w:p>
        <w:p w14:paraId="71E1657E"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34"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_Toc468311734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6EFF87A9"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35" w:history="1">
            <w:r w:rsidR="00AA3732" w:rsidRPr="00E3129F">
              <w:rPr>
                <w:rStyle w:val="Hyperlink"/>
                <w:noProof/>
              </w:rPr>
              <w:t>Materials and Methods</w:t>
            </w:r>
            <w:r w:rsidR="00AA3732">
              <w:rPr>
                <w:noProof/>
                <w:webHidden/>
              </w:rPr>
              <w:tab/>
            </w:r>
            <w:r w:rsidR="00AA3732">
              <w:rPr>
                <w:noProof/>
                <w:webHidden/>
              </w:rPr>
              <w:fldChar w:fldCharType="begin"/>
            </w:r>
            <w:r w:rsidR="00AA3732">
              <w:rPr>
                <w:noProof/>
                <w:webHidden/>
              </w:rPr>
              <w:instrText xml:space="preserve"> PAGEREF _Toc468311735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5C044605" w14:textId="77777777" w:rsidR="00AA3732" w:rsidRDefault="008F6669">
          <w:pPr>
            <w:pStyle w:val="TOC3"/>
            <w:tabs>
              <w:tab w:val="right" w:leader="dot" w:pos="9350"/>
            </w:tabs>
            <w:rPr>
              <w:rFonts w:asciiTheme="minorHAnsi" w:hAnsiTheme="minorHAnsi"/>
              <w:noProof/>
              <w:sz w:val="24"/>
              <w:szCs w:val="24"/>
              <w:lang w:eastAsia="zh-CN"/>
            </w:rPr>
          </w:pPr>
          <w:hyperlink w:anchor="_Toc468311736" w:history="1">
            <w:r w:rsidR="00AA3732" w:rsidRPr="00E3129F">
              <w:rPr>
                <w:rStyle w:val="Hyperlink"/>
                <w:noProof/>
              </w:rPr>
              <w:t>3.4. Cell culture</w:t>
            </w:r>
            <w:r w:rsidR="00AA3732">
              <w:rPr>
                <w:noProof/>
                <w:webHidden/>
              </w:rPr>
              <w:tab/>
            </w:r>
            <w:r w:rsidR="00AA3732">
              <w:rPr>
                <w:noProof/>
                <w:webHidden/>
              </w:rPr>
              <w:fldChar w:fldCharType="begin"/>
            </w:r>
            <w:r w:rsidR="00AA3732">
              <w:rPr>
                <w:noProof/>
                <w:webHidden/>
              </w:rPr>
              <w:instrText xml:space="preserve"> PAGEREF _Toc468311736 \h </w:instrText>
            </w:r>
            <w:r w:rsidR="00AA3732">
              <w:rPr>
                <w:noProof/>
                <w:webHidden/>
              </w:rPr>
            </w:r>
            <w:r w:rsidR="00AA3732">
              <w:rPr>
                <w:noProof/>
                <w:webHidden/>
              </w:rPr>
              <w:fldChar w:fldCharType="separate"/>
            </w:r>
            <w:r w:rsidR="00AA3732">
              <w:rPr>
                <w:noProof/>
                <w:webHidden/>
              </w:rPr>
              <w:t>51</w:t>
            </w:r>
            <w:r w:rsidR="00AA3732">
              <w:rPr>
                <w:noProof/>
                <w:webHidden/>
              </w:rPr>
              <w:fldChar w:fldCharType="end"/>
            </w:r>
          </w:hyperlink>
        </w:p>
        <w:p w14:paraId="2AFF0FC0" w14:textId="77777777" w:rsidR="00AA3732" w:rsidRDefault="008F6669">
          <w:pPr>
            <w:pStyle w:val="TOC3"/>
            <w:tabs>
              <w:tab w:val="right" w:leader="dot" w:pos="9350"/>
            </w:tabs>
            <w:rPr>
              <w:rFonts w:asciiTheme="minorHAnsi" w:hAnsiTheme="minorHAnsi"/>
              <w:noProof/>
              <w:sz w:val="24"/>
              <w:szCs w:val="24"/>
              <w:lang w:eastAsia="zh-CN"/>
            </w:rPr>
          </w:pPr>
          <w:hyperlink w:anchor="_Toc468311737" w:history="1">
            <w:r w:rsidR="00AA3732" w:rsidRPr="00E3129F">
              <w:rPr>
                <w:rStyle w:val="Hyperlink"/>
                <w:noProof/>
              </w:rPr>
              <w:t>3.5. Genetic manipulation of 5GB1 using electroporation</w:t>
            </w:r>
            <w:r w:rsidR="00AA3732">
              <w:rPr>
                <w:noProof/>
                <w:webHidden/>
              </w:rPr>
              <w:tab/>
            </w:r>
            <w:r w:rsidR="00AA3732">
              <w:rPr>
                <w:noProof/>
                <w:webHidden/>
              </w:rPr>
              <w:fldChar w:fldCharType="begin"/>
            </w:r>
            <w:r w:rsidR="00AA3732">
              <w:rPr>
                <w:noProof/>
                <w:webHidden/>
              </w:rPr>
              <w:instrText xml:space="preserve"> PAGEREF _Toc468311737 \h </w:instrText>
            </w:r>
            <w:r w:rsidR="00AA3732">
              <w:rPr>
                <w:noProof/>
                <w:webHidden/>
              </w:rPr>
            </w:r>
            <w:r w:rsidR="00AA3732">
              <w:rPr>
                <w:noProof/>
                <w:webHidden/>
              </w:rPr>
              <w:fldChar w:fldCharType="separate"/>
            </w:r>
            <w:r w:rsidR="00AA3732">
              <w:rPr>
                <w:noProof/>
                <w:webHidden/>
              </w:rPr>
              <w:t>52</w:t>
            </w:r>
            <w:r w:rsidR="00AA3732">
              <w:rPr>
                <w:noProof/>
                <w:webHidden/>
              </w:rPr>
              <w:fldChar w:fldCharType="end"/>
            </w:r>
          </w:hyperlink>
        </w:p>
        <w:p w14:paraId="160BFBBD" w14:textId="77777777" w:rsidR="00AA3732" w:rsidRDefault="008F6669">
          <w:pPr>
            <w:pStyle w:val="TOC3"/>
            <w:tabs>
              <w:tab w:val="right" w:leader="dot" w:pos="9350"/>
            </w:tabs>
            <w:rPr>
              <w:rFonts w:asciiTheme="minorHAnsi" w:hAnsiTheme="minorHAnsi"/>
              <w:noProof/>
              <w:sz w:val="24"/>
              <w:szCs w:val="24"/>
              <w:lang w:eastAsia="zh-CN"/>
            </w:rPr>
          </w:pPr>
          <w:hyperlink w:anchor="_Toc468311738" w:history="1">
            <w:r w:rsidR="00AA3732" w:rsidRPr="00E3129F">
              <w:rPr>
                <w:rStyle w:val="Hyperlink"/>
                <w:noProof/>
              </w:rPr>
              <w:t>3.6. MIDs of metabolites measurements using LC/MS-MS</w:t>
            </w:r>
            <w:r w:rsidR="00AA3732">
              <w:rPr>
                <w:noProof/>
                <w:webHidden/>
              </w:rPr>
              <w:tab/>
            </w:r>
            <w:r w:rsidR="00AA3732">
              <w:rPr>
                <w:noProof/>
                <w:webHidden/>
              </w:rPr>
              <w:fldChar w:fldCharType="begin"/>
            </w:r>
            <w:r w:rsidR="00AA3732">
              <w:rPr>
                <w:noProof/>
                <w:webHidden/>
              </w:rPr>
              <w:instrText xml:space="preserve"> PAGEREF _Toc468311738 \h </w:instrText>
            </w:r>
            <w:r w:rsidR="00AA3732">
              <w:rPr>
                <w:noProof/>
                <w:webHidden/>
              </w:rPr>
            </w:r>
            <w:r w:rsidR="00AA3732">
              <w:rPr>
                <w:noProof/>
                <w:webHidden/>
              </w:rPr>
              <w:fldChar w:fldCharType="separate"/>
            </w:r>
            <w:r w:rsidR="00AA3732">
              <w:rPr>
                <w:noProof/>
                <w:webHidden/>
              </w:rPr>
              <w:t>52</w:t>
            </w:r>
            <w:r w:rsidR="00AA3732">
              <w:rPr>
                <w:noProof/>
                <w:webHidden/>
              </w:rPr>
              <w:fldChar w:fldCharType="end"/>
            </w:r>
          </w:hyperlink>
        </w:p>
        <w:p w14:paraId="64C543F8" w14:textId="77777777" w:rsidR="00AA3732" w:rsidRDefault="008F6669">
          <w:pPr>
            <w:pStyle w:val="TOC3"/>
            <w:tabs>
              <w:tab w:val="right" w:leader="dot" w:pos="9350"/>
            </w:tabs>
            <w:rPr>
              <w:rFonts w:asciiTheme="minorHAnsi" w:hAnsiTheme="minorHAnsi"/>
              <w:noProof/>
              <w:sz w:val="24"/>
              <w:szCs w:val="24"/>
              <w:lang w:eastAsia="zh-CN"/>
            </w:rPr>
          </w:pPr>
          <w:hyperlink w:anchor="_Toc468311739" w:history="1">
            <w:r w:rsidR="00AA3732" w:rsidRPr="00E3129F">
              <w:rPr>
                <w:rStyle w:val="Hyperlink"/>
                <w:noProof/>
              </w:rPr>
              <w:t>3.7. Mathematically determine relative flux distribution at malate node.</w:t>
            </w:r>
            <w:r w:rsidR="00AA3732">
              <w:rPr>
                <w:noProof/>
                <w:webHidden/>
              </w:rPr>
              <w:tab/>
            </w:r>
            <w:r w:rsidR="00AA3732">
              <w:rPr>
                <w:noProof/>
                <w:webHidden/>
              </w:rPr>
              <w:fldChar w:fldCharType="begin"/>
            </w:r>
            <w:r w:rsidR="00AA3732">
              <w:rPr>
                <w:noProof/>
                <w:webHidden/>
              </w:rPr>
              <w:instrText xml:space="preserve"> PAGEREF _Toc468311739 \h </w:instrText>
            </w:r>
            <w:r w:rsidR="00AA3732">
              <w:rPr>
                <w:noProof/>
                <w:webHidden/>
              </w:rPr>
            </w:r>
            <w:r w:rsidR="00AA3732">
              <w:rPr>
                <w:noProof/>
                <w:webHidden/>
              </w:rPr>
              <w:fldChar w:fldCharType="separate"/>
            </w:r>
            <w:r w:rsidR="00AA3732">
              <w:rPr>
                <w:noProof/>
                <w:webHidden/>
              </w:rPr>
              <w:t>53</w:t>
            </w:r>
            <w:r w:rsidR="00AA3732">
              <w:rPr>
                <w:noProof/>
                <w:webHidden/>
              </w:rPr>
              <w:fldChar w:fldCharType="end"/>
            </w:r>
          </w:hyperlink>
        </w:p>
        <w:p w14:paraId="7ECD77C7"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40"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_Toc468311740 \h </w:instrText>
            </w:r>
            <w:r w:rsidR="00AA3732">
              <w:rPr>
                <w:noProof/>
                <w:webHidden/>
              </w:rPr>
            </w:r>
            <w:r w:rsidR="00AA3732">
              <w:rPr>
                <w:noProof/>
                <w:webHidden/>
              </w:rPr>
              <w:fldChar w:fldCharType="separate"/>
            </w:r>
            <w:r w:rsidR="00AA3732">
              <w:rPr>
                <w:noProof/>
                <w:webHidden/>
              </w:rPr>
              <w:t>55</w:t>
            </w:r>
            <w:r w:rsidR="00AA3732">
              <w:rPr>
                <w:noProof/>
                <w:webHidden/>
              </w:rPr>
              <w:fldChar w:fldCharType="end"/>
            </w:r>
          </w:hyperlink>
        </w:p>
        <w:p w14:paraId="2B7902B5"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41" w:history="1">
            <w:r w:rsidR="00AA3732" w:rsidRPr="00E3129F">
              <w:rPr>
                <w:rStyle w:val="Hyperlink"/>
                <w:noProof/>
              </w:rPr>
              <w:t>Supplemental materials</w:t>
            </w:r>
            <w:r w:rsidR="00AA3732">
              <w:rPr>
                <w:noProof/>
                <w:webHidden/>
              </w:rPr>
              <w:tab/>
            </w:r>
            <w:r w:rsidR="00AA3732">
              <w:rPr>
                <w:noProof/>
                <w:webHidden/>
              </w:rPr>
              <w:fldChar w:fldCharType="begin"/>
            </w:r>
            <w:r w:rsidR="00AA3732">
              <w:rPr>
                <w:noProof/>
                <w:webHidden/>
              </w:rPr>
              <w:instrText xml:space="preserve"> PAGEREF _Toc468311741 \h </w:instrText>
            </w:r>
            <w:r w:rsidR="00AA3732">
              <w:rPr>
                <w:noProof/>
                <w:webHidden/>
              </w:rPr>
            </w:r>
            <w:r w:rsidR="00AA3732">
              <w:rPr>
                <w:noProof/>
                <w:webHidden/>
              </w:rPr>
              <w:fldChar w:fldCharType="separate"/>
            </w:r>
            <w:r w:rsidR="00AA3732">
              <w:rPr>
                <w:noProof/>
                <w:webHidden/>
              </w:rPr>
              <w:t>56</w:t>
            </w:r>
            <w:r w:rsidR="00AA3732">
              <w:rPr>
                <w:noProof/>
                <w:webHidden/>
              </w:rPr>
              <w:fldChar w:fldCharType="end"/>
            </w:r>
          </w:hyperlink>
        </w:p>
        <w:p w14:paraId="5C69A581" w14:textId="77777777" w:rsidR="00AA3732" w:rsidRDefault="008F6669">
          <w:pPr>
            <w:pStyle w:val="TOC1"/>
            <w:tabs>
              <w:tab w:val="right" w:leader="dot" w:pos="9350"/>
            </w:tabs>
            <w:rPr>
              <w:rFonts w:asciiTheme="minorHAnsi" w:hAnsiTheme="minorHAnsi"/>
              <w:b w:val="0"/>
              <w:noProof/>
              <w:sz w:val="24"/>
              <w:lang w:eastAsia="zh-CN"/>
            </w:rPr>
          </w:pPr>
          <w:hyperlink w:anchor="_Toc468311742" w:history="1">
            <w:r w:rsidR="00AA3732" w:rsidRPr="00AA3732">
              <w:rPr>
                <w:rStyle w:val="Hyperlink"/>
                <w:noProof/>
                <w:sz w:val="24"/>
              </w:rPr>
              <w:t>Chapter 4: Core metabolism rearrangements in the methanotroph Methylomicrobium buryatense 5GB1 grown on methanol</w:t>
            </w:r>
            <w:r w:rsidR="00AA3732">
              <w:rPr>
                <w:noProof/>
                <w:webHidden/>
              </w:rPr>
              <w:tab/>
            </w:r>
            <w:r w:rsidR="00AA3732">
              <w:rPr>
                <w:noProof/>
                <w:webHidden/>
              </w:rPr>
              <w:fldChar w:fldCharType="begin"/>
            </w:r>
            <w:r w:rsidR="00AA3732">
              <w:rPr>
                <w:noProof/>
                <w:webHidden/>
              </w:rPr>
              <w:instrText xml:space="preserve"> PAGEREF _Toc468311742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5BFF3834"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43" w:history="1">
            <w:r w:rsidR="00AA3732" w:rsidRPr="00E3129F">
              <w:rPr>
                <w:rStyle w:val="Hyperlink"/>
                <w:noProof/>
              </w:rPr>
              <w:t>Abstract</w:t>
            </w:r>
            <w:r w:rsidR="00AA3732">
              <w:rPr>
                <w:noProof/>
                <w:webHidden/>
              </w:rPr>
              <w:tab/>
            </w:r>
            <w:r w:rsidR="00AA3732">
              <w:rPr>
                <w:noProof/>
                <w:webHidden/>
              </w:rPr>
              <w:fldChar w:fldCharType="begin"/>
            </w:r>
            <w:r w:rsidR="00AA3732">
              <w:rPr>
                <w:noProof/>
                <w:webHidden/>
              </w:rPr>
              <w:instrText xml:space="preserve"> PAGEREF _Toc468311743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691C03C5"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44" w:history="1">
            <w:r w:rsidR="00AA3732" w:rsidRPr="00E3129F">
              <w:rPr>
                <w:rStyle w:val="Hyperlink"/>
                <w:noProof/>
              </w:rPr>
              <w:t>Introduction</w:t>
            </w:r>
            <w:r w:rsidR="00AA3732">
              <w:rPr>
                <w:noProof/>
                <w:webHidden/>
              </w:rPr>
              <w:tab/>
            </w:r>
            <w:r w:rsidR="00AA3732">
              <w:rPr>
                <w:noProof/>
                <w:webHidden/>
              </w:rPr>
              <w:fldChar w:fldCharType="begin"/>
            </w:r>
            <w:r w:rsidR="00AA3732">
              <w:rPr>
                <w:noProof/>
                <w:webHidden/>
              </w:rPr>
              <w:instrText xml:space="preserve"> PAGEREF _Toc468311744 \h </w:instrText>
            </w:r>
            <w:r w:rsidR="00AA3732">
              <w:rPr>
                <w:noProof/>
                <w:webHidden/>
              </w:rPr>
            </w:r>
            <w:r w:rsidR="00AA3732">
              <w:rPr>
                <w:noProof/>
                <w:webHidden/>
              </w:rPr>
              <w:fldChar w:fldCharType="separate"/>
            </w:r>
            <w:r w:rsidR="00AA3732">
              <w:rPr>
                <w:noProof/>
                <w:webHidden/>
              </w:rPr>
              <w:t>57</w:t>
            </w:r>
            <w:r w:rsidR="00AA3732">
              <w:rPr>
                <w:noProof/>
                <w:webHidden/>
              </w:rPr>
              <w:fldChar w:fldCharType="end"/>
            </w:r>
          </w:hyperlink>
        </w:p>
        <w:p w14:paraId="72C99772"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45" w:history="1">
            <w:r w:rsidR="00AA3732" w:rsidRPr="00E3129F">
              <w:rPr>
                <w:rStyle w:val="Hyperlink"/>
                <w:noProof/>
              </w:rPr>
              <w:t>Results</w:t>
            </w:r>
            <w:r w:rsidR="00AA3732">
              <w:rPr>
                <w:noProof/>
                <w:webHidden/>
              </w:rPr>
              <w:tab/>
            </w:r>
            <w:r w:rsidR="00AA3732">
              <w:rPr>
                <w:noProof/>
                <w:webHidden/>
              </w:rPr>
              <w:fldChar w:fldCharType="begin"/>
            </w:r>
            <w:r w:rsidR="00AA3732">
              <w:rPr>
                <w:noProof/>
                <w:webHidden/>
              </w:rPr>
              <w:instrText xml:space="preserve"> PAGEREF _Toc468311745 \h </w:instrText>
            </w:r>
            <w:r w:rsidR="00AA3732">
              <w:rPr>
                <w:noProof/>
                <w:webHidden/>
              </w:rPr>
            </w:r>
            <w:r w:rsidR="00AA3732">
              <w:rPr>
                <w:noProof/>
                <w:webHidden/>
              </w:rPr>
              <w:fldChar w:fldCharType="separate"/>
            </w:r>
            <w:r w:rsidR="00AA3732">
              <w:rPr>
                <w:noProof/>
                <w:webHidden/>
              </w:rPr>
              <w:t>59</w:t>
            </w:r>
            <w:r w:rsidR="00AA3732">
              <w:rPr>
                <w:noProof/>
                <w:webHidden/>
              </w:rPr>
              <w:fldChar w:fldCharType="end"/>
            </w:r>
          </w:hyperlink>
        </w:p>
        <w:p w14:paraId="3AC3EC6C" w14:textId="77777777" w:rsidR="00AA3732" w:rsidRDefault="008F6669">
          <w:pPr>
            <w:pStyle w:val="TOC3"/>
            <w:tabs>
              <w:tab w:val="right" w:leader="dot" w:pos="9350"/>
            </w:tabs>
            <w:rPr>
              <w:rFonts w:asciiTheme="minorHAnsi" w:hAnsiTheme="minorHAnsi"/>
              <w:noProof/>
              <w:sz w:val="24"/>
              <w:szCs w:val="24"/>
              <w:lang w:eastAsia="zh-CN"/>
            </w:rPr>
          </w:pPr>
          <w:hyperlink w:anchor="_Toc468311746" w:history="1">
            <w:r w:rsidR="00AA3732" w:rsidRPr="00E3129F">
              <w:rPr>
                <w:rStyle w:val="Hyperlink"/>
                <w:noProof/>
              </w:rPr>
              <w:t>4.1. Targeted metabolomics analysis showed systematical flux distribution shifts under methanol growth</w:t>
            </w:r>
            <w:r w:rsidR="00AA3732">
              <w:rPr>
                <w:noProof/>
                <w:webHidden/>
              </w:rPr>
              <w:tab/>
            </w:r>
            <w:r w:rsidR="00AA3732">
              <w:rPr>
                <w:noProof/>
                <w:webHidden/>
              </w:rPr>
              <w:fldChar w:fldCharType="begin"/>
            </w:r>
            <w:r w:rsidR="00AA3732">
              <w:rPr>
                <w:noProof/>
                <w:webHidden/>
              </w:rPr>
              <w:instrText xml:space="preserve"> PAGEREF _Toc468311746 \h </w:instrText>
            </w:r>
            <w:r w:rsidR="00AA3732">
              <w:rPr>
                <w:noProof/>
                <w:webHidden/>
              </w:rPr>
            </w:r>
            <w:r w:rsidR="00AA3732">
              <w:rPr>
                <w:noProof/>
                <w:webHidden/>
              </w:rPr>
              <w:fldChar w:fldCharType="separate"/>
            </w:r>
            <w:r w:rsidR="00AA3732">
              <w:rPr>
                <w:noProof/>
                <w:webHidden/>
              </w:rPr>
              <w:t>59</w:t>
            </w:r>
            <w:r w:rsidR="00AA3732">
              <w:rPr>
                <w:noProof/>
                <w:webHidden/>
              </w:rPr>
              <w:fldChar w:fldCharType="end"/>
            </w:r>
          </w:hyperlink>
        </w:p>
        <w:p w14:paraId="0951B664" w14:textId="77777777" w:rsidR="00AA3732" w:rsidRDefault="008F6669">
          <w:pPr>
            <w:pStyle w:val="TOC3"/>
            <w:tabs>
              <w:tab w:val="right" w:leader="dot" w:pos="9350"/>
            </w:tabs>
            <w:rPr>
              <w:rFonts w:asciiTheme="minorHAnsi" w:hAnsiTheme="minorHAnsi"/>
              <w:noProof/>
              <w:sz w:val="24"/>
              <w:szCs w:val="24"/>
              <w:lang w:eastAsia="zh-CN"/>
            </w:rPr>
          </w:pPr>
          <w:hyperlink w:anchor="_Toc468311747" w:history="1">
            <w:r w:rsidR="00AA3732" w:rsidRPr="00E3129F">
              <w:rPr>
                <w:rStyle w:val="Hyperlink"/>
                <w:noProof/>
              </w:rPr>
              <w:t>4.2. Gene expression of core metabolism response to substrate shifts</w:t>
            </w:r>
            <w:r w:rsidR="00AA3732">
              <w:rPr>
                <w:noProof/>
                <w:webHidden/>
              </w:rPr>
              <w:tab/>
            </w:r>
            <w:r w:rsidR="00AA3732">
              <w:rPr>
                <w:noProof/>
                <w:webHidden/>
              </w:rPr>
              <w:fldChar w:fldCharType="begin"/>
            </w:r>
            <w:r w:rsidR="00AA3732">
              <w:rPr>
                <w:noProof/>
                <w:webHidden/>
              </w:rPr>
              <w:instrText xml:space="preserve"> PAGEREF _Toc468311747 \h </w:instrText>
            </w:r>
            <w:r w:rsidR="00AA3732">
              <w:rPr>
                <w:noProof/>
                <w:webHidden/>
              </w:rPr>
            </w:r>
            <w:r w:rsidR="00AA3732">
              <w:rPr>
                <w:noProof/>
                <w:webHidden/>
              </w:rPr>
              <w:fldChar w:fldCharType="separate"/>
            </w:r>
            <w:r w:rsidR="00AA3732">
              <w:rPr>
                <w:noProof/>
                <w:webHidden/>
              </w:rPr>
              <w:t>61</w:t>
            </w:r>
            <w:r w:rsidR="00AA3732">
              <w:rPr>
                <w:noProof/>
                <w:webHidden/>
              </w:rPr>
              <w:fldChar w:fldCharType="end"/>
            </w:r>
          </w:hyperlink>
        </w:p>
        <w:p w14:paraId="1ECED4ED" w14:textId="77777777" w:rsidR="00AA3732" w:rsidRDefault="008F6669">
          <w:pPr>
            <w:pStyle w:val="TOC3"/>
            <w:tabs>
              <w:tab w:val="right" w:leader="dot" w:pos="9350"/>
            </w:tabs>
            <w:rPr>
              <w:rFonts w:asciiTheme="minorHAnsi" w:hAnsiTheme="minorHAnsi"/>
              <w:noProof/>
              <w:sz w:val="24"/>
              <w:szCs w:val="24"/>
              <w:lang w:eastAsia="zh-CN"/>
            </w:rPr>
          </w:pPr>
          <w:hyperlink w:anchor="_Toc468311748" w:history="1">
            <w:r w:rsidR="00AA3732" w:rsidRPr="00E3129F">
              <w:rPr>
                <w:rStyle w:val="Hyperlink"/>
                <w:noProof/>
              </w:rPr>
              <w:t>4.3. Supernatant metabolite profile showed more formate secretion than methane culture</w:t>
            </w:r>
            <w:r w:rsidR="00AA3732">
              <w:rPr>
                <w:noProof/>
                <w:webHidden/>
              </w:rPr>
              <w:tab/>
            </w:r>
            <w:r w:rsidR="00AA3732">
              <w:rPr>
                <w:noProof/>
                <w:webHidden/>
              </w:rPr>
              <w:fldChar w:fldCharType="begin"/>
            </w:r>
            <w:r w:rsidR="00AA3732">
              <w:rPr>
                <w:noProof/>
                <w:webHidden/>
              </w:rPr>
              <w:instrText xml:space="preserve"> PAGEREF _Toc468311748 \h </w:instrText>
            </w:r>
            <w:r w:rsidR="00AA3732">
              <w:rPr>
                <w:noProof/>
                <w:webHidden/>
              </w:rPr>
            </w:r>
            <w:r w:rsidR="00AA3732">
              <w:rPr>
                <w:noProof/>
                <w:webHidden/>
              </w:rPr>
              <w:fldChar w:fldCharType="separate"/>
            </w:r>
            <w:r w:rsidR="00AA3732">
              <w:rPr>
                <w:noProof/>
                <w:webHidden/>
              </w:rPr>
              <w:t>62</w:t>
            </w:r>
            <w:r w:rsidR="00AA3732">
              <w:rPr>
                <w:noProof/>
                <w:webHidden/>
              </w:rPr>
              <w:fldChar w:fldCharType="end"/>
            </w:r>
          </w:hyperlink>
        </w:p>
        <w:p w14:paraId="7FCB3D38" w14:textId="77777777" w:rsidR="00AA3732" w:rsidRDefault="008F6669">
          <w:pPr>
            <w:pStyle w:val="TOC3"/>
            <w:tabs>
              <w:tab w:val="right" w:leader="dot" w:pos="9350"/>
            </w:tabs>
            <w:rPr>
              <w:rFonts w:asciiTheme="minorHAnsi" w:hAnsiTheme="minorHAnsi"/>
              <w:noProof/>
              <w:sz w:val="24"/>
              <w:szCs w:val="24"/>
              <w:lang w:eastAsia="zh-CN"/>
            </w:rPr>
          </w:pPr>
          <w:hyperlink w:anchor="_Toc468311749" w:history="1">
            <w:r w:rsidR="00AA3732" w:rsidRPr="00E3129F">
              <w:rPr>
                <w:rStyle w:val="Hyperlink"/>
                <w:noProof/>
              </w:rPr>
              <w:t>4.4.</w:t>
            </w:r>
            <w:r w:rsidR="00AA3732" w:rsidRPr="00E3129F">
              <w:rPr>
                <w:rStyle w:val="Hyperlink"/>
                <w:noProof/>
                <w:vertAlign w:val="superscript"/>
              </w:rPr>
              <w:t>13</w:t>
            </w:r>
            <w:r w:rsidR="00AA3732" w:rsidRPr="00E3129F">
              <w:rPr>
                <w:rStyle w:val="Hyperlink"/>
                <w:noProof/>
              </w:rPr>
              <w:t>C tracer analysis elucidated relative flux ratio downstream of PEP node.</w:t>
            </w:r>
            <w:r w:rsidR="00AA3732">
              <w:rPr>
                <w:noProof/>
                <w:webHidden/>
              </w:rPr>
              <w:tab/>
            </w:r>
            <w:r w:rsidR="00AA3732">
              <w:rPr>
                <w:noProof/>
                <w:webHidden/>
              </w:rPr>
              <w:fldChar w:fldCharType="begin"/>
            </w:r>
            <w:r w:rsidR="00AA3732">
              <w:rPr>
                <w:noProof/>
                <w:webHidden/>
              </w:rPr>
              <w:instrText xml:space="preserve"> PAGEREF _Toc468311749 \h </w:instrText>
            </w:r>
            <w:r w:rsidR="00AA3732">
              <w:rPr>
                <w:noProof/>
                <w:webHidden/>
              </w:rPr>
            </w:r>
            <w:r w:rsidR="00AA3732">
              <w:rPr>
                <w:noProof/>
                <w:webHidden/>
              </w:rPr>
              <w:fldChar w:fldCharType="separate"/>
            </w:r>
            <w:r w:rsidR="00AA3732">
              <w:rPr>
                <w:noProof/>
                <w:webHidden/>
              </w:rPr>
              <w:t>62</w:t>
            </w:r>
            <w:r w:rsidR="00AA3732">
              <w:rPr>
                <w:noProof/>
                <w:webHidden/>
              </w:rPr>
              <w:fldChar w:fldCharType="end"/>
            </w:r>
          </w:hyperlink>
        </w:p>
        <w:p w14:paraId="32F8853B" w14:textId="77777777" w:rsidR="00AA3732" w:rsidRDefault="008F6669">
          <w:pPr>
            <w:pStyle w:val="TOC3"/>
            <w:tabs>
              <w:tab w:val="right" w:leader="dot" w:pos="9350"/>
            </w:tabs>
            <w:rPr>
              <w:rFonts w:asciiTheme="minorHAnsi" w:hAnsiTheme="minorHAnsi"/>
              <w:noProof/>
              <w:sz w:val="24"/>
              <w:szCs w:val="24"/>
              <w:lang w:eastAsia="zh-CN"/>
            </w:rPr>
          </w:pPr>
          <w:hyperlink w:anchor="_Toc468311750" w:history="1">
            <w:r w:rsidR="00AA3732" w:rsidRPr="00E3129F">
              <w:rPr>
                <w:rStyle w:val="Hyperlink"/>
                <w:noProof/>
              </w:rPr>
              <w:t>4.5. Modeling growth on methanol</w:t>
            </w:r>
            <w:r w:rsidR="00AA3732">
              <w:rPr>
                <w:noProof/>
                <w:webHidden/>
              </w:rPr>
              <w:tab/>
            </w:r>
            <w:r w:rsidR="00AA3732">
              <w:rPr>
                <w:noProof/>
                <w:webHidden/>
              </w:rPr>
              <w:fldChar w:fldCharType="begin"/>
            </w:r>
            <w:r w:rsidR="00AA3732">
              <w:rPr>
                <w:noProof/>
                <w:webHidden/>
              </w:rPr>
              <w:instrText xml:space="preserve"> PAGEREF _Toc468311750 \h </w:instrText>
            </w:r>
            <w:r w:rsidR="00AA3732">
              <w:rPr>
                <w:noProof/>
                <w:webHidden/>
              </w:rPr>
            </w:r>
            <w:r w:rsidR="00AA3732">
              <w:rPr>
                <w:noProof/>
                <w:webHidden/>
              </w:rPr>
              <w:fldChar w:fldCharType="separate"/>
            </w:r>
            <w:r w:rsidR="00AA3732">
              <w:rPr>
                <w:noProof/>
                <w:webHidden/>
              </w:rPr>
              <w:t>65</w:t>
            </w:r>
            <w:r w:rsidR="00AA3732">
              <w:rPr>
                <w:noProof/>
                <w:webHidden/>
              </w:rPr>
              <w:fldChar w:fldCharType="end"/>
            </w:r>
          </w:hyperlink>
        </w:p>
        <w:p w14:paraId="031BF3E4"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51" w:history="1">
            <w:r w:rsidR="00AA3732" w:rsidRPr="00E3129F">
              <w:rPr>
                <w:rStyle w:val="Hyperlink"/>
                <w:noProof/>
              </w:rPr>
              <w:t>Discussion</w:t>
            </w:r>
            <w:r w:rsidR="00AA3732">
              <w:rPr>
                <w:noProof/>
                <w:webHidden/>
              </w:rPr>
              <w:tab/>
            </w:r>
            <w:r w:rsidR="00AA3732">
              <w:rPr>
                <w:noProof/>
                <w:webHidden/>
              </w:rPr>
              <w:fldChar w:fldCharType="begin"/>
            </w:r>
            <w:r w:rsidR="00AA3732">
              <w:rPr>
                <w:noProof/>
                <w:webHidden/>
              </w:rPr>
              <w:instrText xml:space="preserve"> PAGEREF _Toc468311751 \h </w:instrText>
            </w:r>
            <w:r w:rsidR="00AA3732">
              <w:rPr>
                <w:noProof/>
                <w:webHidden/>
              </w:rPr>
            </w:r>
            <w:r w:rsidR="00AA3732">
              <w:rPr>
                <w:noProof/>
                <w:webHidden/>
              </w:rPr>
              <w:fldChar w:fldCharType="separate"/>
            </w:r>
            <w:r w:rsidR="00AA3732">
              <w:rPr>
                <w:noProof/>
                <w:webHidden/>
              </w:rPr>
              <w:t>69</w:t>
            </w:r>
            <w:r w:rsidR="00AA3732">
              <w:rPr>
                <w:noProof/>
                <w:webHidden/>
              </w:rPr>
              <w:fldChar w:fldCharType="end"/>
            </w:r>
          </w:hyperlink>
        </w:p>
        <w:p w14:paraId="626821EE"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52" w:history="1">
            <w:r w:rsidR="00AA3732" w:rsidRPr="00E3129F">
              <w:rPr>
                <w:rStyle w:val="Hyperlink"/>
                <w:noProof/>
              </w:rPr>
              <w:t>Conclusion</w:t>
            </w:r>
            <w:r w:rsidR="00AA3732">
              <w:rPr>
                <w:noProof/>
                <w:webHidden/>
              </w:rPr>
              <w:tab/>
            </w:r>
            <w:r w:rsidR="00AA3732">
              <w:rPr>
                <w:noProof/>
                <w:webHidden/>
              </w:rPr>
              <w:fldChar w:fldCharType="begin"/>
            </w:r>
            <w:r w:rsidR="00AA3732">
              <w:rPr>
                <w:noProof/>
                <w:webHidden/>
              </w:rPr>
              <w:instrText xml:space="preserve"> PAGEREF _Toc468311752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4FEA98D4"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53" w:history="1">
            <w:r w:rsidR="00AA3732" w:rsidRPr="00E3129F">
              <w:rPr>
                <w:rStyle w:val="Hyperlink"/>
                <w:noProof/>
              </w:rPr>
              <w:t>Method</w:t>
            </w:r>
            <w:r w:rsidR="00AA3732">
              <w:rPr>
                <w:noProof/>
                <w:webHidden/>
              </w:rPr>
              <w:tab/>
            </w:r>
            <w:r w:rsidR="00AA3732">
              <w:rPr>
                <w:noProof/>
                <w:webHidden/>
              </w:rPr>
              <w:fldChar w:fldCharType="begin"/>
            </w:r>
            <w:r w:rsidR="00AA3732">
              <w:rPr>
                <w:noProof/>
                <w:webHidden/>
              </w:rPr>
              <w:instrText xml:space="preserve"> PAGEREF _Toc468311753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75F5E709" w14:textId="77777777" w:rsidR="00AA3732" w:rsidRDefault="008F6669">
          <w:pPr>
            <w:pStyle w:val="TOC3"/>
            <w:tabs>
              <w:tab w:val="right" w:leader="dot" w:pos="9350"/>
            </w:tabs>
            <w:rPr>
              <w:rFonts w:asciiTheme="minorHAnsi" w:hAnsiTheme="minorHAnsi"/>
              <w:noProof/>
              <w:sz w:val="24"/>
              <w:szCs w:val="24"/>
              <w:lang w:eastAsia="zh-CN"/>
            </w:rPr>
          </w:pPr>
          <w:hyperlink w:anchor="_Toc468311754" w:history="1">
            <w:r w:rsidR="00AA3732" w:rsidRPr="00E3129F">
              <w:rPr>
                <w:rStyle w:val="Hyperlink"/>
                <w:noProof/>
              </w:rPr>
              <w:t xml:space="preserve">4.6. Cell culture for </w:t>
            </w:r>
            <w:r w:rsidR="00AA3732" w:rsidRPr="00E3129F">
              <w:rPr>
                <w:rStyle w:val="Hyperlink"/>
                <w:noProof/>
                <w:vertAlign w:val="superscript"/>
              </w:rPr>
              <w:t>13</w:t>
            </w:r>
            <w:r w:rsidR="00AA3732" w:rsidRPr="00E3129F">
              <w:rPr>
                <w:rStyle w:val="Hyperlink"/>
                <w:noProof/>
              </w:rPr>
              <w:t>C labeling experiment, phenotypic characterization, and medium composition</w:t>
            </w:r>
            <w:r w:rsidR="00AA3732">
              <w:rPr>
                <w:noProof/>
                <w:webHidden/>
              </w:rPr>
              <w:tab/>
            </w:r>
            <w:r w:rsidR="00AA3732">
              <w:rPr>
                <w:noProof/>
                <w:webHidden/>
              </w:rPr>
              <w:fldChar w:fldCharType="begin"/>
            </w:r>
            <w:r w:rsidR="00AA3732">
              <w:rPr>
                <w:noProof/>
                <w:webHidden/>
              </w:rPr>
              <w:instrText xml:space="preserve"> PAGEREF _Toc468311754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75AD454B" w14:textId="77777777" w:rsidR="00AA3732" w:rsidRDefault="008F6669">
          <w:pPr>
            <w:pStyle w:val="TOC3"/>
            <w:tabs>
              <w:tab w:val="right" w:leader="dot" w:pos="9350"/>
            </w:tabs>
            <w:rPr>
              <w:rFonts w:asciiTheme="minorHAnsi" w:hAnsiTheme="minorHAnsi"/>
              <w:noProof/>
              <w:sz w:val="24"/>
              <w:szCs w:val="24"/>
              <w:lang w:eastAsia="zh-CN"/>
            </w:rPr>
          </w:pPr>
          <w:hyperlink w:anchor="_Toc468311755" w:history="1">
            <w:r w:rsidR="00AA3732" w:rsidRPr="00E3129F">
              <w:rPr>
                <w:rStyle w:val="Hyperlink"/>
                <w:noProof/>
              </w:rPr>
              <w:t xml:space="preserve">4.7. Genetic manipulation of </w:t>
            </w:r>
            <w:r w:rsidR="00AA3732" w:rsidRPr="00E3129F">
              <w:rPr>
                <w:rStyle w:val="Hyperlink"/>
                <w:i/>
                <w:noProof/>
              </w:rPr>
              <w:t xml:space="preserve">M. buryatense </w:t>
            </w:r>
            <w:r w:rsidR="00AA3732" w:rsidRPr="00E3129F">
              <w:rPr>
                <w:rStyle w:val="Hyperlink"/>
                <w:noProof/>
              </w:rPr>
              <w:t>5GB1 with Ptac-tetR-PtetA system</w:t>
            </w:r>
            <w:r w:rsidR="00AA3732">
              <w:rPr>
                <w:noProof/>
                <w:webHidden/>
              </w:rPr>
              <w:tab/>
            </w:r>
            <w:r w:rsidR="00AA3732">
              <w:rPr>
                <w:noProof/>
                <w:webHidden/>
              </w:rPr>
              <w:fldChar w:fldCharType="begin"/>
            </w:r>
            <w:r w:rsidR="00AA3732">
              <w:rPr>
                <w:noProof/>
                <w:webHidden/>
              </w:rPr>
              <w:instrText xml:space="preserve"> PAGEREF _Toc468311755 \h </w:instrText>
            </w:r>
            <w:r w:rsidR="00AA3732">
              <w:rPr>
                <w:noProof/>
                <w:webHidden/>
              </w:rPr>
            </w:r>
            <w:r w:rsidR="00AA3732">
              <w:rPr>
                <w:noProof/>
                <w:webHidden/>
              </w:rPr>
              <w:fldChar w:fldCharType="separate"/>
            </w:r>
            <w:r w:rsidR="00AA3732">
              <w:rPr>
                <w:noProof/>
                <w:webHidden/>
              </w:rPr>
              <w:t>72</w:t>
            </w:r>
            <w:r w:rsidR="00AA3732">
              <w:rPr>
                <w:noProof/>
                <w:webHidden/>
              </w:rPr>
              <w:fldChar w:fldCharType="end"/>
            </w:r>
          </w:hyperlink>
        </w:p>
        <w:p w14:paraId="1348465C" w14:textId="77777777" w:rsidR="00AA3732" w:rsidRDefault="008F6669">
          <w:pPr>
            <w:pStyle w:val="TOC3"/>
            <w:tabs>
              <w:tab w:val="right" w:leader="dot" w:pos="9350"/>
            </w:tabs>
            <w:rPr>
              <w:rFonts w:asciiTheme="minorHAnsi" w:hAnsiTheme="minorHAnsi"/>
              <w:noProof/>
              <w:sz w:val="24"/>
              <w:szCs w:val="24"/>
              <w:lang w:eastAsia="zh-CN"/>
            </w:rPr>
          </w:pPr>
          <w:hyperlink w:anchor="_Toc468311756" w:history="1">
            <w:r w:rsidR="00AA3732" w:rsidRPr="00E3129F">
              <w:rPr>
                <w:rStyle w:val="Hyperlink"/>
                <w:noProof/>
              </w:rPr>
              <w:t>4.8.</w:t>
            </w:r>
            <w:r w:rsidR="00AA3732" w:rsidRPr="00E3129F">
              <w:rPr>
                <w:rStyle w:val="Hyperlink"/>
                <w:noProof/>
                <w:vertAlign w:val="superscript"/>
              </w:rPr>
              <w:t>13</w:t>
            </w:r>
            <w:r w:rsidR="00AA3732" w:rsidRPr="00E3129F">
              <w:rPr>
                <w:rStyle w:val="Hyperlink"/>
                <w:noProof/>
              </w:rPr>
              <w:t>C labeling pattern of metabolite measurements and targeted metabolomics analysis using LC/MS-MS</w:t>
            </w:r>
            <w:r w:rsidR="00AA3732">
              <w:rPr>
                <w:noProof/>
                <w:webHidden/>
              </w:rPr>
              <w:tab/>
            </w:r>
            <w:r w:rsidR="00AA3732">
              <w:rPr>
                <w:noProof/>
                <w:webHidden/>
              </w:rPr>
              <w:fldChar w:fldCharType="begin"/>
            </w:r>
            <w:r w:rsidR="00AA3732">
              <w:rPr>
                <w:noProof/>
                <w:webHidden/>
              </w:rPr>
              <w:instrText xml:space="preserve"> PAGEREF _Toc468311756 \h </w:instrText>
            </w:r>
            <w:r w:rsidR="00AA3732">
              <w:rPr>
                <w:noProof/>
                <w:webHidden/>
              </w:rPr>
            </w:r>
            <w:r w:rsidR="00AA3732">
              <w:rPr>
                <w:noProof/>
                <w:webHidden/>
              </w:rPr>
              <w:fldChar w:fldCharType="separate"/>
            </w:r>
            <w:r w:rsidR="00AA3732">
              <w:rPr>
                <w:noProof/>
                <w:webHidden/>
              </w:rPr>
              <w:t>73</w:t>
            </w:r>
            <w:r w:rsidR="00AA3732">
              <w:rPr>
                <w:noProof/>
                <w:webHidden/>
              </w:rPr>
              <w:fldChar w:fldCharType="end"/>
            </w:r>
          </w:hyperlink>
        </w:p>
        <w:p w14:paraId="56BFF17E" w14:textId="77777777" w:rsidR="00AA3732" w:rsidRDefault="008F6669">
          <w:pPr>
            <w:pStyle w:val="TOC3"/>
            <w:tabs>
              <w:tab w:val="right" w:leader="dot" w:pos="9350"/>
            </w:tabs>
            <w:rPr>
              <w:rFonts w:asciiTheme="minorHAnsi" w:hAnsiTheme="minorHAnsi"/>
              <w:noProof/>
              <w:sz w:val="24"/>
              <w:szCs w:val="24"/>
              <w:lang w:eastAsia="zh-CN"/>
            </w:rPr>
          </w:pPr>
          <w:hyperlink w:anchor="_Toc468311757" w:history="1">
            <w:r w:rsidR="00AA3732" w:rsidRPr="00E3129F">
              <w:rPr>
                <w:rStyle w:val="Hyperlink"/>
                <w:noProof/>
              </w:rPr>
              <w:t>4.9. Mathematically determine relative flux distribution in acetyl-CoA node.</w:t>
            </w:r>
            <w:r w:rsidR="00AA3732">
              <w:rPr>
                <w:noProof/>
                <w:webHidden/>
              </w:rPr>
              <w:tab/>
            </w:r>
            <w:r w:rsidR="00AA3732">
              <w:rPr>
                <w:noProof/>
                <w:webHidden/>
              </w:rPr>
              <w:fldChar w:fldCharType="begin"/>
            </w:r>
            <w:r w:rsidR="00AA3732">
              <w:rPr>
                <w:noProof/>
                <w:webHidden/>
              </w:rPr>
              <w:instrText xml:space="preserve"> PAGEREF _Toc468311757 \h </w:instrText>
            </w:r>
            <w:r w:rsidR="00AA3732">
              <w:rPr>
                <w:noProof/>
                <w:webHidden/>
              </w:rPr>
            </w:r>
            <w:r w:rsidR="00AA3732">
              <w:rPr>
                <w:noProof/>
                <w:webHidden/>
              </w:rPr>
              <w:fldChar w:fldCharType="separate"/>
            </w:r>
            <w:r w:rsidR="00AA3732">
              <w:rPr>
                <w:noProof/>
                <w:webHidden/>
              </w:rPr>
              <w:t>73</w:t>
            </w:r>
            <w:r w:rsidR="00AA3732">
              <w:rPr>
                <w:noProof/>
                <w:webHidden/>
              </w:rPr>
              <w:fldChar w:fldCharType="end"/>
            </w:r>
          </w:hyperlink>
        </w:p>
        <w:p w14:paraId="1CA03FD9" w14:textId="77777777" w:rsidR="00AA3732" w:rsidRDefault="008F6669">
          <w:pPr>
            <w:pStyle w:val="TOC3"/>
            <w:tabs>
              <w:tab w:val="right" w:leader="dot" w:pos="9350"/>
            </w:tabs>
            <w:rPr>
              <w:rFonts w:asciiTheme="minorHAnsi" w:hAnsiTheme="minorHAnsi"/>
              <w:noProof/>
              <w:sz w:val="24"/>
              <w:szCs w:val="24"/>
              <w:lang w:eastAsia="zh-CN"/>
            </w:rPr>
          </w:pPr>
          <w:hyperlink w:anchor="_Toc468311758" w:history="1">
            <w:r w:rsidR="00AA3732" w:rsidRPr="00E3129F">
              <w:rPr>
                <w:rStyle w:val="Hyperlink"/>
                <w:noProof/>
              </w:rPr>
              <w:t>4.10. RNA-seq data analysis</w:t>
            </w:r>
            <w:r w:rsidR="00AA3732">
              <w:rPr>
                <w:noProof/>
                <w:webHidden/>
              </w:rPr>
              <w:tab/>
            </w:r>
            <w:r w:rsidR="00AA3732">
              <w:rPr>
                <w:noProof/>
                <w:webHidden/>
              </w:rPr>
              <w:fldChar w:fldCharType="begin"/>
            </w:r>
            <w:r w:rsidR="00AA3732">
              <w:rPr>
                <w:noProof/>
                <w:webHidden/>
              </w:rPr>
              <w:instrText xml:space="preserve"> PAGEREF _Toc468311758 \h </w:instrText>
            </w:r>
            <w:r w:rsidR="00AA3732">
              <w:rPr>
                <w:noProof/>
                <w:webHidden/>
              </w:rPr>
            </w:r>
            <w:r w:rsidR="00AA3732">
              <w:rPr>
                <w:noProof/>
                <w:webHidden/>
              </w:rPr>
              <w:fldChar w:fldCharType="separate"/>
            </w:r>
            <w:r w:rsidR="00AA3732">
              <w:rPr>
                <w:noProof/>
                <w:webHidden/>
              </w:rPr>
              <w:t>74</w:t>
            </w:r>
            <w:r w:rsidR="00AA3732">
              <w:rPr>
                <w:noProof/>
                <w:webHidden/>
              </w:rPr>
              <w:fldChar w:fldCharType="end"/>
            </w:r>
          </w:hyperlink>
        </w:p>
        <w:p w14:paraId="4ABE2FD6" w14:textId="77777777" w:rsidR="00AA3732" w:rsidRDefault="008F6669">
          <w:pPr>
            <w:pStyle w:val="TOC3"/>
            <w:tabs>
              <w:tab w:val="right" w:leader="dot" w:pos="9350"/>
            </w:tabs>
            <w:rPr>
              <w:rFonts w:asciiTheme="minorHAnsi" w:hAnsiTheme="minorHAnsi"/>
              <w:noProof/>
              <w:sz w:val="24"/>
              <w:szCs w:val="24"/>
              <w:lang w:eastAsia="zh-CN"/>
            </w:rPr>
          </w:pPr>
          <w:hyperlink w:anchor="_Toc468311759" w:history="1">
            <w:r w:rsidR="00AA3732" w:rsidRPr="00E3129F">
              <w:rPr>
                <w:rStyle w:val="Hyperlink"/>
                <w:noProof/>
              </w:rPr>
              <w:t>4.11. Flux balance analysis and robustness analysis</w:t>
            </w:r>
            <w:r w:rsidR="00AA3732">
              <w:rPr>
                <w:noProof/>
                <w:webHidden/>
              </w:rPr>
              <w:tab/>
            </w:r>
            <w:r w:rsidR="00AA3732">
              <w:rPr>
                <w:noProof/>
                <w:webHidden/>
              </w:rPr>
              <w:fldChar w:fldCharType="begin"/>
            </w:r>
            <w:r w:rsidR="00AA3732">
              <w:rPr>
                <w:noProof/>
                <w:webHidden/>
              </w:rPr>
              <w:instrText xml:space="preserve"> PAGEREF _Toc468311759 \h </w:instrText>
            </w:r>
            <w:r w:rsidR="00AA3732">
              <w:rPr>
                <w:noProof/>
                <w:webHidden/>
              </w:rPr>
            </w:r>
            <w:r w:rsidR="00AA3732">
              <w:rPr>
                <w:noProof/>
                <w:webHidden/>
              </w:rPr>
              <w:fldChar w:fldCharType="separate"/>
            </w:r>
            <w:r w:rsidR="00AA3732">
              <w:rPr>
                <w:noProof/>
                <w:webHidden/>
              </w:rPr>
              <w:t>74</w:t>
            </w:r>
            <w:r w:rsidR="00AA3732">
              <w:rPr>
                <w:noProof/>
                <w:webHidden/>
              </w:rPr>
              <w:fldChar w:fldCharType="end"/>
            </w:r>
          </w:hyperlink>
        </w:p>
        <w:p w14:paraId="7D3E13EF"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60" w:history="1">
            <w:r w:rsidR="00AA3732" w:rsidRPr="00E3129F">
              <w:rPr>
                <w:rStyle w:val="Hyperlink"/>
                <w:noProof/>
              </w:rPr>
              <w:t>Tables</w:t>
            </w:r>
            <w:r w:rsidR="00AA3732">
              <w:rPr>
                <w:noProof/>
                <w:webHidden/>
              </w:rPr>
              <w:tab/>
            </w:r>
            <w:r w:rsidR="00AA3732">
              <w:rPr>
                <w:noProof/>
                <w:webHidden/>
              </w:rPr>
              <w:fldChar w:fldCharType="begin"/>
            </w:r>
            <w:r w:rsidR="00AA3732">
              <w:rPr>
                <w:noProof/>
                <w:webHidden/>
              </w:rPr>
              <w:instrText xml:space="preserve"> PAGEREF _Toc468311760 \h </w:instrText>
            </w:r>
            <w:r w:rsidR="00AA3732">
              <w:rPr>
                <w:noProof/>
                <w:webHidden/>
              </w:rPr>
            </w:r>
            <w:r w:rsidR="00AA3732">
              <w:rPr>
                <w:noProof/>
                <w:webHidden/>
              </w:rPr>
              <w:fldChar w:fldCharType="separate"/>
            </w:r>
            <w:r w:rsidR="00AA3732">
              <w:rPr>
                <w:noProof/>
                <w:webHidden/>
              </w:rPr>
              <w:t>75</w:t>
            </w:r>
            <w:r w:rsidR="00AA3732">
              <w:rPr>
                <w:noProof/>
                <w:webHidden/>
              </w:rPr>
              <w:fldChar w:fldCharType="end"/>
            </w:r>
          </w:hyperlink>
        </w:p>
        <w:p w14:paraId="518FA6F1"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61" w:history="1">
            <w:r w:rsidR="00AA3732" w:rsidRPr="00E3129F">
              <w:rPr>
                <w:rStyle w:val="Hyperlink"/>
                <w:noProof/>
              </w:rPr>
              <w:t>Supplemental materials</w:t>
            </w:r>
            <w:r w:rsidR="00AA3732">
              <w:rPr>
                <w:noProof/>
                <w:webHidden/>
              </w:rPr>
              <w:tab/>
            </w:r>
            <w:r w:rsidR="00AA3732">
              <w:rPr>
                <w:noProof/>
                <w:webHidden/>
              </w:rPr>
              <w:fldChar w:fldCharType="begin"/>
            </w:r>
            <w:r w:rsidR="00AA3732">
              <w:rPr>
                <w:noProof/>
                <w:webHidden/>
              </w:rPr>
              <w:instrText xml:space="preserve"> PAGEREF _Toc468311761 \h </w:instrText>
            </w:r>
            <w:r w:rsidR="00AA3732">
              <w:rPr>
                <w:noProof/>
                <w:webHidden/>
              </w:rPr>
            </w:r>
            <w:r w:rsidR="00AA3732">
              <w:rPr>
                <w:noProof/>
                <w:webHidden/>
              </w:rPr>
              <w:fldChar w:fldCharType="separate"/>
            </w:r>
            <w:r w:rsidR="00AA3732">
              <w:rPr>
                <w:noProof/>
                <w:webHidden/>
              </w:rPr>
              <w:t>78</w:t>
            </w:r>
            <w:r w:rsidR="00AA3732">
              <w:rPr>
                <w:noProof/>
                <w:webHidden/>
              </w:rPr>
              <w:fldChar w:fldCharType="end"/>
            </w:r>
          </w:hyperlink>
        </w:p>
        <w:p w14:paraId="0F0453C8" w14:textId="77777777" w:rsidR="00AA3732" w:rsidRDefault="008F6669">
          <w:pPr>
            <w:pStyle w:val="TOC1"/>
            <w:tabs>
              <w:tab w:val="right" w:leader="dot" w:pos="9350"/>
            </w:tabs>
            <w:rPr>
              <w:rFonts w:asciiTheme="minorHAnsi" w:hAnsiTheme="minorHAnsi"/>
              <w:b w:val="0"/>
              <w:noProof/>
              <w:sz w:val="24"/>
              <w:lang w:eastAsia="zh-CN"/>
            </w:rPr>
          </w:pPr>
          <w:hyperlink w:anchor="_Toc468311762" w:history="1">
            <w:r w:rsidR="00AA3732" w:rsidRPr="00AA3732">
              <w:rPr>
                <w:rStyle w:val="Hyperlink"/>
                <w:noProof/>
                <w:sz w:val="24"/>
              </w:rPr>
              <w:t>Chapter 5: Summary and future directions</w:t>
            </w:r>
            <w:r w:rsidR="00AA3732">
              <w:rPr>
                <w:noProof/>
                <w:webHidden/>
              </w:rPr>
              <w:tab/>
            </w:r>
            <w:r w:rsidR="00AA3732">
              <w:rPr>
                <w:noProof/>
                <w:webHidden/>
              </w:rPr>
              <w:fldChar w:fldCharType="begin"/>
            </w:r>
            <w:r w:rsidR="00AA3732">
              <w:rPr>
                <w:noProof/>
                <w:webHidden/>
              </w:rPr>
              <w:instrText xml:space="preserve"> PAGEREF _Toc468311762 \h </w:instrText>
            </w:r>
            <w:r w:rsidR="00AA3732">
              <w:rPr>
                <w:noProof/>
                <w:webHidden/>
              </w:rPr>
            </w:r>
            <w:r w:rsidR="00AA3732">
              <w:rPr>
                <w:noProof/>
                <w:webHidden/>
              </w:rPr>
              <w:fldChar w:fldCharType="separate"/>
            </w:r>
            <w:r w:rsidR="00AA3732">
              <w:rPr>
                <w:noProof/>
                <w:webHidden/>
              </w:rPr>
              <w:t>79</w:t>
            </w:r>
            <w:r w:rsidR="00AA3732">
              <w:rPr>
                <w:noProof/>
                <w:webHidden/>
              </w:rPr>
              <w:fldChar w:fldCharType="end"/>
            </w:r>
          </w:hyperlink>
        </w:p>
        <w:p w14:paraId="340EC62C"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63" w:history="1">
            <w:r w:rsidR="00AA3732" w:rsidRPr="00E3129F">
              <w:rPr>
                <w:rStyle w:val="Hyperlink"/>
                <w:noProof/>
              </w:rPr>
              <w:t>Summary</w:t>
            </w:r>
            <w:r w:rsidR="00AA3732">
              <w:rPr>
                <w:noProof/>
                <w:webHidden/>
              </w:rPr>
              <w:tab/>
            </w:r>
            <w:r w:rsidR="00AA3732">
              <w:rPr>
                <w:noProof/>
                <w:webHidden/>
              </w:rPr>
              <w:fldChar w:fldCharType="begin"/>
            </w:r>
            <w:r w:rsidR="00AA3732">
              <w:rPr>
                <w:noProof/>
                <w:webHidden/>
              </w:rPr>
              <w:instrText xml:space="preserve"> PAGEREF _Toc468311763 \h </w:instrText>
            </w:r>
            <w:r w:rsidR="00AA3732">
              <w:rPr>
                <w:noProof/>
                <w:webHidden/>
              </w:rPr>
            </w:r>
            <w:r w:rsidR="00AA3732">
              <w:rPr>
                <w:noProof/>
                <w:webHidden/>
              </w:rPr>
              <w:fldChar w:fldCharType="separate"/>
            </w:r>
            <w:r w:rsidR="00AA3732">
              <w:rPr>
                <w:noProof/>
                <w:webHidden/>
              </w:rPr>
              <w:t>79</w:t>
            </w:r>
            <w:r w:rsidR="00AA3732">
              <w:rPr>
                <w:noProof/>
                <w:webHidden/>
              </w:rPr>
              <w:fldChar w:fldCharType="end"/>
            </w:r>
          </w:hyperlink>
        </w:p>
        <w:p w14:paraId="35D54766" w14:textId="77777777" w:rsidR="00AA3732" w:rsidRDefault="008F6669">
          <w:pPr>
            <w:pStyle w:val="TOC2"/>
            <w:tabs>
              <w:tab w:val="right" w:leader="dot" w:pos="9350"/>
            </w:tabs>
            <w:rPr>
              <w:rFonts w:asciiTheme="minorHAnsi" w:hAnsiTheme="minorHAnsi"/>
              <w:b w:val="0"/>
              <w:noProof/>
              <w:sz w:val="24"/>
              <w:szCs w:val="24"/>
              <w:lang w:eastAsia="zh-CN"/>
            </w:rPr>
          </w:pPr>
          <w:hyperlink w:anchor="_Toc468311764" w:history="1">
            <w:r w:rsidR="00AA3732" w:rsidRPr="00E3129F">
              <w:rPr>
                <w:rStyle w:val="Hyperlink"/>
                <w:noProof/>
              </w:rPr>
              <w:t>Future directions</w:t>
            </w:r>
            <w:r w:rsidR="00AA3732">
              <w:rPr>
                <w:noProof/>
                <w:webHidden/>
              </w:rPr>
              <w:tab/>
            </w:r>
            <w:r w:rsidR="00AA3732">
              <w:rPr>
                <w:noProof/>
                <w:webHidden/>
              </w:rPr>
              <w:fldChar w:fldCharType="begin"/>
            </w:r>
            <w:r w:rsidR="00AA3732">
              <w:rPr>
                <w:noProof/>
                <w:webHidden/>
              </w:rPr>
              <w:instrText xml:space="preserve"> PAGEREF _Toc468311764 \h </w:instrText>
            </w:r>
            <w:r w:rsidR="00AA3732">
              <w:rPr>
                <w:noProof/>
                <w:webHidden/>
              </w:rPr>
            </w:r>
            <w:r w:rsidR="00AA3732">
              <w:rPr>
                <w:noProof/>
                <w:webHidden/>
              </w:rPr>
              <w:fldChar w:fldCharType="separate"/>
            </w:r>
            <w:r w:rsidR="00AA3732">
              <w:rPr>
                <w:noProof/>
                <w:webHidden/>
              </w:rPr>
              <w:t>80</w:t>
            </w:r>
            <w:r w:rsidR="00AA3732">
              <w:rPr>
                <w:noProof/>
                <w:webHidden/>
              </w:rPr>
              <w:fldChar w:fldCharType="end"/>
            </w:r>
          </w:hyperlink>
        </w:p>
        <w:p w14:paraId="5220DD7C" w14:textId="77777777" w:rsidR="00AA3732" w:rsidRDefault="008F6669">
          <w:pPr>
            <w:pStyle w:val="TOC1"/>
            <w:tabs>
              <w:tab w:val="right" w:leader="dot" w:pos="9350"/>
            </w:tabs>
            <w:rPr>
              <w:rFonts w:asciiTheme="minorHAnsi" w:hAnsiTheme="minorHAnsi"/>
              <w:b w:val="0"/>
              <w:noProof/>
              <w:sz w:val="24"/>
              <w:lang w:eastAsia="zh-CN"/>
            </w:rPr>
          </w:pPr>
          <w:hyperlink w:anchor="_Toc468311765" w:history="1">
            <w:r w:rsidR="00AA3732" w:rsidRPr="00AA3732">
              <w:rPr>
                <w:rStyle w:val="Hyperlink"/>
                <w:noProof/>
                <w:sz w:val="24"/>
              </w:rPr>
              <w:t>Bibliography</w:t>
            </w:r>
            <w:r w:rsidR="00AA3732">
              <w:rPr>
                <w:noProof/>
                <w:webHidden/>
              </w:rPr>
              <w:tab/>
            </w:r>
            <w:r w:rsidR="00AA3732">
              <w:rPr>
                <w:noProof/>
                <w:webHidden/>
              </w:rPr>
              <w:fldChar w:fldCharType="begin"/>
            </w:r>
            <w:r w:rsidR="00AA3732">
              <w:rPr>
                <w:noProof/>
                <w:webHidden/>
              </w:rPr>
              <w:instrText xml:space="preserve"> PAGEREF _Toc468311765 \h </w:instrText>
            </w:r>
            <w:r w:rsidR="00AA3732">
              <w:rPr>
                <w:noProof/>
                <w:webHidden/>
              </w:rPr>
            </w:r>
            <w:r w:rsidR="00AA3732">
              <w:rPr>
                <w:noProof/>
                <w:webHidden/>
              </w:rPr>
              <w:fldChar w:fldCharType="separate"/>
            </w:r>
            <w:r w:rsidR="00AA3732">
              <w:rPr>
                <w:noProof/>
                <w:webHidden/>
              </w:rPr>
              <w:t>81</w:t>
            </w:r>
            <w:r w:rsidR="00AA3732">
              <w:rPr>
                <w:noProof/>
                <w:webHidden/>
              </w:rPr>
              <w:fldChar w:fldCharType="end"/>
            </w:r>
          </w:hyperlink>
        </w:p>
        <w:p w14:paraId="11EE432C" w14:textId="77777777" w:rsidR="00072C57" w:rsidRDefault="00072C57" w:rsidP="00072C57">
          <w:pPr>
            <w:rPr>
              <w:rFonts w:cs="Arial"/>
              <w:noProof/>
              <w:szCs w:val="20"/>
            </w:rPr>
          </w:pPr>
          <w:r w:rsidRPr="000D5F05">
            <w:rPr>
              <w:rFonts w:cs="Arial"/>
              <w:b/>
              <w:bCs/>
              <w:noProof/>
              <w:szCs w:val="20"/>
            </w:rPr>
            <w:fldChar w:fldCharType="end"/>
          </w:r>
        </w:p>
      </w:sdtContent>
    </w:sdt>
    <w:p w14:paraId="756AAF69" w14:textId="77777777" w:rsidR="000A4DB9" w:rsidRPr="000D5F05" w:rsidRDefault="000A4DB9" w:rsidP="002B6B8A">
      <w:pPr>
        <w:jc w:val="center"/>
        <w:rPr>
          <w:rFonts w:eastAsiaTheme="majorEastAsia" w:cs="Arial"/>
          <w:b/>
          <w:bCs/>
          <w:szCs w:val="20"/>
        </w:rPr>
      </w:pPr>
    </w:p>
    <w:p w14:paraId="50E65A51" w14:textId="77777777" w:rsidR="00AC5EF0" w:rsidRDefault="00AC5EF0">
      <w:pPr>
        <w:spacing w:line="240" w:lineRule="auto"/>
        <w:rPr>
          <w:rFonts w:eastAsiaTheme="majorEastAsia" w:cs="Arial"/>
          <w:b/>
          <w:bCs/>
          <w:szCs w:val="20"/>
        </w:rPr>
      </w:pPr>
      <w:bookmarkStart w:id="3" w:name="_Toc301521550"/>
      <w:r>
        <w:rPr>
          <w:rFonts w:cs="Arial"/>
          <w:szCs w:val="20"/>
        </w:rPr>
        <w:br w:type="page"/>
      </w:r>
    </w:p>
    <w:p w14:paraId="659DFAA0" w14:textId="340DD84B" w:rsidR="00DC59BD" w:rsidRPr="006126B0" w:rsidRDefault="006126B0" w:rsidP="006126B0">
      <w:pPr>
        <w:pStyle w:val="Heading1"/>
      </w:pPr>
      <w:bookmarkStart w:id="4" w:name="_Toc468311695"/>
      <w:r>
        <w:lastRenderedPageBreak/>
        <w:t xml:space="preserve">Chapter </w:t>
      </w:r>
      <w:r w:rsidR="00804AA0" w:rsidRPr="006126B0">
        <w:t>1</w:t>
      </w:r>
      <w:r w:rsidR="00700D95">
        <w:t xml:space="preserve">: </w:t>
      </w:r>
      <w:r w:rsidR="00DC59BD" w:rsidRPr="006126B0">
        <w:t>Introduction</w:t>
      </w:r>
      <w:bookmarkEnd w:id="1"/>
      <w:bookmarkEnd w:id="2"/>
      <w:bookmarkEnd w:id="3"/>
      <w:bookmarkEnd w:id="4"/>
    </w:p>
    <w:p w14:paraId="1E1D323F" w14:textId="218EF1E0" w:rsidR="00F1266B" w:rsidRPr="00804AA0" w:rsidRDefault="00081111" w:rsidP="00804AA0">
      <w:pPr>
        <w:pStyle w:val="Heading2"/>
      </w:pPr>
      <w:bookmarkStart w:id="5" w:name="_Toc301520584"/>
      <w:bookmarkStart w:id="6" w:name="_Toc301521551"/>
      <w:bookmarkStart w:id="7" w:name="_Toc468311696"/>
      <w:r w:rsidRPr="00804AA0">
        <w:t xml:space="preserve">1.1 </w:t>
      </w:r>
      <w:proofErr w:type="spellStart"/>
      <w:r w:rsidR="00DC59BD" w:rsidRPr="00E272FF">
        <w:t>Methylotrophs</w:t>
      </w:r>
      <w:bookmarkEnd w:id="5"/>
      <w:bookmarkEnd w:id="6"/>
      <w:bookmarkEnd w:id="7"/>
      <w:proofErr w:type="spellEnd"/>
    </w:p>
    <w:p w14:paraId="6C84D260" w14:textId="46637DE9" w:rsidR="00A66320" w:rsidRPr="000D5F05" w:rsidRDefault="00981C8F" w:rsidP="009D2C19">
      <w:pPr>
        <w:rPr>
          <w:rFonts w:cs="Arial"/>
          <w:szCs w:val="20"/>
        </w:rPr>
      </w:pPr>
      <w:proofErr w:type="spellStart"/>
      <w:r w:rsidRPr="000D5F05">
        <w:rPr>
          <w:rFonts w:cs="Arial"/>
          <w:szCs w:val="20"/>
        </w:rPr>
        <w:t>Methyl</w:t>
      </w:r>
      <w:r w:rsidR="000D7271" w:rsidRPr="000D5F05">
        <w:rPr>
          <w:rFonts w:cs="Arial"/>
          <w:szCs w:val="20"/>
        </w:rPr>
        <w:t>o</w:t>
      </w:r>
      <w:r w:rsidRPr="000D5F05">
        <w:rPr>
          <w:rFonts w:cs="Arial"/>
          <w:szCs w:val="20"/>
        </w:rPr>
        <w:t>trophs</w:t>
      </w:r>
      <w:proofErr w:type="spellEnd"/>
      <w:r w:rsidRPr="000D5F05">
        <w:rPr>
          <w:rFonts w:cs="Arial"/>
          <w:szCs w:val="20"/>
        </w:rPr>
        <w:t xml:space="preserve"> are </w:t>
      </w:r>
      <w:r w:rsidR="000D7271" w:rsidRPr="000D5F05">
        <w:rPr>
          <w:rFonts w:cs="Arial"/>
          <w:szCs w:val="20"/>
        </w:rPr>
        <w:t xml:space="preserve">a group of </w:t>
      </w:r>
      <w:r w:rsidR="00A66320" w:rsidRPr="000D5F05">
        <w:rPr>
          <w:rFonts w:cs="Arial"/>
          <w:szCs w:val="20"/>
        </w:rPr>
        <w:t>microbes</w:t>
      </w:r>
      <w:r w:rsidR="000D7271" w:rsidRPr="000D5F05">
        <w:rPr>
          <w:rFonts w:cs="Arial"/>
          <w:szCs w:val="20"/>
        </w:rPr>
        <w:t xml:space="preserve"> could use reduced carbon substrate (C1 substrate</w:t>
      </w:r>
      <w:r w:rsidR="009D2C19" w:rsidRPr="000D5F05">
        <w:rPr>
          <w:rFonts w:cs="Arial"/>
          <w:szCs w:val="20"/>
        </w:rPr>
        <w:t xml:space="preserve"> without carbon-carbon bond</w:t>
      </w:r>
      <w:r w:rsidR="000D7271" w:rsidRPr="000D5F05">
        <w:rPr>
          <w:rFonts w:cs="Arial"/>
          <w:szCs w:val="20"/>
        </w:rPr>
        <w:t xml:space="preserve">) </w:t>
      </w:r>
      <w:r w:rsidR="00A074FF" w:rsidRPr="000D5F05">
        <w:rPr>
          <w:rFonts w:cs="Arial"/>
          <w:szCs w:val="20"/>
        </w:rPr>
        <w:t xml:space="preserve">such as methane, methanol, methylamine and </w:t>
      </w:r>
      <w:proofErr w:type="spellStart"/>
      <w:r w:rsidR="00A074FF" w:rsidRPr="000D5F05">
        <w:rPr>
          <w:rFonts w:cs="Arial"/>
          <w:szCs w:val="20"/>
        </w:rPr>
        <w:t>formate</w:t>
      </w:r>
      <w:proofErr w:type="spellEnd"/>
      <w:r w:rsidR="000D7271" w:rsidRPr="000D5F05">
        <w:rPr>
          <w:rFonts w:cs="Arial"/>
          <w:szCs w:val="20"/>
        </w:rPr>
        <w:t xml:space="preserve"> as sole carbon source and energy source</w:t>
      </w:r>
      <w:r w:rsidR="00A2204E" w:rsidRPr="000D5F05">
        <w:rPr>
          <w:rFonts w:cs="Arial"/>
          <w:szCs w:val="20"/>
        </w:rPr>
        <w:fldChar w:fldCharType="begin" w:fldLock="1"/>
      </w:r>
      <w:r w:rsidR="00AF0B7D">
        <w:rPr>
          <w:rFonts w:cs="Arial"/>
          <w:szCs w:val="20"/>
        </w:rPr>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rsidR="00A2204E" w:rsidRPr="000D5F05">
        <w:rPr>
          <w:rFonts w:cs="Arial"/>
          <w:szCs w:val="20"/>
        </w:rPr>
        <w:fldChar w:fldCharType="separate"/>
      </w:r>
      <w:r w:rsidR="00300EB6" w:rsidRPr="00300EB6">
        <w:rPr>
          <w:rFonts w:cs="Arial"/>
          <w:noProof/>
          <w:szCs w:val="20"/>
        </w:rPr>
        <w:t>[1]</w:t>
      </w:r>
      <w:r w:rsidR="00A2204E" w:rsidRPr="000D5F05">
        <w:rPr>
          <w:rFonts w:cs="Arial"/>
          <w:szCs w:val="20"/>
        </w:rPr>
        <w:fldChar w:fldCharType="end"/>
      </w:r>
      <w:r w:rsidR="00781C67" w:rsidRPr="000D5F05">
        <w:rPr>
          <w:rFonts w:cs="Arial"/>
          <w:szCs w:val="20"/>
        </w:rPr>
        <w:fldChar w:fldCharType="begin" w:fldLock="1"/>
      </w:r>
      <w:r w:rsidR="00AF0B7D">
        <w:rPr>
          <w:rFonts w:cs="Arial"/>
          <w:szCs w:val="20"/>
        </w:rPr>
        <w:instrText>ADDIN CSL_CITATION { "citationItems" : [ { "id" : "ITEM-1", "itemData" : { "DOI" : "10.1007/978-3-642-30141-4", "ISBN" : "978-3-642-30140-7", "author" : [ { "dropping-particle" : "", "family" : "Chistoserdova", "given" : "Ludmila", "non-dropping-particle" : "", "parse-names" : false, "suffix" : "" }, { "dropping-particle" : "", "family" : "Lidstrom", "given" : "Mary E.", "non-dropping-particle" : "", "parse-names" : false, "suffix" : "" } ], "editor" : [ { "dropping-particle" : "", "family" : "Rosenberg", "given" : "Eugene", "non-dropping-particle" : "", "parse-names" : false, "suffix" : "" }, { "dropping-particle" : "", "family" : "DeLong", "given" : "Edward F.", "non-dropping-particle" : "", "parse-names" : false, "suffix" : "" }, { "dropping-particle" : "", "family" : "Lory", "given" : "Stephen", "non-dropping-particle" : "", "parse-names" : false, "suffix" : "" }, { "dropping-particle" : "", "family" : "Stackebrandt", "given" : "Erko", "non-dropping-particle" : "", "parse-names" : false, "suffix" : "" }, { "dropping-particle" : "", "family" : "Thompson", "given" : "Fabiano", "non-dropping-particle" : "", "parse-names" : false, "suffix" : "" } ], "id" : "ITEM-1", "issued" : { "date-parts" : [ [ "2013" ] ] }, "number-of-pages" : "267-285", "publisher" : "Springer Berlin Heidelberg", "publisher-place" : "Berlin, Heidelberg", "title" : "Aerobic Methylotrophic Prokaryotes", "type" : "book" }, "uris" : [ "http://www.mendeley.com/documents/?uuid=282a6ea7-2b4a-4d7e-8051-012916543135" ] } ], "mendeley" : { "formattedCitation" : "[2]", "plainTextFormattedCitation" : "[2]", "previouslyFormattedCitation" : "[2]" }, "properties" : { "noteIndex" : 0 }, "schema" : "https://github.com/citation-style-language/schema/raw/master/csl-citation.json" }</w:instrText>
      </w:r>
      <w:r w:rsidR="00781C67" w:rsidRPr="000D5F05">
        <w:rPr>
          <w:rFonts w:cs="Arial"/>
          <w:szCs w:val="20"/>
        </w:rPr>
        <w:fldChar w:fldCharType="separate"/>
      </w:r>
      <w:r w:rsidR="00300EB6" w:rsidRPr="00300EB6">
        <w:rPr>
          <w:rFonts w:cs="Arial"/>
          <w:noProof/>
          <w:szCs w:val="20"/>
        </w:rPr>
        <w:t>[2]</w:t>
      </w:r>
      <w:r w:rsidR="00781C67" w:rsidRPr="000D5F05">
        <w:rPr>
          <w:rFonts w:cs="Arial"/>
          <w:szCs w:val="20"/>
        </w:rPr>
        <w:fldChar w:fldCharType="end"/>
      </w:r>
      <w:r w:rsidR="00E962D8" w:rsidRPr="000D5F05">
        <w:rPr>
          <w:rFonts w:cs="Arial"/>
          <w:szCs w:val="20"/>
        </w:rPr>
        <w:fldChar w:fldCharType="begin" w:fldLock="1"/>
      </w:r>
      <w:r w:rsidR="00AF0B7D">
        <w:rPr>
          <w:rFonts w:cs="Arial"/>
          <w:szCs w:val="20"/>
        </w:rPr>
        <w:instrText>ADDIN CSL_CITATION { "citationItems" : [ { "id" : "ITEM-1", "itemData" : { "DOI" : "10.1146/annurev.micro.091208.073600", "ISSN" : "1545-3251", "PMID" : "19514844", "abstract" : "In the past few years, the field of methylotrophy has undergone a significant transformation in terms of discovery of novel types of methylotrophs, novel modes of methylotrophy, and novel metabolic pathways. This time has also been marked by the resolution of long-standing questions regarding methylotrophy and the challenge of long-standing dogmas. This chapter is not intended to provide a comprehensive review of metabolism of methylotrophic bacteria. Instead we focus on significant recent discoveries that are both refining and transforming the current understanding of methylotrophy as a metabolic phenomenon. We also review new directions in methylotroph ecology that improve our understanding of the role of methylotrophy in global biogeochemical processes, along with an outlook for the future challenges in the field.", "author" : [ { "dropping-particle" : "", "family" : "Chistoserdova", "given" : "Ludmila", "non-dropping-particle" : "", "parse-names" : false, "suffix" : "" }, { "dropping-particle" : "", "family" : "Kalyuzhnaya", "given" : "Marina G", "non-dropping-particle" : "", "parse-names" : false, "suffix" : "" }, { "dropping-particle" : "", "family" : "Lidstrom", "given" : "Mary E", "non-dropping-particle" : "", "parse-names" : false, "suffix" : "" } ], "container-title" : "Annual review of microbiology", "id" : "ITEM-1", "issued" : { "date-parts" : [ [ "2009", "1" ] ] }, "page" : "477-99", "title" : "The expanding world of methylotrophic metabolism.", "type" : "article-journal", "volume" : "63" }, "uris" : [ "http://www.mendeley.com/documents/?uuid=8709a904-6ad8-479c-98fb-c4f4743dd4f0" ] } ], "mendeley" : { "formattedCitation" : "[3]", "plainTextFormattedCitation" : "[3]", "previouslyFormattedCitation" : "[3]" }, "properties" : { "noteIndex" : 0 }, "schema" : "https://github.com/citation-style-language/schema/raw/master/csl-citation.json" }</w:instrText>
      </w:r>
      <w:r w:rsidR="00E962D8" w:rsidRPr="000D5F05">
        <w:rPr>
          <w:rFonts w:cs="Arial"/>
          <w:szCs w:val="20"/>
        </w:rPr>
        <w:fldChar w:fldCharType="separate"/>
      </w:r>
      <w:r w:rsidR="00300EB6" w:rsidRPr="00300EB6">
        <w:rPr>
          <w:rFonts w:cs="Arial"/>
          <w:noProof/>
          <w:szCs w:val="20"/>
        </w:rPr>
        <w:t>[3]</w:t>
      </w:r>
      <w:r w:rsidR="00E962D8" w:rsidRPr="000D5F05">
        <w:rPr>
          <w:rFonts w:cs="Arial"/>
          <w:szCs w:val="20"/>
        </w:rPr>
        <w:fldChar w:fldCharType="end"/>
      </w:r>
      <w:r w:rsidR="00A074FF" w:rsidRPr="000D5F05">
        <w:rPr>
          <w:rFonts w:cs="Arial"/>
          <w:szCs w:val="20"/>
        </w:rPr>
        <w:t xml:space="preserve">. </w:t>
      </w:r>
      <w:r w:rsidR="00A66320" w:rsidRPr="000D5F05">
        <w:rPr>
          <w:rFonts w:cs="Arial"/>
          <w:szCs w:val="20"/>
        </w:rPr>
        <w:t xml:space="preserve">Furthermore, </w:t>
      </w:r>
      <w:proofErr w:type="spellStart"/>
      <w:r w:rsidR="00A66320" w:rsidRPr="000D5F05">
        <w:rPr>
          <w:rFonts w:cs="Arial"/>
          <w:szCs w:val="20"/>
        </w:rPr>
        <w:t>methanotrophs</w:t>
      </w:r>
      <w:proofErr w:type="spellEnd"/>
      <w:r w:rsidR="00A66320" w:rsidRPr="000D5F05">
        <w:rPr>
          <w:rFonts w:cs="Arial"/>
          <w:szCs w:val="20"/>
        </w:rPr>
        <w:t xml:space="preserve"> are a subgroup of </w:t>
      </w:r>
      <w:proofErr w:type="spellStart"/>
      <w:r w:rsidR="00A66320" w:rsidRPr="000D5F05">
        <w:rPr>
          <w:rFonts w:cs="Arial"/>
          <w:szCs w:val="20"/>
        </w:rPr>
        <w:t>methylotrphs</w:t>
      </w:r>
      <w:proofErr w:type="spellEnd"/>
      <w:r w:rsidR="00A66320" w:rsidRPr="000D5F05">
        <w:rPr>
          <w:rFonts w:cs="Arial"/>
          <w:szCs w:val="20"/>
        </w:rPr>
        <w:t xml:space="preserve"> that could grow on methane</w:t>
      </w:r>
      <w:r w:rsidR="007B37C4" w:rsidRPr="000D5F05">
        <w:rPr>
          <w:rFonts w:cs="Arial"/>
          <w:szCs w:val="20"/>
        </w:rPr>
        <w:t>, which play an import role in global methane oxidation</w:t>
      </w:r>
      <w:r w:rsidR="005047C9" w:rsidRPr="000D5F05">
        <w:rPr>
          <w:rFonts w:cs="Arial"/>
          <w:szCs w:val="20"/>
        </w:rPr>
        <w:fldChar w:fldCharType="begin" w:fldLock="1"/>
      </w:r>
      <w:r w:rsidR="00AF0B7D">
        <w:rPr>
          <w:rFonts w:cs="Arial"/>
          <w:szCs w:val="20"/>
        </w:rPr>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rsidR="005047C9" w:rsidRPr="000D5F05">
        <w:rPr>
          <w:rFonts w:cs="Arial"/>
          <w:szCs w:val="20"/>
        </w:rPr>
        <w:fldChar w:fldCharType="separate"/>
      </w:r>
      <w:r w:rsidR="00300EB6" w:rsidRPr="00300EB6">
        <w:rPr>
          <w:rFonts w:cs="Arial"/>
          <w:noProof/>
          <w:szCs w:val="20"/>
        </w:rPr>
        <w:t>[1]</w:t>
      </w:r>
      <w:r w:rsidR="005047C9" w:rsidRPr="000D5F05">
        <w:rPr>
          <w:rFonts w:cs="Arial"/>
          <w:szCs w:val="20"/>
        </w:rPr>
        <w:fldChar w:fldCharType="end"/>
      </w:r>
      <w:r w:rsidR="005047C9" w:rsidRPr="000D5F05">
        <w:rPr>
          <w:rFonts w:cs="Arial"/>
          <w:szCs w:val="20"/>
        </w:rPr>
        <w:fldChar w:fldCharType="begin" w:fldLock="1"/>
      </w:r>
      <w:r w:rsidR="00AF0B7D">
        <w:rPr>
          <w:rFonts w:cs="Arial"/>
          <w:szCs w:val="20"/>
        </w:rPr>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"142-152", "title" : "Metabolic engineering in methanotrophic bacteria.", "type" : "article-journal", "volume" : "29" }, "uris" : [ "http://www.mendeley.com/documents/?uuid=c1eb0f99-f2fa-4666-9994-4a45e87be165" ] } ], "mendeley" : { "formattedCitation" : "[4]", "plainTextFormattedCitation" : "[4]", "previouslyFormattedCitation" : "[4]" }, "properties" : { "noteIndex" : 0 }, "schema" : "https://github.com/citation-style-language/schema/raw/master/csl-citation.json" }</w:instrText>
      </w:r>
      <w:r w:rsidR="005047C9" w:rsidRPr="000D5F05">
        <w:rPr>
          <w:rFonts w:cs="Arial"/>
          <w:szCs w:val="20"/>
        </w:rPr>
        <w:fldChar w:fldCharType="separate"/>
      </w:r>
      <w:r w:rsidR="00300EB6" w:rsidRPr="00300EB6">
        <w:rPr>
          <w:rFonts w:cs="Arial"/>
          <w:noProof/>
          <w:szCs w:val="20"/>
        </w:rPr>
        <w:t>[4]</w:t>
      </w:r>
      <w:r w:rsidR="005047C9" w:rsidRPr="000D5F05">
        <w:rPr>
          <w:rFonts w:cs="Arial"/>
          <w:szCs w:val="20"/>
        </w:rPr>
        <w:fldChar w:fldCharType="end"/>
      </w:r>
      <w:r w:rsidR="00A66320" w:rsidRPr="000D5F05">
        <w:rPr>
          <w:rFonts w:cs="Arial"/>
          <w:szCs w:val="20"/>
        </w:rPr>
        <w:t xml:space="preserve">. </w:t>
      </w:r>
    </w:p>
    <w:p w14:paraId="65DCFC83" w14:textId="2F0AB1D6" w:rsidR="00725BBF" w:rsidRPr="000D5F05" w:rsidRDefault="00725BBF" w:rsidP="00804AA0">
      <w:pPr>
        <w:rPr>
          <w:rFonts w:cs="Arial"/>
          <w:szCs w:val="20"/>
        </w:rPr>
      </w:pPr>
      <w:r w:rsidRPr="000D5F05">
        <w:rPr>
          <w:rFonts w:cs="Arial"/>
          <w:szCs w:val="20"/>
        </w:rPr>
        <w:t>In recently years, a rising interests on using microbes for</w:t>
      </w:r>
      <w:r w:rsidR="0076123F" w:rsidRPr="000D5F05">
        <w:rPr>
          <w:rFonts w:cs="Arial"/>
          <w:szCs w:val="20"/>
        </w:rPr>
        <w:t xml:space="preserve"> high value chemicals </w:t>
      </w:r>
      <w:r w:rsidR="00CA0832" w:rsidRPr="000D5F05">
        <w:rPr>
          <w:rFonts w:cs="Arial"/>
          <w:szCs w:val="20"/>
        </w:rPr>
        <w:t>and biofuel production</w:t>
      </w:r>
      <w:r w:rsidRPr="000D5F05">
        <w:rPr>
          <w:rFonts w:cs="Arial"/>
          <w:szCs w:val="20"/>
        </w:rPr>
        <w:t xml:space="preserve"> </w:t>
      </w:r>
      <w:r w:rsidR="00CA0832" w:rsidRPr="000D5F05">
        <w:rPr>
          <w:rFonts w:cs="Arial"/>
          <w:szCs w:val="20"/>
        </w:rPr>
        <w:t>have</w:t>
      </w:r>
      <w:r w:rsidRPr="000D5F05">
        <w:rPr>
          <w:rFonts w:cs="Arial"/>
          <w:szCs w:val="20"/>
        </w:rPr>
        <w:t xml:space="preserve"> been observed</w:t>
      </w:r>
      <w:r w:rsidR="003166E2" w:rsidRPr="000D5F05">
        <w:rPr>
          <w:rFonts w:cs="Arial"/>
          <w:szCs w:val="20"/>
        </w:rPr>
        <w:t xml:space="preserve"> with the hope of building </w:t>
      </w:r>
      <w:proofErr w:type="spellStart"/>
      <w:r w:rsidR="003166E2" w:rsidRPr="000D5F05">
        <w:rPr>
          <w:rFonts w:cs="Arial"/>
          <w:szCs w:val="20"/>
        </w:rPr>
        <w:t>biorenewable</w:t>
      </w:r>
      <w:proofErr w:type="spellEnd"/>
      <w:r w:rsidR="003166E2" w:rsidRPr="000D5F05">
        <w:rPr>
          <w:rFonts w:cs="Arial"/>
          <w:szCs w:val="20"/>
        </w:rPr>
        <w:t xml:space="preserve"> system to </w:t>
      </w:r>
      <w:r w:rsidR="0076123F" w:rsidRPr="000D5F05">
        <w:rPr>
          <w:rFonts w:cs="Arial"/>
          <w:szCs w:val="20"/>
        </w:rPr>
        <w:t>substitute</w:t>
      </w:r>
      <w:r w:rsidR="003166E2" w:rsidRPr="000D5F05">
        <w:rPr>
          <w:rFonts w:cs="Arial"/>
          <w:szCs w:val="20"/>
        </w:rPr>
        <w:t xml:space="preserve"> fossil fuel and petroleum derived substrate</w:t>
      </w:r>
      <w:r w:rsidR="00D200B5" w:rsidRPr="000D5F05">
        <w:rPr>
          <w:rFonts w:cs="Arial"/>
          <w:szCs w:val="20"/>
        </w:rPr>
        <w:fldChar w:fldCharType="begin" w:fldLock="1"/>
      </w:r>
      <w:r w:rsidR="00AF0B7D">
        <w:rPr>
          <w:rFonts w:cs="Arial"/>
          <w:szCs w:val="20"/>
        </w:rPr>
        <w:instrText>ADDIN CSL_CITATION { "citationItems" : [ { "id" : "ITEM-1", "itemData" : { "DOI" : "10.1016/j.biortech.2012.09.104", "ISSN" : "1873-2976", "PMID" : "23186690", "abstract" : "Microbial production of fuel and chemical feedstock is a promising approach to solving energy and environmental problems. n-Butanol, isobutanol and other higher alcohols are of particular interest because they can serve as both fuel and chemical feedstock. Alternative resources such as CO2, syngas, waste protein, and lignocellulose are currently being investigated for their potential to produce these compounds. Except for lignocellulose, utilization of such alternative resource has not been examined extensively. This review aims to summarize the development of metabolic pathways for efficient synthesis of these higher alcohols and the current status of microbial strain development for the conversion of diverse resources into higher alcohols.", "author" : [ { "dropping-particle" : "", "family" : "Lan", "given" : "Ethan I", "non-dropping-particle" : "", "parse-names" : false, "suffix" : "" }, { "dropping-particle" : "", "family" : "Liao", "given" : "James C", "non-dropping-particle" : "", "parse-names" : false, "suffix" : "" } ], "container-title" : "Bioresource technology", "id" : "ITEM-1", "issued" : { "date-parts" : [ [ "2013", "5" ] ] }, "page" : "339-49", "title" : "Microbial synthesis of n-butanol, isobutanol, and other higher alcohols from diverse resources.", "type" : "article-journal", "volume" : "135" }, "uris" : [ "http://www.mendeley.com/documents/?uuid=570f704f-9496-4b81-b399-ef27ff6c315b" ] }, { "id" : "ITEM-2", "itemData" : { "DOI" : "10.1016/j.cbpa.2013.03.037", "ISSN" : "1879-0402", "PMID" : "23623045", "abstract" : "Next-generation biofuels must be compatible with current transportation infrastructure and be derived from environmentally sustainable resources that do not compete with food crops. Many bacterial species have unique properties advantageous to the production of such next-generation fuels. However, no single species possesses all characteristics necessary to make high quantities of fuels from plant waste or CO2. Species containing a subset of the desired characteristics are used as starting points for engineering organisms with all desired attributes. Metabolic engineering of model organisms has yielded high titer production of advanced fuels, including alcohols, isoprenoids, and fatty acid derivatives. Technical developments now allow engineering of native fuel producers, as well as lignocellulolytic and autotrophic bacteria, for the production of biofuels. Continued research on multiple fronts is required to engineer organisms for truly sustainable and economical biofuel production.", "author" : [ { "dropping-particle" : "", "family" : "Gronenberg", "given" : "Luisa S", "non-dropping-particle" : "", "parse-names" : false, "suffix" : "" }, { "dropping-particle" : "", "family" : "Marcheschi", "given" : "Ryan J", "non-dropping-particle" : "", "parse-names" : false, "suffix" : "" }, { "dropping-particle" : "", "family" : "Liao", "given" : "James C", "non-dropping-particle" : "", "parse-names" : false, "suffix" : "" } ], "container-title" : "Current opinion in chemical biology", "id" : "ITEM-2", "issue" : "3", "issued" : { "date-parts" : [ [ "2013", "6" ] ] }, "page" : "462-71", "title" : "Next generation biofuel engineering in prokaryotes.", "type" : "article-journal", "volume" : "17" }, "uris" : [ "http://www.mendeley.com/documents/?uuid=73fa6ae9-8828-467d-8674-3216c208c197" ] }, { "id" : "ITEM-3", "itemData" : { "DOI" : "10.1038/nchembio.1519", "ISSN" : "1552-4469", "PMID" : "24743245", "abstract" : "Biotechnology is a central focus in efforts to provide sustainable solutions for the provision of fuels, chemicals and materials. On the basis of a recent open discussion, we summarize the development of this field, highlighting the distinct but complementary approaches provided by metabolic engineering and synthetic biology for the creation of efficient cell factories to convert biomass and other feedstocks to desired chemicals.", "author" : [ { "dropping-particle" : "", "family" : "Nielsen", "given" : "Jens", "non-dropping-particle" : "", "parse-names" : false, "suffix" : "" }, { "dropping-particle" : "", "family" : "Fussenegger", "given" : "Martin", "non-dropping-particle" : "", "parse-names" : false, "suffix" : "" }, { "dropping-particle" : "", "family" : "Keasling", "given" : "Jay", "non-dropping-particle" : "", "parse-names" : false, "suffix" : "" }, { "dropping-particle" : "", "family" : "Lee", "given" : "Sang Yup", "non-dropping-particle" : "", "parse-names" : false, "suffix" : "" }, { "dropping-particle" : "", "family" : "Liao", "given" : "James C", "non-dropping-particle" : "", "parse-names" : false, "suffix" : "" }, { "dropping-particle" : "", "family" : "Prather", "given" : "Kristala", "non-dropping-particle" : "", "parse-names" : false, "suffix" : "" }, { "dropping-particle" : "", "family" : "Palsson", "given" : "Bernhard", "non-dropping-particle" : "", "parse-names" : false, "suffix" : "" } ], "container-title" : "Nature chemical biology", "id" : "ITEM-3", "issue" : "5", "issued" : { "date-parts" : [ [ "2014", "5" ] ] }, "page" : "319-22", "publisher" : "Nature Publishing Group, a division of Macmillan Publishers Limited. All Rights Reserved.", "title" : "Engineering synergy in biotechnology.", "title-short" : "Nat Chem Biol", "type" : "article-journal", "volume" : "10" }, "uris" : [ "http://www.mendeley.com/documents/?uuid=b6a7d444-bd33-44a2-b795-4da14ddcf7ff" ] }, { "id" : "ITEM-4", "itemData" : { "DOI" : "10.1099/mic.0.29028-0", "ISSN" : "1350-0872", "PMID" : "16946248", "abstract" : "Biodiesel is an alternative energy source and a substitute for petroleum-based diesel fuel. It is produced from renewable biomass by transesterification of triacylglycerols from plant oils, yielding monoalkyl esters of long-chain fatty acids with short-chain alcohols such as fatty acid methyl esters and fatty acid ethyl esters (FAEEs). Despite numerous environmental benefits, a broader use of biodiesel is hampered by the extensive acreage required for sufficient production of oilseed crops. Therefore, processes are urgently needed to enable biodiesel production from more readily available bulk plant materials like sugars or cellulose. Toward this goal, the authors established biosynthesis of biodiesel-adequate FAEEs, referred to as Microdiesel, in metabolically engineered Escherichia coli. This was achieved by heterologous expression in E. coli of the Zymomonas mobilis pyruvate decarboxylase and alcohol dehydrogenase and the unspecific acyltransferase from Acinetobacter baylyi strain ADP1. By this approach, ethanol formation was combined with subsequent esterification of the ethanol with the acyl moieties of coenzyme A thioesters of fatty acids if the cells were cultivated under aerobic conditions in the presence of glucose and oleic acid. Ethyl oleate was the major constituent of these FAEEs, with minor amounts of ethyl palmitate and ethyl palmitoleate. FAEE concentrations of 1.28 g l(-1) and a FAEE content of the cells of 26 % of the cellular dry mass were achieved by fed-batch fermentation using renewable carbon sources. This novel approach might pave the way for industrial production of biodiesel equivalents from renewable resources by employing engineered micro-organisms, enabling a broader use of biodiesel-like fuels in the future.", "author" : [ { "dropping-particle" : "", "family" : "Kalscheuer", "given" : "Rainer", "non-dropping-particle" : "", "parse-names" : false, "suffix" : "" }, { "dropping-particle" : "", "family" : "St\u00f6lting", "given" : "Torsten", "non-dropping-particle" : "", "parse-names" : false, "suffix" : "" }, { "dropping-particle" : "", "family" : "Steinb\u00fcchel", "given" : "Alexander", "non-dropping-particle" : "", "parse-names" : false, "suffix" : "" } ], "container-title" : "Microbiology (Reading, England)", "id" : "ITEM-4", "issue" : "Pt 9", "issued" : { "date-parts" : [ [ "2006", "9" ] ] }, "page" : "2529-36", "title" : "Microdiesel: Escherichia coli engineered for fuel production.", "type" : "article-journal", "volume" : "152" }, "uris" : [ "http://www.mendeley.com/documents/?uuid=a5eeec11-cbfd-434d-abb6-970bc89993b1" ] }, { "id" : "ITEM-5", "itemData" : { "DOI" : "10.1016/j.cbpa.2008.01.025", "ISSN" : "1367-5931", "PMID" : "18275861", "abstract" : "The conversion of biomass to fuels is advancing on two fronts: first, to enhance the usability of biomass and second, to generate the best fuel molecule(s). Lignin generally presents a barrier to biomass utilization; this problem may be circumvented by the genetic alteration of lignin-producing plants. Plant cellulosic material will need to be utilized more efficiently, requiring a greater knowledge of the multiprotein complex, the cellulosome. Many biofuel types are being considered: alcohols, esters, ethers, and hydrocarbons. Intrinsic alcohol toxicity to cells may impose limitations on ethanol and n-butanol production. Biodiesel, or fatty acid esters, can now be synthesized via recombinant Escherichia coli and may offer an improvement over alcohol fermentations. Biopetroleum (hydrocarbons) is being considered as an alternative biofuel.", "author" : [ { "dropping-particle" : "", "family" : "Wackett", "given" : "Lawrence P", "non-dropping-particle" : "", "parse-names" : false, "suffix" : "" } ], "container-title" : "Current opinion in chemical biology", "id" : "ITEM-5", "issue" : "2", "issued" : { "date-parts" : [ [ "2008", "4" ] ] }, "page" : "187-93", "title" : "Biomass to fuels via microbial transformations.", "type" : "article-journal", "volume" : "12" }, "uris" : [ "http://www.mendeley.com/documents/?uuid=8fe94b5e-36ec-47d8-95b5-e201372bdbbf" ] } ], "mendeley" : { "formattedCitation" : "[5\u20139]", "plainTextFormattedCitation" : "[5\u20139]", "previouslyFormattedCitation" : "[5\u20139]" }, "properties" : { "noteIndex" : 0 }, "schema" : "https://github.com/citation-style-language/schema/raw/master/csl-citation.json" }</w:instrText>
      </w:r>
      <w:r w:rsidR="00D200B5" w:rsidRPr="000D5F05">
        <w:rPr>
          <w:rFonts w:cs="Arial"/>
          <w:szCs w:val="20"/>
        </w:rPr>
        <w:fldChar w:fldCharType="separate"/>
      </w:r>
      <w:r w:rsidR="00300EB6" w:rsidRPr="00300EB6">
        <w:rPr>
          <w:rFonts w:cs="Arial"/>
          <w:noProof/>
          <w:szCs w:val="20"/>
        </w:rPr>
        <w:t>[5–9]</w:t>
      </w:r>
      <w:r w:rsidR="00D200B5" w:rsidRPr="000D5F05">
        <w:rPr>
          <w:rFonts w:cs="Arial"/>
          <w:szCs w:val="20"/>
        </w:rPr>
        <w:fldChar w:fldCharType="end"/>
      </w:r>
      <w:r w:rsidRPr="000D5F05">
        <w:rPr>
          <w:rFonts w:cs="Arial"/>
          <w:szCs w:val="20"/>
        </w:rPr>
        <w:t xml:space="preserve">. Under this context, </w:t>
      </w:r>
      <w:proofErr w:type="spellStart"/>
      <w:r w:rsidR="008E2A7C" w:rsidRPr="000D5F05">
        <w:rPr>
          <w:rFonts w:cs="Arial"/>
          <w:szCs w:val="20"/>
        </w:rPr>
        <w:t>methylotrophs</w:t>
      </w:r>
      <w:proofErr w:type="spellEnd"/>
      <w:r w:rsidR="008E2A7C" w:rsidRPr="000D5F05">
        <w:rPr>
          <w:rFonts w:cs="Arial"/>
          <w:szCs w:val="20"/>
        </w:rPr>
        <w:t xml:space="preserve"> are attractive </w:t>
      </w:r>
      <w:proofErr w:type="spellStart"/>
      <w:r w:rsidR="008E2A7C" w:rsidRPr="000D5F05">
        <w:rPr>
          <w:rFonts w:cs="Arial"/>
          <w:szCs w:val="20"/>
        </w:rPr>
        <w:t>biosytems</w:t>
      </w:r>
      <w:proofErr w:type="spellEnd"/>
      <w:r w:rsidR="008E2A7C" w:rsidRPr="000D5F05">
        <w:rPr>
          <w:rFonts w:cs="Arial"/>
          <w:szCs w:val="20"/>
        </w:rPr>
        <w:t xml:space="preserve"> for methane or methanol based bioconversion due to the fact that the conversion could happen near room temperature and pressure. They could be particularly useful for the production of single cell protein, vitamins, and biofuels from substrate which is cheap and abundant</w:t>
      </w:r>
      <w:r w:rsidR="00BF721B" w:rsidRPr="000D5F05">
        <w:rPr>
          <w:rFonts w:cs="Arial"/>
          <w:szCs w:val="20"/>
        </w:rPr>
        <w:fldChar w:fldCharType="begin" w:fldLock="1"/>
      </w:r>
      <w:r w:rsidR="00AF0B7D">
        <w:rPr>
          <w:rFonts w:cs="Arial"/>
          <w:szCs w:val="20"/>
        </w:rPr>
        <w:instrText>ADDIN CSL_CITATION { "citationItems" : [ { "id" : "ITEM-1", "itemData" : { "DOI" : "10.1038/nchembio.1509", "ISSN" : "1552-4469", "PMID" : "24743257", "abstract" : "If methane, the main component of natural gas, can be efficiently converted to liquid fuels, world reserves of methane could satisfy the demand for transportation fuels in addition to use in other sectors. However, the direct activation of strong C-H bonds in methane and conversion to desired products remains a difficult technological challenge. This perspective reveals an opportunity to rethink the logic of biological methane activation and conversion to liquid fuels. We formulate a vision for a new foundation for methane bioconversion and suggest paths to develop technologies for the production of liquid transportation fuels from methane at high carbon yield and high energy efficiency and with low CO2 emissions. These technologies could support natural gas bioconversion facilities with a low capital cost and at small scales, which in turn could monetize the use of natural gas resources that are frequently flared, vented or emitted.", "author" : [ { "dropping-particle" : "", "family" : "Haynes", "given" : "Chad A", "non-dropping-particle" : "", "parse-names" : false, "suffix" : "" }, { "dropping-particle" : "", "family" : "Gonzalez", "given" : "Ramon", "non-dropping-particle" : "", "parse-names" : false, "suffix" : "" } ], "container-title" : "Nature chemical biology", "id" : "ITEM-1", "issue" : "5", "issued" : { "date-parts" : [ [ "2014", "5" ] ] }, "page" : "331-9", "publisher" : "Nature Publishing Group, a division of Macmillan Publishers Limited. All Rights Reserved.", "title" : "Rethinking biological activation of methane and conversion to liquid fuels.", "title-short" : "Nat Chem Biol", "type" : "article-journal", "volume" : "10" }, "uris" : [ "http://www.mendeley.com/documents/?uuid=972059fb-98fb-40d5-ba94-40fe4e2ba9f7" ] }, { "id" : "ITEM-2",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"ITEM-2", "issue" : "May", "issued" : { "date-parts" : [ [ "2013", "1" ] ] }, "page" : "2785", "title" : "Highly efficient methane biocatalysis revealed in a methanotrophic bacterium.", "type" : "article-journal", "volume" : "4" }, "uris" : [ "http://www.mendeley.com/documents/?uuid=8a570452-9e43-4b49-be47-8234d8a571bb" ] }, { "id" : "ITEM-3", "itemData" : { "DOI" : "10.1126/science.1246929", "ISSN" : "1095-9203", "PMID" : "24503844", "author" : [ { "dropping-particle" : "", "family" : "Conrado", "given" : "Robert J", "non-dropping-particle" : "", "parse-names" : false, "suffix" : "" }, { "dropping-particle" : "", "family" : "Gonzalez", "given" : "Ramon", "non-dropping-particle" : "", "parse-names" : false, "suffix" : "" } ], "container-title" : "Science (New York, N.Y.)", "id" : "ITEM-3", "issue" : "6171", "issued" : { "date-parts" : [ [ "2014", "2", "7" ] ] }, "page" : "621-3", "title" : "Chemistry. Envisioning the bioconversion of methane to liquid fuels.", "type" : "article-journal", "volume" : "343" }, "uris" : [ "http://www.mendeley.com/documents/?uuid=cbb66403-2818-4415-875c-432da6cd3269" ] }, { "id" : "ITEM-4", "itemData" : { "author" : [ { "dropping-particle" : "", "family" : "Cameron", "given" : "Douglas C", "non-dropping-particle" : "", "parse-names" : false, "suffix" : "" } ], "id" : "ITEM-4", "issued" : { "date-parts" : [ [ "2012" ] ] }, "title" : "Methane as a Feedstock for Bio-based Processes An Industrial and Venture Perspective", "type" : "article-journal" }, "uris" : [ "http://www.mendeley.com/documents/?uuid=69751b10-b5bb-4aed-bd43-827394c774e9" ] } ], "mendeley" : { "formattedCitation" : "[10\u201313]", "plainTextFormattedCitation" : "[10\u201313]", "previouslyFormattedCitation" : "[10\u201313]" }, "properties" : { "noteIndex" : 0 }, "schema" : "https://github.com/citation-style-language/schema/raw/master/csl-citation.json" }</w:instrText>
      </w:r>
      <w:r w:rsidR="00BF721B" w:rsidRPr="000D5F05">
        <w:rPr>
          <w:rFonts w:cs="Arial"/>
          <w:szCs w:val="20"/>
        </w:rPr>
        <w:fldChar w:fldCharType="separate"/>
      </w:r>
      <w:r w:rsidR="00300EB6" w:rsidRPr="00300EB6">
        <w:rPr>
          <w:rFonts w:cs="Arial"/>
          <w:noProof/>
          <w:szCs w:val="20"/>
        </w:rPr>
        <w:t>[10–13]</w:t>
      </w:r>
      <w:r w:rsidR="00BF721B" w:rsidRPr="000D5F05">
        <w:rPr>
          <w:rFonts w:cs="Arial"/>
          <w:szCs w:val="20"/>
        </w:rPr>
        <w:fldChar w:fldCharType="end"/>
      </w:r>
      <w:r w:rsidR="00BF721B" w:rsidRPr="000D5F05">
        <w:rPr>
          <w:rFonts w:cs="Arial"/>
          <w:szCs w:val="20"/>
        </w:rPr>
        <w:fldChar w:fldCharType="begin" w:fldLock="1"/>
      </w:r>
      <w:r w:rsidR="00AF0B7D">
        <w:rPr>
          <w:rFonts w:cs="Arial"/>
          <w:szCs w:val="20"/>
        </w:rPr>
        <w:instrText>ADDIN CSL_CITATION { "citationItems" : [ { "id" : "ITEM-1",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"ITEM-1",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"plainTextFormattedCitation" : "[14]", "previouslyFormattedCitation" : "[14]" }, "properties" : { "noteIndex" : 0 }, "schema" : "https://github.com/citation-style-language/schema/raw/master/csl-citation.json" }</w:instrText>
      </w:r>
      <w:r w:rsidR="00BF721B" w:rsidRPr="000D5F05">
        <w:rPr>
          <w:rFonts w:cs="Arial"/>
          <w:szCs w:val="20"/>
        </w:rPr>
        <w:fldChar w:fldCharType="separate"/>
      </w:r>
      <w:r w:rsidR="00300EB6" w:rsidRPr="00300EB6">
        <w:rPr>
          <w:rFonts w:cs="Arial"/>
          <w:noProof/>
          <w:szCs w:val="20"/>
        </w:rPr>
        <w:t>[14]</w:t>
      </w:r>
      <w:r w:rsidR="00BF721B" w:rsidRPr="000D5F05">
        <w:rPr>
          <w:rFonts w:cs="Arial"/>
          <w:szCs w:val="20"/>
        </w:rPr>
        <w:fldChar w:fldCharType="end"/>
      </w:r>
      <w:r w:rsidR="008E2A7C" w:rsidRPr="000D5F05">
        <w:rPr>
          <w:rFonts w:cs="Arial"/>
          <w:szCs w:val="20"/>
        </w:rPr>
        <w:t xml:space="preserve">. </w:t>
      </w:r>
      <w:r w:rsidRPr="000D5F05">
        <w:rPr>
          <w:rFonts w:cs="Arial"/>
          <w:szCs w:val="20"/>
        </w:rPr>
        <w:t xml:space="preserve">Meanwhile, </w:t>
      </w:r>
      <w:r w:rsidR="007E078F" w:rsidRPr="000D5F05">
        <w:rPr>
          <w:rFonts w:cs="Arial"/>
          <w:szCs w:val="20"/>
        </w:rPr>
        <w:t>due to the fact that methane is</w:t>
      </w:r>
      <w:r w:rsidR="00BF721B" w:rsidRPr="000D5F05">
        <w:rPr>
          <w:rFonts w:cs="Arial"/>
          <w:szCs w:val="20"/>
        </w:rPr>
        <w:t xml:space="preserve"> also</w:t>
      </w:r>
      <w:r w:rsidR="007E078F" w:rsidRPr="000D5F05">
        <w:rPr>
          <w:rFonts w:cs="Arial"/>
          <w:szCs w:val="20"/>
        </w:rPr>
        <w:t xml:space="preserve"> a prime mitigation target for global warming alleviation, </w:t>
      </w:r>
      <w:r w:rsidRPr="000D5F05">
        <w:rPr>
          <w:rFonts w:cs="Arial"/>
          <w:szCs w:val="20"/>
        </w:rPr>
        <w:t>there’s also</w:t>
      </w:r>
      <w:r w:rsidR="007E078F" w:rsidRPr="000D5F05">
        <w:rPr>
          <w:rFonts w:cs="Arial"/>
          <w:szCs w:val="20"/>
        </w:rPr>
        <w:t xml:space="preserve"> possibility</w:t>
      </w:r>
      <w:r w:rsidRPr="000D5F05">
        <w:rPr>
          <w:rFonts w:cs="Arial"/>
          <w:szCs w:val="20"/>
        </w:rPr>
        <w:t xml:space="preserve"> using </w:t>
      </w:r>
      <w:proofErr w:type="spellStart"/>
      <w:r w:rsidR="00BF721B" w:rsidRPr="000D5F05">
        <w:rPr>
          <w:rFonts w:cs="Arial"/>
          <w:szCs w:val="20"/>
        </w:rPr>
        <w:t>methanotrophs</w:t>
      </w:r>
      <w:proofErr w:type="spellEnd"/>
      <w:r w:rsidRPr="000D5F05">
        <w:rPr>
          <w:rFonts w:cs="Arial"/>
          <w:szCs w:val="20"/>
        </w:rPr>
        <w:t xml:space="preserve"> </w:t>
      </w:r>
      <w:r w:rsidR="007E078F" w:rsidRPr="000D5F05">
        <w:rPr>
          <w:rFonts w:cs="Arial"/>
          <w:szCs w:val="20"/>
        </w:rPr>
        <w:t>for environmental remediation</w:t>
      </w:r>
      <w:r w:rsidR="002562B9" w:rsidRPr="000D5F05">
        <w:rPr>
          <w:rFonts w:cs="Arial"/>
          <w:szCs w:val="20"/>
        </w:rPr>
        <w:fldChar w:fldCharType="begin" w:fldLock="1"/>
      </w:r>
      <w:r w:rsidR="00AF0B7D">
        <w:rPr>
          <w:rFonts w:cs="Arial"/>
          <w:szCs w:val="20"/>
        </w:rPr>
        <w:instrText>ADDIN CSL_CITATION { "citationItems" : [ { "id" : "ITEM-1", "itemData" : { "DOI" : "10.3389/fmicb.2011.00209", "ISSN" : "1664-302X", "PMID" : "22016748", "abstract" : "Microbially mediated bioremediation of polluted sites has been a subject of much research over the past 30\u2009years, with many different compounds shown to be degraded under both aerobic and anaerobic conditions. Aerobic-mediated bioremediation commonly examines the use of methanotrophs, microorganisms that consume methane as their sole source of carbon and energy. Given the diverse environments in which methanotrophs have been found, the range of substrates they can degrade and the fact that they can be easily stimulated with the provision of methane and oxygen, these microorganisms in particular have been examined for aerobic degradation of chlorinated hydrocarbons. The physiological and phylogenetic diversity of methanotrophy, however, has increased substantially in just the past 5\u2009years. Here in this review, the current state of knowledge of methanotrophy, particularly as it applies to pollutant degradation is summarized, and suggestions for future research provided.", "author" : [ { "dropping-particle" : "", "family" : "Semrau", "given" : "Jeremy D", "non-dropping-particle" : "", "parse-names" : false, "suffix" : "" } ], "container-title" : "Frontiers in microbiology", "id" : "ITEM-1", "issued" : { "date-parts" : [ [ "2011", "1" ] ] }, "page" : "209", "title" : "Bioremediation via Methanotrophy: Overview of Recent Findings and Suggestions for Future Research.", "type" : "article-journal", "volume" : "2" }, "uris" : [ "http://www.mendeley.com/documents/?uuid=581cfbc8-9b95-4100-ae1a-3c4bc3416dda" ] } ], "mendeley" : { "formattedCitation" : "[15]", "plainTextFormattedCitation" : "[15]", "previouslyFormattedCitation" : "[15]" }, "properties" : { "noteIndex" : 0 }, "schema" : "https://github.com/citation-style-language/schema/raw/master/csl-citation.json" }</w:instrText>
      </w:r>
      <w:r w:rsidR="002562B9" w:rsidRPr="000D5F05">
        <w:rPr>
          <w:rFonts w:cs="Arial"/>
          <w:szCs w:val="20"/>
        </w:rPr>
        <w:fldChar w:fldCharType="separate"/>
      </w:r>
      <w:r w:rsidR="00300EB6" w:rsidRPr="00300EB6">
        <w:rPr>
          <w:rFonts w:cs="Arial"/>
          <w:noProof/>
          <w:szCs w:val="20"/>
        </w:rPr>
        <w:t>[15]</w:t>
      </w:r>
      <w:r w:rsidR="002562B9" w:rsidRPr="000D5F05">
        <w:rPr>
          <w:rFonts w:cs="Arial"/>
          <w:szCs w:val="20"/>
        </w:rPr>
        <w:fldChar w:fldCharType="end"/>
      </w:r>
      <w:r w:rsidR="007E078F" w:rsidRPr="000D5F05">
        <w:rPr>
          <w:rFonts w:cs="Arial"/>
          <w:szCs w:val="20"/>
        </w:rPr>
        <w:t xml:space="preserve">. </w:t>
      </w:r>
    </w:p>
    <w:p w14:paraId="50B5AB86" w14:textId="22FE5F00" w:rsidR="00804AA0" w:rsidRDefault="00FB3543" w:rsidP="00804AA0">
      <w:pPr>
        <w:rPr>
          <w:rFonts w:cs="Arial"/>
          <w:szCs w:val="20"/>
        </w:rPr>
      </w:pPr>
      <w:r w:rsidRPr="000D5F05">
        <w:rPr>
          <w:rFonts w:cs="Arial"/>
          <w:szCs w:val="20"/>
        </w:rPr>
        <w:t xml:space="preserve">In order to facilitate and possibly speed up the biotechnology application with </w:t>
      </w:r>
      <w:proofErr w:type="spellStart"/>
      <w:r w:rsidRPr="000D5F05">
        <w:rPr>
          <w:rFonts w:cs="Arial"/>
          <w:szCs w:val="20"/>
        </w:rPr>
        <w:t>methylotrophs</w:t>
      </w:r>
      <w:proofErr w:type="spellEnd"/>
      <w:r w:rsidRPr="000D5F05">
        <w:rPr>
          <w:rFonts w:cs="Arial"/>
          <w:szCs w:val="20"/>
        </w:rPr>
        <w:t xml:space="preserve">, basic research questions about the methylotrophic metabolism need to be answered especially on model organisms, such as </w:t>
      </w:r>
      <w:r w:rsidRPr="000D5F05">
        <w:rPr>
          <w:rFonts w:cs="Arial"/>
          <w:i/>
          <w:szCs w:val="20"/>
        </w:rPr>
        <w:t xml:space="preserve">Methylobacterium </w:t>
      </w:r>
      <w:proofErr w:type="spellStart"/>
      <w:r w:rsidRPr="000D5F05">
        <w:rPr>
          <w:rFonts w:cs="Arial"/>
          <w:i/>
          <w:szCs w:val="20"/>
        </w:rPr>
        <w:t>extorquens</w:t>
      </w:r>
      <w:proofErr w:type="spellEnd"/>
      <w:r w:rsidRPr="000D5F05">
        <w:rPr>
          <w:rFonts w:cs="Arial"/>
          <w:i/>
          <w:szCs w:val="20"/>
        </w:rPr>
        <w:t xml:space="preserve"> </w:t>
      </w:r>
      <w:r w:rsidRPr="000D5F05">
        <w:rPr>
          <w:rFonts w:cs="Arial"/>
          <w:szCs w:val="20"/>
        </w:rPr>
        <w:t xml:space="preserve">AM1 and </w:t>
      </w: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With the advance of current genome sequence techniques and other ‘omics’ technique, it is much easier nowadays to conduct investigation on how metabolism works around specific bacteria. In general, t</w:t>
      </w:r>
      <w:r w:rsidR="00256516" w:rsidRPr="000D5F05">
        <w:rPr>
          <w:rFonts w:cs="Arial"/>
          <w:szCs w:val="20"/>
        </w:rPr>
        <w:t>wo major carbon assim</w:t>
      </w:r>
      <w:r w:rsidRPr="000D5F05">
        <w:rPr>
          <w:rFonts w:cs="Arial"/>
          <w:szCs w:val="20"/>
        </w:rPr>
        <w:t xml:space="preserve">ilation pathways occur in </w:t>
      </w:r>
      <w:proofErr w:type="spellStart"/>
      <w:r w:rsidRPr="000D5F05">
        <w:rPr>
          <w:rFonts w:cs="Arial"/>
          <w:szCs w:val="20"/>
        </w:rPr>
        <w:t>methyl</w:t>
      </w:r>
      <w:r w:rsidR="00256516" w:rsidRPr="000D5F05">
        <w:rPr>
          <w:rFonts w:cs="Arial"/>
          <w:szCs w:val="20"/>
        </w:rPr>
        <w:t>otrophs</w:t>
      </w:r>
      <w:proofErr w:type="spellEnd"/>
      <w:r w:rsidR="00256516" w:rsidRPr="000D5F05">
        <w:rPr>
          <w:rFonts w:cs="Arial"/>
          <w:szCs w:val="20"/>
        </w:rPr>
        <w:t xml:space="preserve"> are the serine cycle pathway and ribulose</w:t>
      </w:r>
      <w:r w:rsidR="00B3149A">
        <w:rPr>
          <w:rFonts w:cs="Arial"/>
          <w:szCs w:val="20"/>
        </w:rPr>
        <w:t xml:space="preserve"> monophosphate (</w:t>
      </w:r>
      <w:proofErr w:type="spellStart"/>
      <w:r w:rsidR="00B3149A">
        <w:rPr>
          <w:rFonts w:cs="Arial"/>
          <w:szCs w:val="20"/>
        </w:rPr>
        <w:t>RuMP</w:t>
      </w:r>
      <w:proofErr w:type="spellEnd"/>
      <w:r w:rsidR="00B3149A">
        <w:rPr>
          <w:rFonts w:cs="Arial"/>
          <w:szCs w:val="20"/>
        </w:rPr>
        <w:t xml:space="preserve">) pathway. </w:t>
      </w:r>
      <w:r w:rsidRPr="000D5F05">
        <w:rPr>
          <w:rFonts w:cs="Arial"/>
          <w:szCs w:val="20"/>
        </w:rPr>
        <w:t xml:space="preserve">Luckily, the two </w:t>
      </w:r>
      <w:proofErr w:type="spellStart"/>
      <w:r w:rsidRPr="000D5F05">
        <w:rPr>
          <w:rFonts w:cs="Arial"/>
          <w:szCs w:val="20"/>
        </w:rPr>
        <w:t>methylotrophs</w:t>
      </w:r>
      <w:proofErr w:type="spellEnd"/>
      <w:r w:rsidRPr="000D5F05">
        <w:rPr>
          <w:rFonts w:cs="Arial"/>
          <w:szCs w:val="20"/>
        </w:rPr>
        <w:t xml:space="preserve"> </w:t>
      </w:r>
      <w:r w:rsidR="00B053A7" w:rsidRPr="000D5F05">
        <w:rPr>
          <w:rFonts w:cs="Arial"/>
          <w:szCs w:val="20"/>
        </w:rPr>
        <w:t xml:space="preserve">included in this study deploy </w:t>
      </w:r>
      <w:r w:rsidR="00405A9C" w:rsidRPr="000D5F05">
        <w:rPr>
          <w:rFonts w:cs="Arial"/>
          <w:szCs w:val="20"/>
        </w:rPr>
        <w:t xml:space="preserve">serine cycle and </w:t>
      </w:r>
      <w:proofErr w:type="spellStart"/>
      <w:r w:rsidR="00405A9C" w:rsidRPr="000D5F05">
        <w:rPr>
          <w:rFonts w:cs="Arial"/>
          <w:szCs w:val="20"/>
        </w:rPr>
        <w:t>RuMP</w:t>
      </w:r>
      <w:proofErr w:type="spellEnd"/>
      <w:r w:rsidR="00405A9C" w:rsidRPr="000D5F05">
        <w:rPr>
          <w:rFonts w:cs="Arial"/>
          <w:szCs w:val="20"/>
        </w:rPr>
        <w:t xml:space="preserve"> cycle respectively.</w:t>
      </w:r>
      <w:r w:rsidR="00804AA0">
        <w:rPr>
          <w:rFonts w:cs="Arial"/>
          <w:szCs w:val="20"/>
        </w:rPr>
        <w:t xml:space="preserve"> </w:t>
      </w:r>
      <w:r w:rsidR="00405A9C" w:rsidRPr="000D5F05">
        <w:rPr>
          <w:rFonts w:cs="Arial"/>
          <w:szCs w:val="20"/>
        </w:rPr>
        <w:t>In the following two sections, I would explain two different routes more in depth.</w:t>
      </w:r>
      <w:bookmarkStart w:id="8" w:name="_Toc301520585"/>
      <w:bookmarkStart w:id="9" w:name="_Toc301521552"/>
    </w:p>
    <w:p w14:paraId="65118641" w14:textId="64821D54" w:rsidR="00DC59BD" w:rsidRPr="00E272FF" w:rsidRDefault="00081111" w:rsidP="00E272FF">
      <w:pPr>
        <w:pStyle w:val="Heading2"/>
      </w:pPr>
      <w:bookmarkStart w:id="10" w:name="_Toc468311697"/>
      <w:r w:rsidRPr="00E272FF">
        <w:t xml:space="preserve">1.2 </w:t>
      </w:r>
      <w:r w:rsidR="00DC59BD" w:rsidRPr="007058FA">
        <w:rPr>
          <w:i/>
        </w:rPr>
        <w:t xml:space="preserve">Methylobacterium </w:t>
      </w:r>
      <w:proofErr w:type="spellStart"/>
      <w:r w:rsidR="00DC59BD" w:rsidRPr="007058FA">
        <w:rPr>
          <w:i/>
        </w:rPr>
        <w:t>extorquens</w:t>
      </w:r>
      <w:proofErr w:type="spellEnd"/>
      <w:r w:rsidR="00DC59BD" w:rsidRPr="00E272FF">
        <w:t xml:space="preserve"> AM1</w:t>
      </w:r>
      <w:bookmarkEnd w:id="8"/>
      <w:bookmarkEnd w:id="9"/>
      <w:bookmarkEnd w:id="10"/>
    </w:p>
    <w:p w14:paraId="61503398" w14:textId="02B6EBB6" w:rsidR="00A03FFA" w:rsidRPr="000D5F05" w:rsidRDefault="00B053A7" w:rsidP="0097120C">
      <w:pPr>
        <w:rPr>
          <w:rFonts w:cs="Arial"/>
          <w:szCs w:val="20"/>
        </w:rPr>
      </w:pPr>
      <w:r w:rsidRPr="000D5F05">
        <w:rPr>
          <w:rFonts w:cs="Arial"/>
          <w:i/>
          <w:szCs w:val="20"/>
        </w:rPr>
        <w:t xml:space="preserve">Methylobacterium </w:t>
      </w:r>
      <w:proofErr w:type="spellStart"/>
      <w:r w:rsidRPr="000D5F05">
        <w:rPr>
          <w:rFonts w:cs="Arial"/>
          <w:i/>
          <w:szCs w:val="20"/>
        </w:rPr>
        <w:t>extorquens</w:t>
      </w:r>
      <w:proofErr w:type="spellEnd"/>
      <w:r w:rsidRPr="000D5F05">
        <w:rPr>
          <w:rFonts w:cs="Arial"/>
          <w:szCs w:val="20"/>
        </w:rPr>
        <w:t xml:space="preserve"> AM1</w:t>
      </w:r>
      <w:r w:rsidR="0097120C" w:rsidRPr="000D5F05">
        <w:rPr>
          <w:rFonts w:cs="Arial"/>
          <w:szCs w:val="20"/>
        </w:rPr>
        <w:t xml:space="preserve"> is the model organism </w:t>
      </w:r>
      <w:r w:rsidRPr="000D5F05">
        <w:rPr>
          <w:rFonts w:cs="Arial"/>
          <w:szCs w:val="20"/>
        </w:rPr>
        <w:t xml:space="preserve">for C1 metabolism </w:t>
      </w:r>
      <w:r w:rsidR="0097120C" w:rsidRPr="000D5F05">
        <w:rPr>
          <w:rFonts w:cs="Arial"/>
          <w:szCs w:val="20"/>
        </w:rPr>
        <w:t xml:space="preserve">investigation as well </w:t>
      </w:r>
      <w:r w:rsidR="007621D1" w:rsidRPr="000D5F05">
        <w:rPr>
          <w:rFonts w:cs="Arial"/>
          <w:szCs w:val="20"/>
        </w:rPr>
        <w:t xml:space="preserve">as </w:t>
      </w:r>
      <w:r w:rsidR="0097120C" w:rsidRPr="000D5F05">
        <w:rPr>
          <w:rFonts w:cs="Arial"/>
          <w:szCs w:val="20"/>
        </w:rPr>
        <w:t>methanol-based biotechnology application</w:t>
      </w:r>
      <w:r w:rsidR="0097120C" w:rsidRPr="000D5F05">
        <w:rPr>
          <w:rFonts w:cs="Arial"/>
          <w:szCs w:val="20"/>
        </w:rPr>
        <w:fldChar w:fldCharType="begin" w:fldLock="1"/>
      </w:r>
      <w:r w:rsidR="00AF0B7D">
        <w:rPr>
          <w:rFonts w:cs="Arial"/>
          <w:szCs w:val="20"/>
        </w:rPr>
        <w:instrText>ADDIN CSL_CITATION { "citationItems" : [ { "id" : "ITEM-1", "itemData" : { "DOI" : "10.1074/jbc.M111.305219", "ISSN" : "1083-351X", "PMID" : "22105076", "abstract" : "Acetyl-CoA assimilation was extensively studied in organisms harboring the glyoxylate cycle. In this study, we analyzed the metabolism of the facultative methylotroph Methylobacterium extorquens AM1, which lacks isocitrate lyase, the key enzyme in the glyoxylate cycle, during growth on acetate. MS/MS-based proteomic analysis revealed that the protein repertoire of M. extorquens AM1 grown on acetate is similar to that of cells grown on methanol and includes enzymes of the ethylmalonyl-CoA (EMC) pathway that were recently shown to operate during growth on methanol. Dynamic 13C labeling experiments indicate the presence of distinct entry points for acetate: the EMC pathway and the TCA cycle. 13C steady-state metabolic flux analysis showed that oxidation of acetyl-CoA occurs predominantly via the TCA cycle and that assimilation occurs via the EMC pathway. Furthermore, acetyl-CoA condenses with the EMC pathway product glyoxylate, resulting in malate formation. The latter, also formed by the TCA cycle, is converted to phosphoglycerate by a reaction sequence that is reversed with respect to the serine cycle. Thus, the results obtained in this study reveal the utilization of common pathways during the growth of M. extorquens AM1 on C1 and C2 compounds, but with a major redirection of flux within the central metabolism. Furthermore, our results indicate that the metabolic flux distribution is highly complex in this model methylotroph during growth on acetate and is fundamentally different from organisms using the glyoxylate cycle.", "author" : [ { "dropping-particle" : "", "family" : "Schneider", "given" : "Kathrin", "non-dropping-particle" : "", "parse-names" : false, "suffix" :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"Delmotte", "given" : "Nathana\u00ebl", "non-dropping-particle" : "", "parse-names" : false, "suffix" : "" }, { "dropping-particle" : "", "family" : "Massou", "given" : "St\u00e9phane", "non-dropping-particle" : "", "parse-names" : false, "suffix" : "" }, { "dropping-particle" : "", "family" : "Portais", "given" : "Jean-Charles", "non-dropping-particle" : "", "parse-names" : false, "suffix" : "" }, { "dropping-particle" : "", "family" : "Vorholt", "given" : "Julia a", "non-dropping-particle" : "", "parse-names" : false, "suffix" : "" } ], "container-title" : "The Journal of biological chemistry", "id" : "ITEM-1", "issue" : "1", "issued" : { "date-parts" : [ [ "2012", "1", "2" ] ] }, "page" : "757-66", "title" : "The ethylmalonyl-CoA pathway is used in place of the glyoxylate cycle by Methylobacterium extorquens AM1 during growth on acetate.", "type" : "article-journal", "volume" : "287" }, "uris" : [ "http://www.mendeley.com/documents/?uuid=559f8cd2-f9e1-44dc-8a4c-326efd26b025" ] }, { "id" : "ITEM-2", "itemData" : { "DOI" : "10.1128/JB.00228-08", "ISSN" : "1098-5530", "PMID" : "18502865", "abstract" : "In serine cycle methylotrophs, methylene tetrahydrofolate (H4F) is the entry point of reduced one-carbon compounds into the serine cycle for carbon assimilation during methylotrophic metabolism. In these bacteria, two routes are possible for generating methylene H4F from formaldehyde during methylotrophic growth: one involving the reaction of formaldehyde with H4F to generate methylene H4F and the other involving conversion of formaldehyde to formate via methylene tetrahydromethanopterin-dependent enzymes and conversion of formate to methylene H4F via H4F-dependent enzymes. Evidence has suggested that the direct condensation reaction is the main source of methylene H4F during methylotrophic metabolism. However, mutants lacking enzymes that interconvert methylene H4F and formate are unable to grow on methanol, suggesting that this route for methylene H4F synthesis should have a significant role in biomass production during methylotrophic metabolism. This problem was investigated in Methylobacterium extorquens AM1. Evidence was obtained suggesting that the existing deuterium assay might overestimate the flux through the direct condensation reaction. To test this possibility, it was shown that only minor assimilation into biomass occurred in mutants lacking the methylene H4F synthesis pathway through formate. These results suggested that the methylene H4F synthesis pathway through formate dominates assimilatory flux. A revised kinetic model was used to validate this possibility, showing that physiologically plausible parameters in this model can account for the metabolic fluxes observed in vivo. These results all support the suggestion that formate, not formaldehyde, is the main branch point for methylotrophic metabolism in M. extorquens AM1.", "author" : [ { "dropping-particle" : "", "family" : "Crowther", "given" : "Gregory J", "non-dropping-particle" : "", "parse-names" : false, "suffix" : "" }, { "dropping-particle" : "", "family" : "Kos\u00e1ly", "given" : "George", "non-dropping-particle" : "", "parse-names" : false, "suffix" : "" }, { "dropping-particle" : "", "family" : "Lidstrom", "given" : "Mary E", "non-dropping-particle" : "", "parse-names" : false, "suffix" : "" } ], "container-title" : "Journal of bacteriology", "id" : "ITEM-2", "issue" : "14", "issued" : { "date-parts" : [ [ "2008", "7", "15" ] ] }, "note" : "branch point for methylotrophic metabolism as formate", "page" : "5057-62", "title" : "Formate as the main branch point for methylotrophic metabolism in Methylobacterium extorquens AM1.", "type" : "article-journal", "volume" : "190" }, "uris" : [ "http://www.mendeley.com/documents/?uuid=64b774e5-5eb6-4a5e-92c7-e4d688128668" ] }, { "id" : "ITEM-3", "itemData" : { "ISSN" : "0021-9193", "PMID" : "12730156", "author" : [ { "dropping-particle" : "", "family" : "Chistoserdova", "given" : "Ludmila", "non-dropping-particle" : "", "parse-names" : false, "suffix" : "" }, { "dropping-particle" : "", "family" : "Chen", "given" : "Sung-Wei", "non-dropping-particle" : "", "parse-names" : false, "suffix" : "" }, { "dropping-particle" : "", "family" : "Lapidus", "given" : "Alla", "non-dropping-particle" : "", "parse-names" : false, "suffix" : "" }, { "dropping-particle" : "", "family" : "Lidstrom", "given" : "Mary E", "non-dropping-particle" : "", "parse-names" : false, "suffix" : "" } ], "container-title" : "Journal of bacteriology", "id" : "ITEM-3", "issue" : "10", "issued" : { "date-parts" : [ [ "2003", "5" ] ] }, "note" : "genome data citation", "page" : "2980-7", "title" : "Methylotrophy in Methylobacterium extorquens AM1 from a genomic point of view.", "type" : "article-journal", "volume" : "185" }, "uris" : [ "http://www.mendeley.com/documents/?uuid=fc3dbc2a-8215-4787-9ac4-d60b3d5afed2" ] } ], "mendeley" : { "formattedCitation" : "[16\u201318]", "plainTextFormattedCitation" : "[16\u201318]", "previouslyFormattedCitation" : "[16\u201318]" }, "properties" : { "noteIndex" : 0 }, "schema" : "https://github.com/citation-style-language/schema/raw/master/csl-citation.json" }</w:instrText>
      </w:r>
      <w:r w:rsidR="0097120C" w:rsidRPr="000D5F05">
        <w:rPr>
          <w:rFonts w:cs="Arial"/>
          <w:szCs w:val="20"/>
        </w:rPr>
        <w:fldChar w:fldCharType="separate"/>
      </w:r>
      <w:r w:rsidR="00300EB6" w:rsidRPr="00300EB6">
        <w:rPr>
          <w:rFonts w:cs="Arial"/>
          <w:noProof/>
          <w:szCs w:val="20"/>
        </w:rPr>
        <w:t>[16–18]</w:t>
      </w:r>
      <w:r w:rsidR="0097120C" w:rsidRPr="000D5F05">
        <w:rPr>
          <w:rFonts w:cs="Arial"/>
          <w:szCs w:val="20"/>
        </w:rPr>
        <w:fldChar w:fldCharType="end"/>
      </w:r>
      <w:r w:rsidR="0097120C" w:rsidRPr="000D5F05">
        <w:rPr>
          <w:rFonts w:cs="Arial"/>
          <w:szCs w:val="20"/>
        </w:rPr>
        <w:fldChar w:fldCharType="begin" w:fldLock="1"/>
      </w:r>
      <w:r w:rsidR="00AF0B7D">
        <w:rPr>
          <w:rFonts w:cs="Arial"/>
          <w:szCs w:val="20"/>
        </w:rPr>
        <w:instrText>ADDIN CSL_CITATION { "citationItems" : [ { "id" : "ITEM-1",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"ITEM-1",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"plainTextFormattedCitation" : "[14]", "previouslyFormattedCitation" : "[14]" }, "properties" : { "noteIndex" : 0 }, "schema" : "https://github.com/citation-style-language/schema/raw/master/csl-citation.json" }</w:instrText>
      </w:r>
      <w:r w:rsidR="0097120C" w:rsidRPr="000D5F05">
        <w:rPr>
          <w:rFonts w:cs="Arial"/>
          <w:szCs w:val="20"/>
        </w:rPr>
        <w:fldChar w:fldCharType="separate"/>
      </w:r>
      <w:r w:rsidR="00300EB6" w:rsidRPr="00300EB6">
        <w:rPr>
          <w:rFonts w:cs="Arial"/>
          <w:noProof/>
          <w:szCs w:val="20"/>
        </w:rPr>
        <w:t>[14]</w:t>
      </w:r>
      <w:r w:rsidR="0097120C" w:rsidRPr="000D5F05">
        <w:rPr>
          <w:rFonts w:cs="Arial"/>
          <w:szCs w:val="20"/>
        </w:rPr>
        <w:fldChar w:fldCharType="end"/>
      </w:r>
      <w:r w:rsidR="0097120C" w:rsidRPr="000D5F05">
        <w:rPr>
          <w:rFonts w:cs="Arial"/>
          <w:szCs w:val="20"/>
        </w:rPr>
        <w:t>.</w:t>
      </w:r>
      <w:r w:rsidR="007621D1" w:rsidRPr="000D5F05">
        <w:rPr>
          <w:rFonts w:cs="Arial"/>
          <w:szCs w:val="20"/>
        </w:rPr>
        <w:t xml:space="preserve"> With the availability of  genome sequence </w:t>
      </w:r>
      <w:r w:rsidR="007621D1" w:rsidRPr="000D5F05">
        <w:rPr>
          <w:rFonts w:cs="Arial"/>
          <w:szCs w:val="20"/>
        </w:rPr>
        <w:lastRenderedPageBreak/>
        <w:t>data</w:t>
      </w:r>
      <w:r w:rsidR="007621D1" w:rsidRPr="000D5F05">
        <w:rPr>
          <w:rFonts w:cs="Arial"/>
          <w:szCs w:val="20"/>
        </w:rPr>
        <w:fldChar w:fldCharType="begin" w:fldLock="1"/>
      </w:r>
      <w:r w:rsidR="00AF0B7D">
        <w:rPr>
          <w:rFonts w:cs="Arial"/>
          <w:szCs w:val="20"/>
        </w:rPr>
        <w:instrText>ADDIN CSL_CITATION { "citationItems" : [ { "id" : "ITEM-1", "itemData" : { "DOI" : "10.1371/journal.pone.0005584", "ISSN" : "1932-6203", "PMID" : "19440302", "abstract" : "BACKGROUND: Methylotrophy describes the ability of organisms to grow on reduced organic compounds without carbon-carbon bonds. The genomes of two pink-pigmented facultative methylotrophic bacteria of the Alpha-proteobacterial genus Methylobacterium, the reference species Methylobacterium extorquens strain AM1 and the dichloromethane-degrading strain DM4, were compared.\n\nMETHODOLOGY/PRINCIPAL FINDINGS: The 6.88 Mb genome of strain AM1 comprises a 5.51 Mb chromosome, a 1.26 Mb megaplasmid and three plasmids, while the 6.12 Mb genome of strain DM4 features a 5.94 Mb chromosome and two plasmids. The chromosomes are highly syntenic and share a large majority of genes, while plasmids are mostly strain-specific, with the exception of a 130 kb region of the strain AM1 megaplasmid which is syntenic to a chromosomal region of strain DM4. Both genomes contain large sets of insertion elements, many of them strain-specific, suggesting an important potential for genomic plasticity. Most of the genomic determinants associated with methylotrophy are nearly identical, with two exceptions that illustrate the metabolic and genomic versatility of Methylobacterium. A 126 kb dichloromethane utilization (dcm) gene cluster is essential for the ability of strain DM4 to use DCM as the sole carbon and energy source for growth and is unique to strain DM4. The methylamine utilization (mau) gene cluster is only found in strain AM1, indicating that strain DM4 employs an alternative system for growth with methylamine. The dcm and mau clusters represent two of the chromosomal genomic islands (AM1: 28; DM4: 17) that were defined. The mau cluster is flanked by mobile elements, but the dcm cluster disrupts a gene annotated as chelatase and for which we propose the name \"island integration determinant\" (iid).\n\nCONCLUSION/SIGNIFICANCE: These two genome sequences provide a platform for intra- and interspecies genomic comparisons in the genus Methylobacterium, and for investigations of the adaptive mechanisms which allow bacterial lineages to acquire methylotrophic lifestyles.", "author" : [ { "dropping-particle" : "", "family" : "Vuilleumier", "given" : "St\u00e9phane", "non-dropping-particle" : "", "parse-names" : false, "suffix" : "" }, { "dropping-particle" : "", "family" : "Chistoserdova", "given" : "Ludmila", "non-dropping-particle" : "", "parse-names" : false, "suffix" : "" }, { "dropping-particle" : "", "family" : "Lee", "given" : "Ming-Chun", "non-dropping-particle" : "", "parse-names" : false, "suffix" : "" }, { "dropping-particle" : "", "family" : "Bringel", "given" : "Fran\u00e7oise", "non-dropping-particle" : "", "parse-names" : false, "suffix" : "" }, { "dropping-particle" : "", "family" : "Lajus", "given" : "Aur\u00e9lie", "non-dropping-particle" : "", "parse-names" : false, "suffix" : "" }, { "dropping-particle" : "", "family" : "Zhou", "given" : "Yang", "non-dropping-particle" : "", "parse-names" : false, "suffix" : "" }, { "dropping-particle" : "", "family" : "Gourion", "given" : "Benjamin", "non-dropping-particle" : "", "parse-names" : false, "suffix" : "" }, { "dropping-particle" : "", "family" : "Barbe", "given" : "Val\u00e9rie", "non-dropping-particle" : "", "parse-names" : false, "suffix" : "" }, { "dropping-particle" : "", "family" : "Chang", "given" : "Jean", "non-dropping-particle" : "", "parse-names" : false, "suffix" : "" }, { "dropping-particle" : "", "family" : "Cruveiller", "given" : "St\u00e9phane", "non-dropping-particle" : "", "parse-names" : false, "suffix" : "" }, { "dropping-particle" : "", "family" : "Dossat", "given" : "Carole", "non-dropping-particle" : "", "parse-names" : false, "suffix" : "" }, { "dropping-particle" : "", "family" : "Gillett", "given" : "Will", "non-dropping-particle" : "", "parse-names" : false, "suffix" : "" }, { "dropping-particle" : "", "family" : "Gruffaz", "given" : "Christelle", "non-dropping-particle" : "", "parse-names" : false, "suffix" : "" }, { "dropping-particle" : "", "family" : "Haugen", "given" : "Eric", "non-dropping-particle" : "", "parse-names" : false, "suffix" : "" }, { "dropping-particle" : "", "family" : "Hourcade", "given" : "Edith", "non-dropping-particle" : "", "parse-names" : false, "suffix" : "" }, { "dropping-particle" : "", "family" : "Levy", "given" : "Ruth", "non-dropping-particle" : "", "parse-names" : false, "suffix" : "" }, { "dropping-particle" : "", "family" : "Mangenot", "given" : "Sophie", "non-dropping-particle" : "", "parse-names" : false, "suffix" : "" }, { "dropping-particle" : "", "family" : "Muller", "given" : "Emilie", "non-dropping-particle" : "", "parse-names" : false, "suffix" : "" }, { "dropping-particle" : "", "family" : "Nadalig", "given" : "Thierry", "non-dropping-particle" : "", "parse-names" : false, "suffix" : "" }, { "dropping-particle" : "", "family" : "Pagni", "given" : "Marco", "non-dropping-particle" : "", "parse-names" : false, "suffix" : "" }, { "dropping-particle" : "", "family" : "Penny", "given" : "Christian", "non-dropping-particle" : "", "parse-names" : false, "suffix" : "" }, { "dropping-particle" : "", "family" : "Peyraud", "given" : "R\u00e9mi", "non-dropping-particle" : "", "parse-names" : false, "suffix" : "" }, { "dropping-particle" : "", "family" : "Robinson", "given" : "David G", "non-dropping-particle" : "", "parse-names" : false, "suffix" : "" }, { "dropping-particle" : "", "family" : "Roche", "given" : "David", "non-dropping-particle" : "", "parse-names" : false, "suffix" : "" }, { "dropping-particle" : "", "family" : "Rouy", "given" : "Zo\u00e9", "non-dropping-particle" : "", "parse-names" : false, "suffix" : "" }, { "dropping-particle" : "", "family" : "Saenampechek", "given" : "Channakhone", "non-dropping-particle" : "", "parse-names" : false, "suffix" : "" }, { "dropping-particle" : "", "family" : "Salvignol", "given" : "Gr\u00e9gory", "non-dropping-particle" : "", "parse-names" : false, "suffix" : "" }, { "dropping-particle" : "", "family" : "Vallenet", "given" : "David", "non-dropping-particle" : "", "parse-names" : false, "suffix" : "" }, { "dropping-particle" : "", "family" : "Wu", "given" : "Zaining", "non-dropping-particle" : "", "parse-names" : false, "suffix" : "" }, { "dropping-particle" : "", "family" : "Marx", "given" : "Christopher J", "non-dropping-particle" : "", "parse-names" : false, "suffix" : "" }, { "dropping-particle" : "", "family" : "Vorholt", "given" : "Julia A", "non-dropping-particle" : "", "parse-names" : false, "suffix" : "" }, { "dropping-particle" : "V", "family" : "Olson", "given" : "Maynard", "non-dropping-particle" : "", "parse-names" : false, "suffix" : "" }, { "dropping-particle" : "", "family" : "Kaul", "given" : "Rajinder", "non-dropping-particle" : "", "parse-names" : false, "suffix" : "" }, { "dropping-particle" : "", "family" : "Weissenbach", "given" : "Jean", "non-dropping-particle" : "", "parse-names" : false, "suffix" : "" }, { "dropping-particle" : "", "family" : "M\u00e9digue", "given" : "Claudine", "non-dropping-particle" : "", "parse-names" : false, "suffix" : "" }, { "dropping-particle" : "", "family" : "Lidstrom", "given" : "Mary E", "non-dropping-particle" : "", "parse-names" : false, "suffix" : "" } ], "container-title" : "PloS one", "editor" : [ { "dropping-particle" : "", "family" : "Ahmed", "given" : "Niyaz", "non-dropping-particle" : "", "parse-names" : false, "suffix" : "" } ], "id" : "ITEM-1", "issue" : "5", "issued" : { "date-parts" : [ [ "2009", "1" ] ] }, "note" : "reference in introduction", "page" : "e5584", "publisher" : "Public Library of Science", "title" : "Methylobacterium genome sequences: a reference blueprint to investigate microbial metabolism of C1 compounds from natural and industrial sources.", "type" : "article-journal", "volume" : "4" }, "uris" : [ "http://www.mendeley.com/documents/?uuid=ccc81154-1fa5-4caf-a010-fb3295dc374f" ] } ], "mendeley" : { "formattedCitation" : "[19]", "plainTextFormattedCitation" : "[19]", "previouslyFormattedCitation" : "[19]"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[19]</w:t>
      </w:r>
      <w:r w:rsidR="007621D1" w:rsidRPr="000D5F05">
        <w:rPr>
          <w:rFonts w:cs="Arial"/>
          <w:szCs w:val="20"/>
        </w:rPr>
        <w:fldChar w:fldCharType="end"/>
      </w:r>
      <w:r w:rsidR="007621D1" w:rsidRPr="000D5F05">
        <w:rPr>
          <w:rFonts w:cs="Arial"/>
          <w:szCs w:val="20"/>
        </w:rPr>
        <w:t xml:space="preserve">, genetic toolbox </w:t>
      </w:r>
      <w:r w:rsidR="007621D1" w:rsidRPr="000D5F05">
        <w:rPr>
          <w:rFonts w:cs="Arial"/>
          <w:szCs w:val="20"/>
        </w:rPr>
        <w:fldChar w:fldCharType="begin" w:fldLock="1"/>
      </w:r>
      <w:r w:rsidR="00AF0B7D">
        <w:rPr>
          <w:rFonts w:cs="Arial"/>
          <w:szCs w:val="20"/>
        </w:rPr>
        <w:instrText>ADDIN CSL_CITATION { "citationItems" : [ { "id" : "ITEM-1", "itemData" : { "PMID" : "12449384", "abstract" : "Complete genome sequences are now available for many bacterial species that lack sophisticated genetic tools. We describe the development of a broad-host-range cre-lox system that allows antibiotic marker recycling in a variety of gram-negative bacteria. This system consists of an allelic exchange vector bearing a kanamycin cassette flanked by loxP sites and a tetracycline-resistant IncP plasmid that provides expression of the Cre recombinase. We demonstrate this system by generating unmarked deletions of genes in two different bacteria, Methylobacterium extorquens AM1 and Burkholderia fungorum LB400. This new antibiotic marker recycling system offers the possibility of creating unmarked mutants in a wide variety of gram-negative bacteria. Furthermore, marker recycling allows the generation of strains bearing multiple genetic manipulations in organisms for which few antibiotic markers are currently available.", "author" : [ { "dropping-particle" : "", "family" : "Marx", "given" : "Christopher J", "non-dropping-particle" : "", "parse-names" : false, "suffix" : "" }, { "dropping-particle" : "", "family" : "Lidstrom", "given" : "Mary E", "non-dropping-particle" : "", "parse-names" : false, "suffix" : "" } ], "container-title" : "BioTechniques", "id" : "ITEM-1", "issue" : "5", "issued" : { "date-parts" : [ [ "2002" ] ] }, "page" : "1062-1067", "title" : "Broad-host-range cre-lox system for antibiotic marker recycling in gram-negative bacteria.", "type" : "article-journal", "volume" : "33" }, "uris" : [ "http://www.mendeley.com/documents/?uuid=b0a314a1-559c-4abe-9257-ed827b6e4ef0" ] } ], "mendeley" : { "formattedCitation" : "[20]", "plainTextFormattedCitation" : "[20]", "previouslyFormattedCitation" : "[20]"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[20]</w:t>
      </w:r>
      <w:r w:rsidR="007621D1" w:rsidRPr="000D5F05">
        <w:rPr>
          <w:rFonts w:cs="Arial"/>
          <w:szCs w:val="20"/>
        </w:rPr>
        <w:fldChar w:fldCharType="end"/>
      </w:r>
      <w:r w:rsidR="007621D1" w:rsidRPr="000D5F05">
        <w:rPr>
          <w:rFonts w:cs="Arial"/>
          <w:szCs w:val="20"/>
        </w:rPr>
        <w:t>, genome scale model</w:t>
      </w:r>
      <w:r w:rsidR="007621D1"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[21]</w:t>
      </w:r>
      <w:r w:rsidR="007621D1" w:rsidRPr="000D5F05">
        <w:rPr>
          <w:rFonts w:cs="Arial"/>
          <w:szCs w:val="20"/>
        </w:rPr>
        <w:fldChar w:fldCharType="end"/>
      </w:r>
      <w:r w:rsidR="007621D1" w:rsidRPr="000D5F05">
        <w:rPr>
          <w:rFonts w:cs="Arial"/>
          <w:szCs w:val="20"/>
        </w:rPr>
        <w:t xml:space="preserve"> as well as metabolomics and </w:t>
      </w:r>
      <w:proofErr w:type="spellStart"/>
      <w:r w:rsidR="007621D1" w:rsidRPr="000D5F05">
        <w:rPr>
          <w:rFonts w:cs="Arial"/>
          <w:szCs w:val="20"/>
        </w:rPr>
        <w:t>fluxomics</w:t>
      </w:r>
      <w:proofErr w:type="spellEnd"/>
      <w:r w:rsidR="007621D1" w:rsidRPr="000D5F05">
        <w:rPr>
          <w:rFonts w:cs="Arial"/>
          <w:szCs w:val="20"/>
        </w:rPr>
        <w:t xml:space="preserve"> technique</w:t>
      </w:r>
      <w:r w:rsidR="001B0539"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1B0539" w:rsidRPr="000D5F05">
        <w:rPr>
          <w:rFonts w:cs="Arial"/>
          <w:szCs w:val="20"/>
        </w:rPr>
        <w:fldChar w:fldCharType="separate"/>
      </w:r>
      <w:r w:rsidR="00300EB6" w:rsidRPr="00300EB6">
        <w:rPr>
          <w:rFonts w:cs="Arial"/>
          <w:noProof/>
          <w:szCs w:val="20"/>
        </w:rPr>
        <w:t>[21]</w:t>
      </w:r>
      <w:r w:rsidR="001B0539" w:rsidRPr="000D5F05">
        <w:rPr>
          <w:rFonts w:cs="Arial"/>
          <w:szCs w:val="20"/>
        </w:rPr>
        <w:fldChar w:fldCharType="end"/>
      </w:r>
      <w:r w:rsidR="007621D1" w:rsidRPr="000D5F05">
        <w:rPr>
          <w:rFonts w:cs="Arial"/>
          <w:szCs w:val="20"/>
        </w:rPr>
        <w:fldChar w:fldCharType="begin" w:fldLock="1"/>
      </w:r>
      <w:r w:rsidR="00AF0B7D">
        <w:rPr>
          <w:rFonts w:cs="Arial"/>
          <w:szCs w:val="20"/>
        </w:rPr>
        <w:instrText>ADDIN CSL_CITATION { "citationItems" : [ { "id" : "ITEM-1", "itemData" : { "DOI" : "10.1016/j.chroma.2009.02.030", "ISSN" : "1873-3778", "PMID" : "19268957", "abstract" : "Complementary methods using liquid chromatography-tandem quadrupole mass spectrometry (LC-MS/MS) and comprehensive two-dimensional gas chromatography-time-of-flight mass spectrometry (GCxGC-TOF-MS) were developed and applied to determine targeted metabolites involved in central carbon metabolism [including tricarboxylic acid cycle, serine cycle, ethylmalonyl-coenzyme A (ethylmalonyl-CoA) pathway and poly-beta-hydroxybutyrate cycle] of the bacterium Methylobacterium extorquens AM1 grown on two carbon sources, ethylamine (C2) and succinate (C4). Nucleotides, acyl-CoAs and a few volatile metabolites in cell extracts of M. extorquens AM1 were readily separated using either hydrophilic interaction liquid chromatography or reversed-phase liquid chromatography, and detected with good sensitivity by MS/MS. However, volatile intermediates within a low mass range (&lt;300 m/z), especially at low abundance (such as glyoxylic acid and others &lt;500nM), were more effectively analyzed by GCxGC-TOF-MS which often provided better sensitivity, resolution and reproducibility. The complementary nature of the LC-based and GC-based methods allowed the comparison of 39 metabolite concentrations (the lowest level was at 139.3nM). The overlap between the LC-based and GC-based methods of seven metabolites provided a basis to check for consistency between the two methods, and thus provided some validation of the quantification accuracy. The abundance change of 20 intermediates further suggested differences in pathways linked to C2 and C4 metabolism.", "author" : [ { "dropping-particle" : "", "family" : "Yang", "given" : "Song", "non-dropping-particle" : "", "parse-names" : false, "suffix" : "" }, { "dropping-particle" : "", "family" : "Sadilek", "given" : "Martin", "non-dropping-particle" : "", "parse-names" : false, "suffix" : "" }, { "dropping-particle" : "", "family" : "Synovec", "given" : "Robert E", "non-dropping-particle" : "", "parse-names" : false, "suffix" : "" }, { "dropping-particle" : "", "family" : "Lidstrom", "given" : "Mary E", "non-dropping-particle" : "", "parse-names" : false, "suffix" : "" } ], "container-title" : "Journal of chromatography. A", "id" : "ITEM-1", "issue" : "15", "issued" : { "date-parts" : [ [ "2009", "4", "10" ] ] }, "page" : "3280-9", "title" : "Liquid chromatography-tandem quadrupole mass spectrometry and comprehensive two-dimensional gas chromatography-time-of-flight mass spectrometry measurement of targeted metabolites of Methylobacterium extorquens AM1 grown on two different carbon sources.", "type" : "article-journal", "volume" : "1216" }, "uris" : [ "http://www.mendeley.com/documents/?uuid=c5461e03-8e4c-44ae-94ba-c4610360e1b6" ] } ], "mendeley" : { "formattedCitation" : "[22]", "plainTextFormattedCitation" : "[22]", "previouslyFormattedCitation" : "[22]"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[22]</w:t>
      </w:r>
      <w:r w:rsidR="007621D1" w:rsidRPr="000D5F05">
        <w:rPr>
          <w:rFonts w:cs="Arial"/>
          <w:szCs w:val="20"/>
        </w:rPr>
        <w:fldChar w:fldCharType="end"/>
      </w:r>
      <w:r w:rsidR="007621D1" w:rsidRPr="000D5F05">
        <w:rPr>
          <w:rFonts w:cs="Arial"/>
          <w:szCs w:val="20"/>
        </w:rPr>
        <w:t>, it offers great opportunities of rational strain development</w:t>
      </w:r>
      <w:r w:rsidR="001B0539" w:rsidRPr="000D5F05">
        <w:rPr>
          <w:rFonts w:cs="Arial"/>
          <w:szCs w:val="20"/>
        </w:rPr>
        <w:t xml:space="preserve"> for biotechnology applications</w:t>
      </w:r>
      <w:r w:rsidR="007621D1" w:rsidRPr="000D5F05">
        <w:rPr>
          <w:rFonts w:cs="Arial"/>
          <w:szCs w:val="20"/>
        </w:rPr>
        <w:t xml:space="preserve">. A successful attempt to metabolic engineering AM1 for 1-butanol production using </w:t>
      </w:r>
      <w:proofErr w:type="spellStart"/>
      <w:r w:rsidR="007621D1" w:rsidRPr="000D5F05">
        <w:rPr>
          <w:rFonts w:cs="Arial"/>
          <w:szCs w:val="20"/>
        </w:rPr>
        <w:t>ethylmalonyl</w:t>
      </w:r>
      <w:proofErr w:type="spellEnd"/>
      <w:r w:rsidR="007621D1" w:rsidRPr="000D5F05">
        <w:rPr>
          <w:rFonts w:cs="Arial"/>
          <w:szCs w:val="20"/>
        </w:rPr>
        <w:t>-CoA pathway conducted by Bo Hu was a great test case of using AM1 as a potential platform to produce high value chemical</w:t>
      </w:r>
      <w:r w:rsidR="007621D1" w:rsidRPr="000D5F05">
        <w:rPr>
          <w:rFonts w:cs="Arial"/>
          <w:szCs w:val="20"/>
        </w:rPr>
        <w:fldChar w:fldCharType="begin" w:fldLock="1"/>
      </w:r>
      <w:r w:rsidR="00AF0B7D">
        <w:rPr>
          <w:rFonts w:cs="Arial"/>
          <w:szCs w:val="20"/>
        </w:rPr>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"mendeley" : { "formattedCitation" : "[23]", "plainTextFormattedCitation" : "[23]", "previouslyFormattedCitation" : "[23]" }, "properties" : { "noteIndex" : 0 }, "schema" : "https://github.com/citation-style-language/schema/raw/master/csl-citation.json" }</w:instrText>
      </w:r>
      <w:r w:rsidR="007621D1" w:rsidRPr="000D5F05">
        <w:rPr>
          <w:rFonts w:cs="Arial"/>
          <w:szCs w:val="20"/>
        </w:rPr>
        <w:fldChar w:fldCharType="separate"/>
      </w:r>
      <w:r w:rsidR="00300EB6" w:rsidRPr="00300EB6">
        <w:rPr>
          <w:rFonts w:cs="Arial"/>
          <w:noProof/>
          <w:szCs w:val="20"/>
        </w:rPr>
        <w:t>[23]</w:t>
      </w:r>
      <w:r w:rsidR="007621D1" w:rsidRPr="000D5F05">
        <w:rPr>
          <w:rFonts w:cs="Arial"/>
          <w:szCs w:val="20"/>
        </w:rPr>
        <w:fldChar w:fldCharType="end"/>
      </w:r>
      <w:r w:rsidR="007621D1" w:rsidRPr="000D5F05">
        <w:rPr>
          <w:rFonts w:cs="Arial"/>
          <w:szCs w:val="20"/>
        </w:rPr>
        <w:t xml:space="preserve">. </w:t>
      </w:r>
    </w:p>
    <w:p w14:paraId="706CF8F8" w14:textId="0236BED7" w:rsidR="0097120C" w:rsidRPr="000D5F05" w:rsidRDefault="00A03FFA" w:rsidP="005E0DB3">
      <w:pPr>
        <w:rPr>
          <w:rFonts w:cs="Arial"/>
          <w:szCs w:val="20"/>
        </w:rPr>
      </w:pPr>
      <w:r w:rsidRPr="000D5F05">
        <w:rPr>
          <w:rFonts w:cs="Arial"/>
          <w:szCs w:val="20"/>
        </w:rPr>
        <w:t>Yield is an important parameter to evaluate whether the bioprocess</w:t>
      </w:r>
      <w:r w:rsidR="00FD4756">
        <w:rPr>
          <w:rFonts w:cs="Arial"/>
          <w:szCs w:val="20"/>
        </w:rPr>
        <w:t xml:space="preserve"> will be economically feasible. It is </w:t>
      </w:r>
      <w:r w:rsidRPr="000D5F05">
        <w:rPr>
          <w:rFonts w:cs="Arial"/>
          <w:szCs w:val="20"/>
        </w:rPr>
        <w:t>one of the parameters need to be optimized during strain development. When cell is under energy-limited growth, biomass yield and growth rate was determined by yield and rate of ATP production</w:t>
      </w:r>
      <w:r w:rsidRPr="000D5F05">
        <w:rPr>
          <w:rFonts w:cs="Arial"/>
          <w:szCs w:val="20"/>
        </w:rPr>
        <w:fldChar w:fldCharType="begin" w:fldLock="1"/>
      </w:r>
      <w:r w:rsidR="00AF0B7D">
        <w:rPr>
          <w:rFonts w:cs="Arial"/>
          <w:szCs w:val="20"/>
        </w:rPr>
        <w:instrText>ADDIN CSL_CITATION { "citationItems" : [ { "id" : "ITEM-1", "itemData" : { "ISSN" : "0021-9193", "PMID" : "11807064", "abstract" : "Many microorganisms have sets of parallel pathways for ATP production in respiration and for ATP utilization in glutamate synthesis. The alternatives differ in efficiency of ATP production and utilization. The choice among these parallel pathways has been hypothesized to control the speed and efficiency of growth. Thus, the organism should be able to alleviate (or exaggerate) deficiency in one pathway by deleting another. I show here that in Escherichia coli the effect of lack of the glutamate-synthesizing enzyme glutamate dehydrogenase on glucose-limited growth is altered predictably by ndh, cyo, and cyd mutations affecting parallel pathways leading to ATP synthesis in respiration.", "author" : [ { "dropping-particle" : "", "family" : "Helling", "given" : "Robert B", "non-dropping-particle" : "", "parse-names" : false, "suffix" : "" } ], "container-title" : "Journal of bacteriology", "id" : "ITEM-1", "issue" : "4", "issued" : { "date-parts" : [ [ "2002", "2" ] ] }, "note" : "under energetic growth, biomass yield and growth rate were determined by the rate and yield of ATP production\n", "page" : "1041-5", "title" : "Speed versus efficiency in microbial growth and the role of parallel pathways.", "type" : "article-journal", "volume" : "184" }, "uris" : [ "http://www.mendeley.com/documents/?uuid=0baf681b-79ad-4d51-9ccf-b5886effae89" ] } ], "mendeley" : { "formattedCitation" : "[24]", "plainTextFormattedCitation" : "[24]", "previouslyFormattedCitation" : "[24]" }, "properties" : { "noteIndex" : 0 }, "schema" : "https://github.com/citation-style-language/schema/raw/master/csl-citation.json" }</w:instrText>
      </w:r>
      <w:r w:rsidRPr="000D5F05">
        <w:rPr>
          <w:rFonts w:cs="Arial"/>
          <w:szCs w:val="20"/>
        </w:rPr>
        <w:fldChar w:fldCharType="separate"/>
      </w:r>
      <w:r w:rsidR="00300EB6" w:rsidRPr="00300EB6">
        <w:rPr>
          <w:rFonts w:cs="Arial"/>
          <w:noProof/>
          <w:szCs w:val="20"/>
        </w:rPr>
        <w:t>[24]</w:t>
      </w:r>
      <w:r w:rsidRPr="000D5F05">
        <w:rPr>
          <w:rFonts w:cs="Arial"/>
          <w:szCs w:val="20"/>
        </w:rPr>
        <w:fldChar w:fldCharType="end"/>
      </w:r>
      <w:r w:rsidRPr="000D5F05">
        <w:rPr>
          <w:rFonts w:cs="Arial"/>
          <w:szCs w:val="20"/>
        </w:rPr>
        <w:t>. Constrained by thermodynamic principals, a trade-off between rate and yield should exist for heterotrophic organism theoretically</w:t>
      </w:r>
      <w:r w:rsidRPr="000D5F05">
        <w:rPr>
          <w:rFonts w:cs="Arial"/>
          <w:szCs w:val="20"/>
        </w:rPr>
        <w:fldChar w:fldCharType="begin" w:fldLock="1"/>
      </w:r>
      <w:r w:rsidR="00AF0B7D">
        <w:rPr>
          <w:rFonts w:cs="Arial"/>
          <w:szCs w:val="20"/>
        </w:rPr>
        <w:instrText>ADDIN CSL_CITATION { "citationItems" : [ { "id" : "ITEM-1", "itemData" : { "DOI" : "10.1086/506527", "ISSN" : "1537-5323", "PMID" : "16874633", "abstract" : "Theoretical studies have predicted a trade-off between growth rate and yield in heterotrophic organisms. Here we test for the existence of this trade-off by analyzing the growth characteristics of 12 E. coli B populations that evolved for 20,000 generations under a constant selection regime. We performed three different tests. First, we analyzed changes in growth rate and yield over evolutionary time for each population. Second, we tested for a negative correlation between rate and yield across the 12 populations. Finally, we isolated clones from four selected populations and tested for a negative correlation between rate and yield within these populations. We did not find evidence for a trade-off based on the first two tests. However, we did observe a trade-off based on the within-population correlation of yield and rate. Our results indicate that, at least for the populations studied here, an analysis of the within-population diversity might be the most sensitive test for the existence of a trade-off. The observation of a trade-off within, but not between, populations suggests that the populations evolved different genetic solutions for growth in the selective environment, which in turn led to different physiological constraints.", "author" : [ { "dropping-particle" : "", "family" : "Novak", "given" : "Maja", "non-dropping-particle" : "", "parse-names" : false, "suffix" : "" }, { "dropping-particle" : "", "family" : "Pfeiffer", "given" : "Thomas", "non-dropping-particle" : "", "parse-names" : false, "suffix" : "" }, { "dropping-particle" : "", "family" : "Lenski", "given" : "Richard E", "non-dropping-particle" : "", "parse-names" : false, "suffix" : "" }, { "dropping-particle" : "", "family" : "Sauer", "given" : "Uwe", "non-dropping-particle" : "", "parse-names" : false, "suffix" : "" }, { "dropping-particle" : "", "family" : "Bonhoeffer", "given" : "Sebastian", "non-dropping-particle" : "", "parse-names" : false, "suffix" : "" } ], "container-title" : "The American naturalist", "id" : "ITEM-1", "issue" : "2", "issued" : { "date-parts" : [ [ "2006", "8", "12" ] ] }, "language" : "en", "page" : "242-51", "publisher" : "The University of Chicago Press", "title" : "Experimental tests for an evolutionary trade-off between growth rate and yield in E. coli.", "type" : "article-journal", "volume" : "168" }, "uris" : [ "http://www.mendeley.com/documents/?uuid=69aa073a-c52e-44e9-8bb5-0d7d029a247f" ] } ], "mendeley" : { "formattedCitation" : "[25]", "plainTextFormattedCitation" : "[25]", "previouslyFormattedCitation" : "[25]" }, "properties" : { "noteIndex" : 0 }, "schema" : "https://github.com/citation-style-language/schema/raw/master/csl-citation.json" }</w:instrText>
      </w:r>
      <w:r w:rsidRPr="000D5F05">
        <w:rPr>
          <w:rFonts w:cs="Arial"/>
          <w:szCs w:val="20"/>
        </w:rPr>
        <w:fldChar w:fldCharType="separate"/>
      </w:r>
      <w:r w:rsidR="00300EB6" w:rsidRPr="00300EB6">
        <w:rPr>
          <w:rFonts w:cs="Arial"/>
          <w:noProof/>
          <w:szCs w:val="20"/>
        </w:rPr>
        <w:t>[25]</w:t>
      </w:r>
      <w:r w:rsidRPr="000D5F05">
        <w:rPr>
          <w:rFonts w:cs="Arial"/>
          <w:szCs w:val="20"/>
        </w:rPr>
        <w:fldChar w:fldCharType="end"/>
      </w:r>
      <w:r w:rsidRPr="000D5F05">
        <w:rPr>
          <w:rFonts w:cs="Arial"/>
          <w:szCs w:val="20"/>
        </w:rPr>
        <w:t>.</w:t>
      </w:r>
      <w:r w:rsidR="00BF7301" w:rsidRPr="000D5F05">
        <w:rPr>
          <w:rFonts w:cs="Arial"/>
          <w:szCs w:val="20"/>
        </w:rPr>
        <w:t xml:space="preserve"> However, the knowledge of how the central carbon metabolism responds to the trade-off is lacking in AM1. It will be very informative for strain development if the pathways responding to the trade-off could be identified. In Chapter 2, detailed metabolic flux maps were generated by </w:t>
      </w:r>
      <w:r w:rsidR="00BF7301" w:rsidRPr="000D5F05">
        <w:rPr>
          <w:rFonts w:cs="Arial"/>
          <w:szCs w:val="20"/>
          <w:vertAlign w:val="superscript"/>
        </w:rPr>
        <w:t>13</w:t>
      </w:r>
      <w:r w:rsidR="00BF7301" w:rsidRPr="000D5F05">
        <w:rPr>
          <w:rFonts w:cs="Arial"/>
          <w:szCs w:val="20"/>
        </w:rPr>
        <w:t>C metabolic flux analysis</w:t>
      </w:r>
      <w:r w:rsidR="00E40992" w:rsidRPr="000D5F05">
        <w:rPr>
          <w:rFonts w:cs="Arial"/>
          <w:szCs w:val="20"/>
        </w:rPr>
        <w:t>, and pathways correlated to high growth rate and high biomass yield were identified respectively.</w:t>
      </w:r>
      <w:r w:rsidR="006D0B9B" w:rsidRPr="000D5F05">
        <w:rPr>
          <w:rFonts w:cs="Arial"/>
          <w:szCs w:val="20"/>
        </w:rPr>
        <w:t xml:space="preserve"> Mutant analysis supports the finding </w:t>
      </w:r>
      <w:r w:rsidR="007D0E72">
        <w:rPr>
          <w:rFonts w:cs="Arial"/>
          <w:szCs w:val="20"/>
        </w:rPr>
        <w:t>generated from</w:t>
      </w:r>
      <w:r w:rsidR="006D0B9B" w:rsidRPr="000D5F05">
        <w:rPr>
          <w:rFonts w:cs="Arial"/>
          <w:szCs w:val="20"/>
        </w:rPr>
        <w:t xml:space="preserve"> metabolic flux analysis.</w:t>
      </w:r>
      <w:r w:rsidR="005E0DB3" w:rsidRPr="000D5F05">
        <w:rPr>
          <w:rFonts w:cs="Arial"/>
          <w:szCs w:val="20"/>
        </w:rPr>
        <w:t xml:space="preserve"> Before getting into how the flux distribution through the cent</w:t>
      </w:r>
      <w:r w:rsidR="007D0E72">
        <w:rPr>
          <w:rFonts w:cs="Arial"/>
          <w:szCs w:val="20"/>
        </w:rPr>
        <w:t xml:space="preserve">ral carbon metabolism in AM1, </w:t>
      </w:r>
      <w:r w:rsidR="005E0DB3" w:rsidRPr="000D5F05">
        <w:rPr>
          <w:rFonts w:cs="Arial"/>
          <w:szCs w:val="20"/>
        </w:rPr>
        <w:t>the central carbon metabolism network</w:t>
      </w:r>
      <w:r w:rsidR="007D0E72">
        <w:rPr>
          <w:rFonts w:cs="Arial"/>
          <w:szCs w:val="20"/>
        </w:rPr>
        <w:t xml:space="preserve"> will be described </w:t>
      </w:r>
      <w:r w:rsidR="005E0DB3" w:rsidRPr="000D5F05">
        <w:rPr>
          <w:rFonts w:cs="Arial"/>
          <w:szCs w:val="20"/>
        </w:rPr>
        <w:t>in the following section.</w:t>
      </w:r>
    </w:p>
    <w:p w14:paraId="6C5860B9" w14:textId="51A3D9F8" w:rsidR="00DC59BD" w:rsidRPr="00804AA0" w:rsidRDefault="00EE4A5F" w:rsidP="00E272FF">
      <w:pPr>
        <w:pStyle w:val="Heading3"/>
        <w:tabs>
          <w:tab w:val="left" w:pos="4158"/>
        </w:tabs>
      </w:pPr>
      <w:bookmarkStart w:id="11" w:name="_Toc301520586"/>
      <w:bookmarkStart w:id="12" w:name="_Toc301521553"/>
      <w:bookmarkStart w:id="13" w:name="_Toc468311698"/>
      <w:r w:rsidRPr="00804AA0">
        <w:t>1.2.1.</w:t>
      </w:r>
      <w:r w:rsidR="007359A5" w:rsidRPr="00804AA0">
        <w:t xml:space="preserve"> </w:t>
      </w:r>
      <w:r w:rsidR="00DC59BD" w:rsidRPr="00804AA0">
        <w:t>Central carbon metabolism</w:t>
      </w:r>
      <w:bookmarkEnd w:id="11"/>
      <w:bookmarkEnd w:id="12"/>
      <w:bookmarkEnd w:id="13"/>
      <w:r w:rsidR="00E272FF">
        <w:tab/>
      </w:r>
    </w:p>
    <w:p w14:paraId="64848400" w14:textId="5664AB3D" w:rsidR="00B053A7" w:rsidRPr="000D5F05" w:rsidRDefault="00D61765" w:rsidP="001B0256">
      <w:pPr>
        <w:rPr>
          <w:rFonts w:cs="Arial"/>
          <w:szCs w:val="20"/>
        </w:rPr>
      </w:pPr>
      <w:r w:rsidRPr="000D5F05">
        <w:rPr>
          <w:rFonts w:cs="Arial"/>
          <w:szCs w:val="20"/>
        </w:rPr>
        <w:t>The central carbon metabolism pathway was clearly laid out based on existing bio</w:t>
      </w:r>
      <w:r w:rsidR="003C31C7" w:rsidRPr="000D5F05">
        <w:rPr>
          <w:rFonts w:cs="Arial"/>
          <w:szCs w:val="20"/>
        </w:rPr>
        <w:t>chemistry knowledge</w:t>
      </w:r>
      <w:r w:rsidR="003C31C7" w:rsidRPr="000D5F05">
        <w:rPr>
          <w:rFonts w:cs="Arial"/>
          <w:szCs w:val="20"/>
        </w:rPr>
        <w:fldChar w:fldCharType="begin" w:fldLock="1"/>
      </w:r>
      <w:r w:rsidR="00AF0B7D">
        <w:rPr>
          <w:rFonts w:cs="Arial"/>
          <w:szCs w:val="20"/>
        </w:rPr>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 : "1", "issued" : { "date-parts" : [ [ "2011", "1" ] ] }, "page" : "189", "publisher" : "BioMed Central Ltd", "title" : "Genome-scale reconstruction and system level investigation of the metabolic network of Methylobacterium extorquens AM1.", "type" : "article-journal", "volume" : "5" }, "uris" : [ "http://www.mendeley.com/documents/?uuid=c5ef95a1-3422-48b7-b3c4-b183757a4b49" ] } ], "mendeley" : { "formattedCitation" : "[21]", "plainTextFormattedCitation" : "[21]", "previouslyFormattedCitation" : "[21]" }, "properties" : { "noteIndex" : 0 }, "schema" : "https://github.com/citation-style-language/schema/raw/master/csl-citation.json" }</w:instrText>
      </w:r>
      <w:r w:rsidR="003C31C7" w:rsidRPr="000D5F05">
        <w:rPr>
          <w:rFonts w:cs="Arial"/>
          <w:szCs w:val="20"/>
        </w:rPr>
        <w:fldChar w:fldCharType="separate"/>
      </w:r>
      <w:r w:rsidR="00300EB6" w:rsidRPr="00300EB6">
        <w:rPr>
          <w:rFonts w:cs="Arial"/>
          <w:noProof/>
          <w:szCs w:val="20"/>
        </w:rPr>
        <w:t>[21]</w:t>
      </w:r>
      <w:r w:rsidR="003C31C7" w:rsidRPr="000D5F05">
        <w:rPr>
          <w:rFonts w:cs="Arial"/>
          <w:szCs w:val="20"/>
        </w:rPr>
        <w:fldChar w:fldCharType="end"/>
      </w:r>
      <w:r w:rsidRPr="000D5F05">
        <w:rPr>
          <w:rFonts w:cs="Arial"/>
          <w:szCs w:val="20"/>
        </w:rPr>
        <w:t xml:space="preserve">. </w:t>
      </w:r>
      <w:r w:rsidR="001B0256" w:rsidRPr="000D5F05">
        <w:rPr>
          <w:rFonts w:cs="Arial"/>
          <w:szCs w:val="20"/>
        </w:rPr>
        <w:t xml:space="preserve">The central carbon metabolism shown in </w:t>
      </w:r>
      <w:r w:rsidR="00FD28CB">
        <w:rPr>
          <w:rFonts w:cs="Arial"/>
          <w:szCs w:val="20"/>
        </w:rPr>
        <w:t xml:space="preserve">Figure </w:t>
      </w:r>
      <w:r w:rsidR="001B0256" w:rsidRPr="000D5F05">
        <w:rPr>
          <w:rFonts w:cs="Arial"/>
          <w:szCs w:val="20"/>
        </w:rPr>
        <w:t>1</w:t>
      </w:r>
      <w:r w:rsidR="00FD28CB">
        <w:rPr>
          <w:rFonts w:cs="Arial"/>
          <w:szCs w:val="20"/>
        </w:rPr>
        <w:t>.1</w:t>
      </w:r>
      <w:r w:rsidR="001B0256" w:rsidRPr="000D5F05">
        <w:rPr>
          <w:rFonts w:cs="Arial"/>
          <w:szCs w:val="20"/>
        </w:rPr>
        <w:t xml:space="preserve"> in </w:t>
      </w:r>
      <w:r w:rsidR="00A074FF" w:rsidRPr="000D5F05">
        <w:rPr>
          <w:rFonts w:cs="Arial"/>
          <w:szCs w:val="20"/>
        </w:rPr>
        <w:t>AM1</w:t>
      </w:r>
      <w:r w:rsidR="00C10927" w:rsidRPr="000D5F05">
        <w:rPr>
          <w:rFonts w:cs="Arial"/>
          <w:szCs w:val="20"/>
        </w:rPr>
        <w:t xml:space="preserve"> includes three major modules: </w:t>
      </w:r>
      <w:proofErr w:type="spellStart"/>
      <w:r w:rsidR="00C10927" w:rsidRPr="000D5F05">
        <w:rPr>
          <w:rFonts w:cs="Arial"/>
          <w:szCs w:val="20"/>
        </w:rPr>
        <w:t>te</w:t>
      </w:r>
      <w:r w:rsidR="00BB7566">
        <w:rPr>
          <w:rFonts w:cs="Arial"/>
          <w:szCs w:val="20"/>
        </w:rPr>
        <w:t>trahydromethanopterin</w:t>
      </w:r>
      <w:proofErr w:type="spellEnd"/>
      <w:r w:rsidR="00BB7566">
        <w:rPr>
          <w:rFonts w:cs="Arial"/>
          <w:szCs w:val="20"/>
        </w:rPr>
        <w:t xml:space="preserve">-dependent </w:t>
      </w:r>
      <w:r w:rsidR="00C10927" w:rsidRPr="000D5F05">
        <w:rPr>
          <w:rFonts w:cs="Arial"/>
          <w:szCs w:val="20"/>
        </w:rPr>
        <w:t>oxidation pathway</w:t>
      </w:r>
      <w:r w:rsidR="008C526B">
        <w:rPr>
          <w:rFonts w:cs="Arial"/>
          <w:szCs w:val="20"/>
        </w:rPr>
        <w:t xml:space="preserve">, serine cycle, and </w:t>
      </w:r>
      <w:proofErr w:type="spellStart"/>
      <w:r w:rsidR="008C526B">
        <w:rPr>
          <w:rFonts w:cs="Arial"/>
          <w:szCs w:val="20"/>
        </w:rPr>
        <w:t>e</w:t>
      </w:r>
      <w:r w:rsidR="00C10927" w:rsidRPr="000D5F05">
        <w:rPr>
          <w:rFonts w:cs="Arial"/>
          <w:szCs w:val="20"/>
        </w:rPr>
        <w:t>thylmalonyl</w:t>
      </w:r>
      <w:proofErr w:type="spellEnd"/>
      <w:r w:rsidR="00C10927" w:rsidRPr="000D5F05">
        <w:rPr>
          <w:rFonts w:cs="Arial"/>
          <w:szCs w:val="20"/>
        </w:rPr>
        <w:t>-CoA pathway</w:t>
      </w:r>
      <w:r w:rsidR="001B0256" w:rsidRPr="000D5F05">
        <w:rPr>
          <w:rFonts w:cs="Arial"/>
          <w:szCs w:val="20"/>
        </w:rPr>
        <w:t>. Extracellular methanol needs to b</w:t>
      </w:r>
      <w:r w:rsidR="008C526B">
        <w:rPr>
          <w:rFonts w:cs="Arial"/>
          <w:szCs w:val="20"/>
        </w:rPr>
        <w:t xml:space="preserve">e transported into </w:t>
      </w:r>
      <w:r w:rsidR="001B0256" w:rsidRPr="000D5F05">
        <w:rPr>
          <w:rFonts w:cs="Arial"/>
          <w:szCs w:val="20"/>
        </w:rPr>
        <w:t xml:space="preserve">periplasm, and then converted into formaldehyde with methanol dehydrogenase. Formaldehyde will then be converted into </w:t>
      </w:r>
      <w:proofErr w:type="spellStart"/>
      <w:r w:rsidR="001B0256" w:rsidRPr="000D5F05">
        <w:rPr>
          <w:rFonts w:cs="Arial"/>
          <w:szCs w:val="20"/>
        </w:rPr>
        <w:t>formate</w:t>
      </w:r>
      <w:proofErr w:type="spellEnd"/>
      <w:r w:rsidR="001B0256" w:rsidRPr="000D5F05">
        <w:rPr>
          <w:rFonts w:cs="Arial"/>
          <w:szCs w:val="20"/>
        </w:rPr>
        <w:t xml:space="preserve"> through </w:t>
      </w:r>
      <w:proofErr w:type="spellStart"/>
      <w:r w:rsidR="001B0256" w:rsidRPr="000D5F05">
        <w:rPr>
          <w:rFonts w:cs="Arial"/>
          <w:szCs w:val="20"/>
        </w:rPr>
        <w:t>tetrahydromethanopterin</w:t>
      </w:r>
      <w:proofErr w:type="spellEnd"/>
      <w:r w:rsidR="001B0256" w:rsidRPr="000D5F05">
        <w:rPr>
          <w:rFonts w:cs="Arial"/>
          <w:szCs w:val="20"/>
        </w:rPr>
        <w:t xml:space="preserve">-dependent oxidation pathway. At the first branch point, </w:t>
      </w:r>
      <w:proofErr w:type="spellStart"/>
      <w:r w:rsidR="001B0256" w:rsidRPr="000D5F05">
        <w:rPr>
          <w:rFonts w:cs="Arial"/>
          <w:szCs w:val="20"/>
        </w:rPr>
        <w:t>formate</w:t>
      </w:r>
      <w:proofErr w:type="spellEnd"/>
      <w:r w:rsidR="001B0256" w:rsidRPr="000D5F05">
        <w:rPr>
          <w:rFonts w:cs="Arial"/>
          <w:szCs w:val="20"/>
        </w:rPr>
        <w:t xml:space="preserve"> could either be oxidized to CO</w:t>
      </w:r>
      <w:r w:rsidR="001B0256" w:rsidRPr="000D5F05">
        <w:rPr>
          <w:rFonts w:cs="Arial"/>
          <w:szCs w:val="20"/>
          <w:vertAlign w:val="subscript"/>
        </w:rPr>
        <w:t>2</w:t>
      </w:r>
      <w:r w:rsidR="001B0256" w:rsidRPr="000D5F05">
        <w:rPr>
          <w:rFonts w:cs="Arial"/>
          <w:szCs w:val="20"/>
        </w:rPr>
        <w:t xml:space="preserve"> to provide reducing power NADH </w:t>
      </w:r>
      <w:r w:rsidR="009E11A4" w:rsidRPr="000D5F05">
        <w:rPr>
          <w:rFonts w:cs="Arial"/>
          <w:szCs w:val="20"/>
        </w:rPr>
        <w:t xml:space="preserve">catalyzed by </w:t>
      </w:r>
      <w:proofErr w:type="spellStart"/>
      <w:r w:rsidR="009E11A4" w:rsidRPr="000D5F05">
        <w:rPr>
          <w:rFonts w:cs="Arial"/>
          <w:szCs w:val="20"/>
        </w:rPr>
        <w:t>formate</w:t>
      </w:r>
      <w:proofErr w:type="spellEnd"/>
      <w:r w:rsidR="009E11A4" w:rsidRPr="000D5F05">
        <w:rPr>
          <w:rFonts w:cs="Arial"/>
          <w:szCs w:val="20"/>
        </w:rPr>
        <w:t xml:space="preserve"> </w:t>
      </w:r>
      <w:r w:rsidR="008C526B">
        <w:rPr>
          <w:rFonts w:cs="Arial"/>
          <w:szCs w:val="20"/>
        </w:rPr>
        <w:t xml:space="preserve">dehydrogenase or </w:t>
      </w:r>
      <w:r w:rsidR="009E11A4" w:rsidRPr="000D5F05">
        <w:rPr>
          <w:rFonts w:cs="Arial"/>
          <w:szCs w:val="20"/>
        </w:rPr>
        <w:t xml:space="preserve">assimilated through </w:t>
      </w:r>
      <w:r w:rsidR="00A074FF" w:rsidRPr="000D5F05">
        <w:rPr>
          <w:rFonts w:cs="Arial"/>
          <w:szCs w:val="20"/>
        </w:rPr>
        <w:t xml:space="preserve">serine cycle </w:t>
      </w:r>
      <w:r w:rsidR="008C526B">
        <w:rPr>
          <w:rFonts w:cs="Arial"/>
          <w:szCs w:val="20"/>
        </w:rPr>
        <w:t xml:space="preserve">to produce </w:t>
      </w:r>
      <w:proofErr w:type="gramStart"/>
      <w:r w:rsidR="008C526B">
        <w:rPr>
          <w:rFonts w:cs="Arial"/>
          <w:szCs w:val="20"/>
        </w:rPr>
        <w:t>a</w:t>
      </w:r>
      <w:r w:rsidR="00C10927" w:rsidRPr="000D5F05">
        <w:rPr>
          <w:rFonts w:cs="Arial"/>
          <w:szCs w:val="20"/>
        </w:rPr>
        <w:t>cetyl</w:t>
      </w:r>
      <w:proofErr w:type="gramEnd"/>
      <w:r w:rsidR="00C10927" w:rsidRPr="000D5F05">
        <w:rPr>
          <w:rFonts w:cs="Arial"/>
          <w:szCs w:val="20"/>
        </w:rPr>
        <w:t>-CoA and C3, C4 i</w:t>
      </w:r>
      <w:r w:rsidR="008C526B">
        <w:rPr>
          <w:rFonts w:cs="Arial"/>
          <w:szCs w:val="20"/>
        </w:rPr>
        <w:t>ntermediates compounds. Acetyl-C</w:t>
      </w:r>
      <w:r w:rsidR="00C10927" w:rsidRPr="000D5F05">
        <w:rPr>
          <w:rFonts w:cs="Arial"/>
          <w:szCs w:val="20"/>
        </w:rPr>
        <w:t xml:space="preserve">oA then entered </w:t>
      </w:r>
      <w:proofErr w:type="spellStart"/>
      <w:r w:rsidR="008C526B">
        <w:rPr>
          <w:rFonts w:cs="Arial"/>
          <w:szCs w:val="20"/>
        </w:rPr>
        <w:t>e</w:t>
      </w:r>
      <w:r w:rsidR="00A074FF" w:rsidRPr="000D5F05">
        <w:rPr>
          <w:rFonts w:cs="Arial"/>
          <w:szCs w:val="20"/>
        </w:rPr>
        <w:t>thylamlonyl</w:t>
      </w:r>
      <w:proofErr w:type="spellEnd"/>
      <w:r w:rsidR="00A074FF" w:rsidRPr="000D5F05">
        <w:rPr>
          <w:rFonts w:cs="Arial"/>
          <w:szCs w:val="20"/>
        </w:rPr>
        <w:t xml:space="preserve">-CoA cycle for </w:t>
      </w:r>
      <w:proofErr w:type="spellStart"/>
      <w:r w:rsidR="00A074FF" w:rsidRPr="000D5F05">
        <w:rPr>
          <w:rFonts w:cs="Arial"/>
          <w:szCs w:val="20"/>
        </w:rPr>
        <w:t>glyoxylate</w:t>
      </w:r>
      <w:proofErr w:type="spellEnd"/>
      <w:r w:rsidR="00A074FF" w:rsidRPr="000D5F05">
        <w:rPr>
          <w:rFonts w:cs="Arial"/>
          <w:szCs w:val="20"/>
        </w:rPr>
        <w:t xml:space="preserve"> regeneration to keep the assimilation </w:t>
      </w:r>
      <w:r w:rsidR="00C10927" w:rsidRPr="000D5F05">
        <w:rPr>
          <w:rFonts w:cs="Arial"/>
          <w:szCs w:val="20"/>
        </w:rPr>
        <w:t xml:space="preserve">serine </w:t>
      </w:r>
      <w:r w:rsidR="00A074FF" w:rsidRPr="000D5F05">
        <w:rPr>
          <w:rFonts w:cs="Arial"/>
          <w:szCs w:val="20"/>
        </w:rPr>
        <w:t xml:space="preserve">cycle running. </w:t>
      </w:r>
      <w:r w:rsidR="00C10927" w:rsidRPr="000D5F05">
        <w:rPr>
          <w:rFonts w:cs="Arial"/>
          <w:szCs w:val="20"/>
        </w:rPr>
        <w:t xml:space="preserve">TCA cycle and reversed glycolysis pathway also need to be operating to produce enough precursors for </w:t>
      </w:r>
      <w:r w:rsidR="00C10927" w:rsidRPr="000D5F05">
        <w:rPr>
          <w:rFonts w:cs="Arial"/>
          <w:szCs w:val="20"/>
        </w:rPr>
        <w:lastRenderedPageBreak/>
        <w:t>biomass synthesis.</w:t>
      </w:r>
      <w:r w:rsidR="00024A8F" w:rsidRPr="000D5F05">
        <w:rPr>
          <w:rFonts w:cs="Arial"/>
          <w:szCs w:val="20"/>
        </w:rPr>
        <w:t xml:space="preserve"> The metabolites shown in bold in </w:t>
      </w:r>
      <w:r w:rsidR="00646DF0">
        <w:rPr>
          <w:rFonts w:cs="Arial"/>
          <w:szCs w:val="20"/>
        </w:rPr>
        <w:t>Figure</w:t>
      </w:r>
      <w:r w:rsidR="00024A8F" w:rsidRPr="000D5F05">
        <w:rPr>
          <w:rFonts w:cs="Arial"/>
          <w:szCs w:val="20"/>
        </w:rPr>
        <w:t xml:space="preserve"> 1</w:t>
      </w:r>
      <w:r w:rsidR="00646DF0">
        <w:rPr>
          <w:rFonts w:cs="Arial"/>
          <w:szCs w:val="20"/>
        </w:rPr>
        <w:t>.1</w:t>
      </w:r>
      <w:r w:rsidR="00024A8F" w:rsidRPr="000D5F05">
        <w:rPr>
          <w:rFonts w:cs="Arial"/>
          <w:szCs w:val="20"/>
        </w:rPr>
        <w:t xml:space="preserve"> are </w:t>
      </w:r>
      <w:r w:rsidR="00D749FB">
        <w:rPr>
          <w:rFonts w:cs="Arial"/>
          <w:szCs w:val="20"/>
        </w:rPr>
        <w:t xml:space="preserve">branch point </w:t>
      </w:r>
      <w:r w:rsidR="00024A8F" w:rsidRPr="000D5F05">
        <w:rPr>
          <w:rFonts w:cs="Arial"/>
          <w:szCs w:val="20"/>
        </w:rPr>
        <w:t xml:space="preserve">metabolites, which were involved in more than one reaction. Metabolites with * are precursors for biomass synthesis. </w:t>
      </w:r>
    </w:p>
    <w:p w14:paraId="74008ACB" w14:textId="77777777" w:rsidR="001B0256" w:rsidRPr="000D5F05" w:rsidRDefault="007359A5" w:rsidP="001B0256">
      <w:pPr>
        <w:pStyle w:val="ListParagraph"/>
        <w:keepNext/>
        <w:rPr>
          <w:rFonts w:cs="Arial"/>
          <w:szCs w:val="20"/>
        </w:rPr>
      </w:pPr>
      <w:r w:rsidRPr="000D5F05">
        <w:rPr>
          <w:rFonts w:cs="Arial"/>
          <w:noProof/>
          <w:szCs w:val="20"/>
          <w:lang w:eastAsia="zh-CN"/>
        </w:rPr>
        <w:drawing>
          <wp:inline distT="0" distB="0" distL="0" distR="0" wp14:anchorId="51C41528" wp14:editId="3812B5E0">
            <wp:extent cx="4572000" cy="2993634"/>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2993634"/>
                    </a:xfrm>
                    <a:prstGeom prst="rect">
                      <a:avLst/>
                    </a:prstGeom>
                    <a:noFill/>
                  </pic:spPr>
                </pic:pic>
              </a:graphicData>
            </a:graphic>
          </wp:inline>
        </w:drawing>
      </w:r>
    </w:p>
    <w:p w14:paraId="4AC8D8A1" w14:textId="6AB7103F" w:rsidR="00B053A7" w:rsidRDefault="001B0256" w:rsidP="00B31BA0">
      <w:pPr>
        <w:pStyle w:val="Caption"/>
      </w:pPr>
      <w:r w:rsidRPr="00B31BA0">
        <w:t xml:space="preserve">Figure </w:t>
      </w:r>
      <w:fldSimple w:instr=" SEQ Figure \* ARABIC ">
        <w:r w:rsidR="00174625">
          <w:rPr>
            <w:noProof/>
          </w:rPr>
          <w:t>1</w:t>
        </w:r>
      </w:fldSimple>
      <w:r w:rsidR="001E72C1">
        <w:t>.1</w:t>
      </w:r>
      <w:r w:rsidRPr="00B31BA0">
        <w:t xml:space="preserve"> Central carbon metabolism in AM1</w:t>
      </w:r>
      <w:r w:rsidR="008C526B" w:rsidRPr="00B31BA0">
        <w:t xml:space="preserve"> includes 3 modules:</w:t>
      </w:r>
      <w:r w:rsidR="00B31BA0" w:rsidRPr="00B31BA0">
        <w:t xml:space="preserve"> </w:t>
      </w:r>
      <w:proofErr w:type="spellStart"/>
      <w:r w:rsidR="00B31BA0" w:rsidRPr="00B31BA0">
        <w:t>tetrahydromethanopterin</w:t>
      </w:r>
      <w:proofErr w:type="spellEnd"/>
      <w:r w:rsidR="00B31BA0" w:rsidRPr="00B31BA0">
        <w:t xml:space="preserve">-dependent oxidation pathway, serine cycle, and </w:t>
      </w:r>
      <w:proofErr w:type="spellStart"/>
      <w:r w:rsidR="00B31BA0" w:rsidRPr="00B31BA0">
        <w:t>ethylmalonyl</w:t>
      </w:r>
      <w:proofErr w:type="spellEnd"/>
      <w:r w:rsidR="00B31BA0" w:rsidRPr="00B31BA0">
        <w:t>-CoA pathway</w:t>
      </w:r>
    </w:p>
    <w:p w14:paraId="4AB39632" w14:textId="665C096F" w:rsidR="000D138A" w:rsidRPr="004527E8" w:rsidRDefault="00AA5E2D" w:rsidP="000D138A">
      <w:pPr>
        <w:pStyle w:val="Heading3"/>
      </w:pPr>
      <w:bookmarkStart w:id="14" w:name="_Toc468311699"/>
      <w:r w:rsidRPr="004527E8">
        <w:t xml:space="preserve">1.2.2. </w:t>
      </w:r>
      <w:r w:rsidR="000A003F" w:rsidRPr="004527E8">
        <w:t xml:space="preserve">Central carbon metabolism response to environmental change and gene </w:t>
      </w:r>
      <w:r w:rsidR="00183EE7" w:rsidRPr="004527E8">
        <w:t>manipulation</w:t>
      </w:r>
      <w:bookmarkEnd w:id="14"/>
    </w:p>
    <w:p w14:paraId="086254E5" w14:textId="450F41DD" w:rsidR="00210E3B" w:rsidRDefault="000D138A" w:rsidP="000D138A">
      <w:r>
        <w:t xml:space="preserve">Under </w:t>
      </w:r>
      <w:proofErr w:type="spellStart"/>
      <w:r>
        <w:t>methanotrophic</w:t>
      </w:r>
      <w:proofErr w:type="spellEnd"/>
      <w:r>
        <w:t xml:space="preserve"> growth, the </w:t>
      </w:r>
      <w:proofErr w:type="spellStart"/>
      <w:r>
        <w:t>ethylmalonyl</w:t>
      </w:r>
      <w:proofErr w:type="spellEnd"/>
      <w:r>
        <w:t xml:space="preserve">-CoA pathway is operating to regenerate </w:t>
      </w:r>
      <w:proofErr w:type="spellStart"/>
      <w:r>
        <w:t>glyoxylate</w:t>
      </w:r>
      <w:proofErr w:type="spellEnd"/>
      <w:r>
        <w:t xml:space="preserve">. </w:t>
      </w:r>
      <w:r w:rsidR="00210E3B">
        <w:t xml:space="preserve">Since AM1 is a facultative </w:t>
      </w:r>
      <w:proofErr w:type="spellStart"/>
      <w:r w:rsidR="00210E3B">
        <w:t>methy</w:t>
      </w:r>
      <w:r w:rsidR="00BB1381">
        <w:t>lotroph</w:t>
      </w:r>
      <w:proofErr w:type="spellEnd"/>
      <w:r w:rsidR="00BB1381">
        <w:t xml:space="preserve">, it could grow on </w:t>
      </w:r>
      <w:proofErr w:type="spellStart"/>
      <w:r w:rsidR="00BB1381">
        <w:t>multi</w:t>
      </w:r>
      <w:r w:rsidR="00210E3B">
        <w:t>carbon</w:t>
      </w:r>
      <w:proofErr w:type="spellEnd"/>
      <w:r w:rsidR="00210E3B">
        <w:t xml:space="preserve"> substrate, such as acetate or succinate. </w:t>
      </w:r>
      <w:r>
        <w:t>The central carbon metabolism shifted when th</w:t>
      </w:r>
      <w:r w:rsidR="00BB1381">
        <w:t xml:space="preserve">e carbon source switched from C1 to </w:t>
      </w:r>
      <w:r>
        <w:t>multi-carbon compounds</w:t>
      </w:r>
      <w:r w:rsidR="00AF0B7D">
        <w:fldChar w:fldCharType="begin" w:fldLock="1"/>
      </w:r>
      <w:r w:rsidR="008F71E9">
        <w:instrText>ADDIN CSL_CITATION { "citationItems" : [ { "id" : "ITEM-1", "itemData" : { "DOI" : "10.1371/journal.pone.0014091", "ISSN" : "1932-6203", "PMID" : "21124828", "abstract" : "When organisms experience environmental change, how does their metabolic network reset and adapt to the new condition? Methylobacterium extorquens is a bacterium capable of growth on both multi- and single-carbon compounds. These different modes of growth utilize dramatically different central metabolic pathways with limited pathway overlap.", "author" : [ { "dropping-particle" : "", "family" : "Skovran", "given" : "Elizabeth", "non-dropping-particle" : "", "parse-names" : false, "suffix" : "" }, { "dropping-particle" : "", "family" : "Crowther", "given" : "Gregory J", "non-dropping-particle" : "", "parse-names" : false, "suffix" : "" }, { "dropping-particle" : "", "family" : "Guo", "given" : "Xiaofeng", "non-dropping-particle" : "", "parse-names" : false, "suffix" : "" }, { "dropping-particle" : "", "family" : "Yang", "given" : "Song", "non-dropping-particle" : "", "parse-names" : false, "suffix" : "" }, { "dropping-particle" : "", "family" : "Lidstrom", "given" : "Mary E", "non-dropping-particle" : "", "parse-names" : false, "suffix" : "" } ], "container-title" : "PloS one", "id" : "ITEM-1", "issue" : "11", "issued" : { "date-parts" : [ [ "2010", "1" ] ] }, "page" : "e14091", "title" : "A systems biology approach uncovers cellular strategies used by Methylobacterium extorquens AM1 during the switch from multi- to single-carbon growth.", "type" : "article-journal", "volume" : "5" }, "uris" : [ "http://www.mendeley.com/documents/?uuid=6d914700-d636-4826-905c-356c09cc0a09" ] } ], "mendeley" : { "formattedCitation" : "[26]", "plainTextFormattedCitation" : "[26]", "previouslyFormattedCitation" : "[26]" }, "properties" : { "noteIndex" : 0 }, "schema" : "https://github.com/citation-style-language/schema/raw/master/csl-citation.json" }</w:instrText>
      </w:r>
      <w:r w:rsidR="00AF0B7D">
        <w:fldChar w:fldCharType="separate"/>
      </w:r>
      <w:r w:rsidR="00AF0B7D" w:rsidRPr="00AF0B7D">
        <w:rPr>
          <w:noProof/>
        </w:rPr>
        <w:t>[26]</w:t>
      </w:r>
      <w:r w:rsidR="00AF0B7D">
        <w:fldChar w:fldCharType="end"/>
      </w:r>
      <w:r>
        <w:t>. The flexibility of central carbon metabolism of AM1 provides capabilities of switching different carbon sources</w:t>
      </w:r>
      <w:r w:rsidR="00210E3B">
        <w:t xml:space="preserve">. </w:t>
      </w:r>
    </w:p>
    <w:p w14:paraId="30A092C1" w14:textId="01CDB7E2" w:rsidR="00AA5E2D" w:rsidRPr="00AA5E2D" w:rsidRDefault="00210E3B" w:rsidP="00AA5E2D">
      <w:r>
        <w:t xml:space="preserve">In summary, AM1 is a model </w:t>
      </w:r>
      <w:r w:rsidR="000B1B27">
        <w:t xml:space="preserve">organism for facultative type II </w:t>
      </w:r>
      <w:proofErr w:type="spellStart"/>
      <w:r w:rsidR="000B1B27">
        <w:t>methylotroph</w:t>
      </w:r>
      <w:proofErr w:type="spellEnd"/>
      <w:r w:rsidR="000B1B27">
        <w:t xml:space="preserve">, with serine cycle as the major assimilation pathway for C1 unit to biomass. While on the other hand, </w:t>
      </w:r>
      <w:proofErr w:type="spellStart"/>
      <w:r w:rsidR="000B1B27" w:rsidRPr="000B1B27">
        <w:t>Methylomicrobium</w:t>
      </w:r>
      <w:proofErr w:type="spellEnd"/>
      <w:r w:rsidR="000B1B27" w:rsidRPr="000B1B27">
        <w:t xml:space="preserve"> buryatense 5G</w:t>
      </w:r>
      <w:r w:rsidR="000B1B27">
        <w:t xml:space="preserve"> is an obligate type I methanotroph, which will be described in detail in the following section.</w:t>
      </w:r>
    </w:p>
    <w:p w14:paraId="7414494D" w14:textId="7AB666D7" w:rsidR="00DC59BD" w:rsidRPr="00DD6122" w:rsidRDefault="00EE4A5F" w:rsidP="00DD6122">
      <w:pPr>
        <w:pStyle w:val="Heading2"/>
      </w:pPr>
      <w:bookmarkStart w:id="15" w:name="_Toc301520588"/>
      <w:bookmarkStart w:id="16" w:name="_Toc301521555"/>
      <w:bookmarkStart w:id="17" w:name="_Toc468311700"/>
      <w:r w:rsidRPr="00DD6122">
        <w:lastRenderedPageBreak/>
        <w:t xml:space="preserve">1.3 </w:t>
      </w:r>
      <w:bookmarkStart w:id="18" w:name="OLE_LINK1"/>
      <w:bookmarkStart w:id="19" w:name="OLE_LINK2"/>
      <w:proofErr w:type="spellStart"/>
      <w:r w:rsidR="00DC59BD" w:rsidRPr="00613C92">
        <w:rPr>
          <w:i/>
        </w:rPr>
        <w:t>Methylomicrobium</w:t>
      </w:r>
      <w:proofErr w:type="spellEnd"/>
      <w:r w:rsidR="00DC59BD" w:rsidRPr="00613C92">
        <w:rPr>
          <w:i/>
        </w:rPr>
        <w:t xml:space="preserve"> buryatense</w:t>
      </w:r>
      <w:r w:rsidR="00DC59BD" w:rsidRPr="00DD6122">
        <w:t xml:space="preserve"> 5G</w:t>
      </w:r>
      <w:bookmarkEnd w:id="15"/>
      <w:bookmarkEnd w:id="16"/>
      <w:bookmarkEnd w:id="17"/>
      <w:bookmarkEnd w:id="18"/>
      <w:bookmarkEnd w:id="19"/>
    </w:p>
    <w:p w14:paraId="494D006A" w14:textId="1A159711" w:rsidR="00DC59BD" w:rsidRPr="000D5F05" w:rsidRDefault="00EE4A5F" w:rsidP="00DD6122">
      <w:pPr>
        <w:pStyle w:val="Heading3"/>
      </w:pPr>
      <w:bookmarkStart w:id="20" w:name="_Toc301520589"/>
      <w:bookmarkStart w:id="21" w:name="_Toc301521556"/>
      <w:bookmarkStart w:id="22" w:name="_Toc468311701"/>
      <w:r w:rsidRPr="000D5F05">
        <w:t xml:space="preserve">1.3.1 </w:t>
      </w:r>
      <w:r w:rsidR="00DC59BD" w:rsidRPr="000D5F05">
        <w:t>Central carbon metabolism</w:t>
      </w:r>
      <w:bookmarkEnd w:id="20"/>
      <w:bookmarkEnd w:id="21"/>
      <w:bookmarkEnd w:id="22"/>
    </w:p>
    <w:p w14:paraId="14FBB35D" w14:textId="3ED0D6A8" w:rsidR="00933FDF" w:rsidRPr="000D5F05" w:rsidRDefault="00933FDF" w:rsidP="005F7E5E">
      <w:pPr>
        <w:rPr>
          <w:rFonts w:cs="Arial"/>
          <w:szCs w:val="20"/>
        </w:rPr>
      </w:pPr>
      <w:r w:rsidRPr="000D5F05">
        <w:rPr>
          <w:rFonts w:cs="Arial"/>
          <w:szCs w:val="20"/>
        </w:rPr>
        <w:t xml:space="preserve">Aerobic </w:t>
      </w:r>
      <w:proofErr w:type="spellStart"/>
      <w:r w:rsidRPr="000D5F05">
        <w:rPr>
          <w:rFonts w:cs="Arial"/>
          <w:szCs w:val="20"/>
        </w:rPr>
        <w:t>methanotrophs</w:t>
      </w:r>
      <w:proofErr w:type="spellEnd"/>
      <w:r w:rsidRPr="000D5F05">
        <w:rPr>
          <w:rFonts w:cs="Arial"/>
          <w:szCs w:val="20"/>
        </w:rPr>
        <w:t xml:space="preserve"> oxidize methane to convert nature gas chemicals and liquid fuels via metabolic engineering. </w:t>
      </w: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a </w:t>
      </w:r>
      <w:proofErr w:type="spellStart"/>
      <w:r w:rsidRPr="000D5F05">
        <w:rPr>
          <w:rFonts w:cs="Arial"/>
          <w:szCs w:val="20"/>
        </w:rPr>
        <w:t>haloalkaliphilic</w:t>
      </w:r>
      <w:proofErr w:type="spellEnd"/>
      <w:r w:rsidRPr="000D5F05">
        <w:rPr>
          <w:rFonts w:cs="Arial"/>
          <w:szCs w:val="20"/>
        </w:rPr>
        <w:t xml:space="preserve"> </w:t>
      </w:r>
      <w:proofErr w:type="spellStart"/>
      <w:r w:rsidRPr="000D5F05">
        <w:rPr>
          <w:rFonts w:cs="Arial"/>
          <w:szCs w:val="20"/>
        </w:rPr>
        <w:t>gammaproteobacterial</w:t>
      </w:r>
      <w:proofErr w:type="spellEnd"/>
      <w:r w:rsidRPr="000D5F05">
        <w:rPr>
          <w:rFonts w:cs="Arial"/>
          <w:szCs w:val="20"/>
        </w:rPr>
        <w:t xml:space="preserve"> (type I) </w:t>
      </w:r>
      <w:proofErr w:type="spellStart"/>
      <w:r w:rsidRPr="000D5F05">
        <w:rPr>
          <w:rFonts w:cs="Arial"/>
          <w:szCs w:val="20"/>
        </w:rPr>
        <w:t>methenotroph</w:t>
      </w:r>
      <w:proofErr w:type="spellEnd"/>
      <w:r w:rsidRPr="000D5F05">
        <w:rPr>
          <w:rFonts w:cs="Arial"/>
          <w:szCs w:val="20"/>
        </w:rPr>
        <w:t xml:space="preserve">, is the strain of </w:t>
      </w:r>
      <w:r w:rsidR="004E3ED3" w:rsidRPr="000D5F05">
        <w:rPr>
          <w:rFonts w:cs="Arial"/>
          <w:szCs w:val="20"/>
        </w:rPr>
        <w:t>interest</w:t>
      </w:r>
      <w:r w:rsidRPr="000D5F05">
        <w:rPr>
          <w:rFonts w:cs="Arial"/>
          <w:szCs w:val="20"/>
        </w:rPr>
        <w:t xml:space="preserve"> for industrial </w:t>
      </w:r>
      <w:r w:rsidR="00F30581" w:rsidRPr="000D5F05">
        <w:rPr>
          <w:rFonts w:cs="Arial"/>
          <w:szCs w:val="20"/>
        </w:rPr>
        <w:t>biotechnology</w:t>
      </w:r>
      <w:r w:rsidR="004E40BC">
        <w:rPr>
          <w:rFonts w:cs="Arial"/>
          <w:szCs w:val="20"/>
        </w:rPr>
        <w:t xml:space="preserve"> because it is </w:t>
      </w:r>
      <w:r w:rsidR="005F7E5E" w:rsidRPr="000D5F05">
        <w:rPr>
          <w:rFonts w:cs="Arial"/>
          <w:szCs w:val="20"/>
        </w:rPr>
        <w:t>one of</w:t>
      </w:r>
      <w:r w:rsidRPr="000D5F05">
        <w:rPr>
          <w:rFonts w:cs="Arial"/>
          <w:szCs w:val="20"/>
        </w:rPr>
        <w:t xml:space="preserve"> </w:t>
      </w:r>
      <w:r w:rsidR="002F6A1D">
        <w:rPr>
          <w:rFonts w:cs="Arial"/>
          <w:szCs w:val="20"/>
        </w:rPr>
        <w:t xml:space="preserve">the </w:t>
      </w:r>
      <w:r w:rsidRPr="000D5F05">
        <w:rPr>
          <w:rFonts w:cs="Arial"/>
          <w:szCs w:val="20"/>
        </w:rPr>
        <w:t>best characterized methanotroph strain equipped with genetic manipulation</w:t>
      </w:r>
      <w:r w:rsidR="00DF7D63" w:rsidRPr="000D5F05">
        <w:rPr>
          <w:rFonts w:cs="Arial"/>
          <w:szCs w:val="20"/>
        </w:rPr>
        <w:t xml:space="preserve"> tools</w:t>
      </w:r>
      <w:r w:rsidR="005F7E5E" w:rsidRPr="000D5F05">
        <w:rPr>
          <w:rFonts w:cs="Arial"/>
          <w:szCs w:val="20"/>
        </w:rPr>
        <w:fldChar w:fldCharType="begin" w:fldLock="1"/>
      </w:r>
      <w:r w:rsidR="008F71E9">
        <w:rPr>
          <w:rFonts w:cs="Arial"/>
          <w:szCs w:val="20"/>
        </w:rPr>
        <w:instrText>ADDIN CSL_CITATION { "citationItems" : [ { "id" : "ITEM-1",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 ] }, "page" : "1775-1781", "title" : "Genetic Tools for the Industrially Promising Methanotroph Methylomicrobium buryatense", "type" : "article-journal", "volume" : "81" }, "uris" : [ "http://www.mendeley.com/documents/?uuid=3ec90cf2-f7f5-425d-80b6-7c4814db6c3c" ] } ], "mendeley" : { "formattedCitation" : "[27]", "plainTextFormattedCitation" : "[27]", "previouslyFormattedCitation" : "[27]" }, "properties" : { "noteIndex" : 0 }, "schema" : "https://github.com/citation-style-language/schema/raw/master/csl-citation.json" }</w:instrText>
      </w:r>
      <w:r w:rsidR="005F7E5E" w:rsidRPr="000D5F05">
        <w:rPr>
          <w:rFonts w:cs="Arial"/>
          <w:szCs w:val="20"/>
        </w:rPr>
        <w:fldChar w:fldCharType="separate"/>
      </w:r>
      <w:r w:rsidR="00AF0B7D" w:rsidRPr="00AF0B7D">
        <w:rPr>
          <w:rFonts w:cs="Arial"/>
          <w:noProof/>
          <w:szCs w:val="20"/>
        </w:rPr>
        <w:t>[27]</w:t>
      </w:r>
      <w:r w:rsidR="005F7E5E" w:rsidRPr="000D5F05">
        <w:rPr>
          <w:rFonts w:cs="Arial"/>
          <w:szCs w:val="20"/>
        </w:rPr>
        <w:fldChar w:fldCharType="end"/>
      </w:r>
      <w:r w:rsidR="00332633">
        <w:rPr>
          <w:rFonts w:cs="Arial"/>
          <w:szCs w:val="20"/>
        </w:rPr>
        <w:t xml:space="preserve">. In </w:t>
      </w:r>
      <w:r w:rsidR="00332633" w:rsidRPr="000D5F05">
        <w:rPr>
          <w:rFonts w:cs="Arial"/>
          <w:szCs w:val="20"/>
        </w:rPr>
        <w:t>type I</w:t>
      </w:r>
      <w:r w:rsidR="00332633">
        <w:rPr>
          <w:rFonts w:cs="Arial"/>
          <w:szCs w:val="20"/>
        </w:rPr>
        <w:t xml:space="preserve"> </w:t>
      </w:r>
      <w:proofErr w:type="spellStart"/>
      <w:r w:rsidR="009A5043">
        <w:rPr>
          <w:rFonts w:cs="Arial"/>
          <w:szCs w:val="20"/>
        </w:rPr>
        <w:t>methanotrophs</w:t>
      </w:r>
      <w:proofErr w:type="spellEnd"/>
      <w:r w:rsidR="009A5043">
        <w:rPr>
          <w:rFonts w:cs="Arial"/>
          <w:szCs w:val="20"/>
        </w:rPr>
        <w:t>, r</w:t>
      </w:r>
      <w:r w:rsidR="00BC2842">
        <w:rPr>
          <w:rFonts w:cs="Arial"/>
          <w:szCs w:val="20"/>
        </w:rPr>
        <w:t xml:space="preserve">ibulose mono phosphate </w:t>
      </w:r>
      <w:r w:rsidRPr="000D5F05">
        <w:rPr>
          <w:rFonts w:cs="Arial"/>
          <w:szCs w:val="20"/>
        </w:rPr>
        <w:t>cycle</w:t>
      </w:r>
      <w:r w:rsidR="009A5043">
        <w:rPr>
          <w:rFonts w:cs="Arial"/>
          <w:szCs w:val="20"/>
        </w:rPr>
        <w:t xml:space="preserve"> (</w:t>
      </w:r>
      <w:proofErr w:type="spellStart"/>
      <w:r w:rsidR="009A5043">
        <w:rPr>
          <w:rFonts w:cs="Arial"/>
          <w:szCs w:val="20"/>
        </w:rPr>
        <w:t>RuMP</w:t>
      </w:r>
      <w:proofErr w:type="spellEnd"/>
      <w:r w:rsidR="009A5043">
        <w:rPr>
          <w:rFonts w:cs="Arial"/>
          <w:szCs w:val="20"/>
        </w:rPr>
        <w:t>)</w:t>
      </w:r>
      <w:r w:rsidRPr="000D5F05">
        <w:rPr>
          <w:rFonts w:cs="Arial"/>
          <w:szCs w:val="20"/>
        </w:rPr>
        <w:t xml:space="preserve"> is the major assimilation pathway to incorporate C1 compound (formaldehyde) into central carbon metabolism through pyruvic acid node and dihydroxyacetone phos</w:t>
      </w:r>
      <w:r w:rsidR="00086D29">
        <w:rPr>
          <w:rFonts w:cs="Arial"/>
          <w:szCs w:val="20"/>
        </w:rPr>
        <w:t>phate (DHAP)</w:t>
      </w:r>
      <w:r w:rsidR="005F7E5E" w:rsidRPr="000D5F05">
        <w:rPr>
          <w:rFonts w:cs="Arial"/>
          <w:szCs w:val="20"/>
        </w:rPr>
        <w:t xml:space="preserve">, shown in Figure </w:t>
      </w:r>
      <w:r w:rsidR="00FB52D7">
        <w:rPr>
          <w:rFonts w:cs="Arial"/>
          <w:szCs w:val="20"/>
        </w:rPr>
        <w:t>1.</w:t>
      </w:r>
      <w:r w:rsidR="005F7E5E" w:rsidRPr="000D5F05">
        <w:rPr>
          <w:rFonts w:cs="Arial"/>
          <w:szCs w:val="20"/>
        </w:rPr>
        <w:t>2</w:t>
      </w:r>
      <w:r w:rsidRPr="000D5F05">
        <w:rPr>
          <w:rFonts w:cs="Arial"/>
          <w:szCs w:val="20"/>
        </w:rPr>
        <w:t>. Methane was oxidized into methanol</w:t>
      </w:r>
      <w:r w:rsidR="00086D29">
        <w:rPr>
          <w:rFonts w:cs="Arial"/>
          <w:szCs w:val="20"/>
        </w:rPr>
        <w:t xml:space="preserve"> with particulate methane monooxygenase (</w:t>
      </w:r>
      <w:proofErr w:type="spellStart"/>
      <w:r w:rsidR="00086D29">
        <w:rPr>
          <w:rFonts w:cs="Arial"/>
          <w:szCs w:val="20"/>
        </w:rPr>
        <w:t>pMMO</w:t>
      </w:r>
      <w:proofErr w:type="spellEnd"/>
      <w:r w:rsidR="00086D29">
        <w:rPr>
          <w:rFonts w:cs="Arial"/>
          <w:szCs w:val="20"/>
        </w:rPr>
        <w:t>)</w:t>
      </w:r>
      <w:r w:rsidRPr="000D5F05">
        <w:rPr>
          <w:rFonts w:cs="Arial"/>
          <w:szCs w:val="20"/>
        </w:rPr>
        <w:t>, and then converted into formaldehyde</w:t>
      </w:r>
      <w:r w:rsidR="00086D29">
        <w:rPr>
          <w:rFonts w:cs="Arial"/>
          <w:szCs w:val="20"/>
        </w:rPr>
        <w:t xml:space="preserve"> with methanol dehydrogenase</w:t>
      </w:r>
      <w:r w:rsidRPr="000D5F05">
        <w:rPr>
          <w:rFonts w:cs="Arial"/>
          <w:szCs w:val="20"/>
        </w:rPr>
        <w:t>. Formaldehyde will either be further oxidized into CO</w:t>
      </w:r>
      <w:r w:rsidRPr="000D5F05">
        <w:rPr>
          <w:rFonts w:cs="Arial"/>
          <w:szCs w:val="20"/>
          <w:vertAlign w:val="subscript"/>
        </w:rPr>
        <w:t>2</w:t>
      </w:r>
      <w:r w:rsidRPr="000D5F05">
        <w:rPr>
          <w:rFonts w:cs="Arial"/>
          <w:szCs w:val="20"/>
        </w:rPr>
        <w:t xml:space="preserve"> to produce NADH or incorporated into</w:t>
      </w:r>
      <w:r w:rsidR="00086D29">
        <w:rPr>
          <w:rFonts w:cs="Arial"/>
          <w:szCs w:val="20"/>
        </w:rPr>
        <w:t xml:space="preserve"> </w:t>
      </w:r>
      <w:proofErr w:type="spellStart"/>
      <w:r w:rsidR="00086D29">
        <w:rPr>
          <w:rFonts w:cs="Arial"/>
          <w:szCs w:val="20"/>
        </w:rPr>
        <w:t>RuMP</w:t>
      </w:r>
      <w:proofErr w:type="spellEnd"/>
      <w:r w:rsidR="00086D29">
        <w:rPr>
          <w:rFonts w:cs="Arial"/>
          <w:szCs w:val="20"/>
        </w:rPr>
        <w:t xml:space="preserve"> cycle by reacting with r</w:t>
      </w:r>
      <w:r w:rsidRPr="000D5F05">
        <w:rPr>
          <w:rFonts w:cs="Arial"/>
          <w:szCs w:val="20"/>
        </w:rPr>
        <w:t>ibulose-5-phosphate</w:t>
      </w:r>
      <w:r w:rsidR="00086D29">
        <w:rPr>
          <w:rFonts w:cs="Arial"/>
          <w:szCs w:val="20"/>
        </w:rPr>
        <w:t xml:space="preserve"> (R5P)</w:t>
      </w:r>
      <w:r w:rsidRPr="000D5F05">
        <w:rPr>
          <w:rFonts w:cs="Arial"/>
          <w:szCs w:val="20"/>
        </w:rPr>
        <w:t xml:space="preserve"> to produce hexulose-6-phophate</w:t>
      </w:r>
      <w:r w:rsidR="00086D29">
        <w:rPr>
          <w:rFonts w:cs="Arial"/>
          <w:szCs w:val="20"/>
        </w:rPr>
        <w:t xml:space="preserve"> (H6P)</w:t>
      </w:r>
      <w:r w:rsidRPr="000D5F05">
        <w:rPr>
          <w:rFonts w:cs="Arial"/>
          <w:szCs w:val="20"/>
        </w:rPr>
        <w:t xml:space="preserve">. Ribulose-5-phosphate needs to be regenerated from fructose-6-phosphate and glyceraldehyde phosphate to keep the cycle running. Two major variants of assimilation pathway are available to convert 6-carbon sugar phosphate into pyruvic acid and dihydroxyacetone phosphate, namely, </w:t>
      </w:r>
      <w:r w:rsidR="00C16289">
        <w:rPr>
          <w:rFonts w:cs="Arial"/>
          <w:szCs w:val="20"/>
        </w:rPr>
        <w:t>EMP variant and ED</w:t>
      </w:r>
      <w:r w:rsidR="000D064B">
        <w:rPr>
          <w:rFonts w:cs="Arial"/>
          <w:szCs w:val="20"/>
        </w:rPr>
        <w:t xml:space="preserve"> variant, </w:t>
      </w:r>
      <w:r w:rsidRPr="000D5F05">
        <w:rPr>
          <w:rFonts w:cs="Arial"/>
          <w:szCs w:val="20"/>
        </w:rPr>
        <w:t xml:space="preserve">show in in </w:t>
      </w:r>
      <w:r w:rsidR="007F3A56">
        <w:rPr>
          <w:rFonts w:cs="Arial"/>
          <w:szCs w:val="20"/>
        </w:rPr>
        <w:t>Figure</w:t>
      </w:r>
      <w:r w:rsidR="00335D30">
        <w:rPr>
          <w:rFonts w:cs="Arial"/>
          <w:szCs w:val="20"/>
        </w:rPr>
        <w:t xml:space="preserve"> </w:t>
      </w:r>
      <w:r w:rsidR="007F3A56">
        <w:rPr>
          <w:rFonts w:cs="Arial"/>
          <w:szCs w:val="20"/>
        </w:rPr>
        <w:t>1.</w:t>
      </w:r>
      <w:r w:rsidR="005F7E5E" w:rsidRPr="000D5F05">
        <w:rPr>
          <w:rFonts w:cs="Arial"/>
          <w:szCs w:val="20"/>
        </w:rPr>
        <w:t>2</w:t>
      </w:r>
      <w:r w:rsidRPr="000D5F05">
        <w:rPr>
          <w:rFonts w:cs="Arial"/>
          <w:szCs w:val="20"/>
        </w:rPr>
        <w:t xml:space="preserve"> as well. </w:t>
      </w:r>
      <w:r w:rsidR="00B90381">
        <w:rPr>
          <w:rFonts w:cs="Arial"/>
          <w:szCs w:val="20"/>
        </w:rPr>
        <w:t xml:space="preserve">The net outcome of this </w:t>
      </w:r>
      <w:proofErr w:type="spellStart"/>
      <w:r w:rsidR="00B90381">
        <w:rPr>
          <w:rFonts w:cs="Arial"/>
          <w:szCs w:val="20"/>
        </w:rPr>
        <w:t>RuMP</w:t>
      </w:r>
      <w:proofErr w:type="spellEnd"/>
      <w:r w:rsidR="00B90381">
        <w:rPr>
          <w:rFonts w:cs="Arial"/>
          <w:szCs w:val="20"/>
        </w:rPr>
        <w:t xml:space="preserve"> cycle is incorporate 3 molecules of carbon in me</w:t>
      </w:r>
      <w:r w:rsidR="00DF6EB1">
        <w:rPr>
          <w:rFonts w:cs="Arial"/>
          <w:szCs w:val="20"/>
        </w:rPr>
        <w:t>thane into 1 molecule of 3 carbon compound</w:t>
      </w:r>
      <w:r w:rsidR="00B90381">
        <w:rPr>
          <w:rFonts w:cs="Arial"/>
          <w:szCs w:val="20"/>
        </w:rPr>
        <w:t xml:space="preserve">.  </w:t>
      </w:r>
    </w:p>
    <w:p w14:paraId="171CA59E" w14:textId="77777777" w:rsidR="00933FDF" w:rsidRPr="000D5F05" w:rsidRDefault="00933FDF" w:rsidP="00933FDF">
      <w:pPr>
        <w:ind w:firstLine="720"/>
        <w:rPr>
          <w:rFonts w:cs="Arial"/>
          <w:szCs w:val="20"/>
        </w:rPr>
      </w:pPr>
    </w:p>
    <w:p w14:paraId="410A6608" w14:textId="77777777" w:rsidR="00933FDF" w:rsidRPr="000D5F05" w:rsidRDefault="00933FDF" w:rsidP="00933FDF">
      <w:pPr>
        <w:keepNext/>
        <w:ind w:firstLine="720"/>
        <w:rPr>
          <w:rFonts w:cs="Arial"/>
          <w:szCs w:val="20"/>
        </w:rPr>
      </w:pPr>
      <w:r w:rsidRPr="000D5F05">
        <w:rPr>
          <w:rFonts w:cs="Arial"/>
          <w:noProof/>
          <w:szCs w:val="20"/>
          <w:lang w:eastAsia="zh-CN"/>
        </w:rPr>
        <w:drawing>
          <wp:inline distT="0" distB="0" distL="0" distR="0" wp14:anchorId="71558B4B" wp14:editId="79CDB9D3">
            <wp:extent cx="4572000" cy="17932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1793285"/>
                    </a:xfrm>
                    <a:prstGeom prst="rect">
                      <a:avLst/>
                    </a:prstGeom>
                    <a:noFill/>
                  </pic:spPr>
                </pic:pic>
              </a:graphicData>
            </a:graphic>
          </wp:inline>
        </w:drawing>
      </w:r>
    </w:p>
    <w:p w14:paraId="46F90D42" w14:textId="4D984CA7" w:rsidR="00933FDF" w:rsidRPr="0025575B" w:rsidRDefault="002B403E" w:rsidP="0025575B">
      <w:pPr>
        <w:pStyle w:val="Caption"/>
      </w:pPr>
      <w:r>
        <w:t xml:space="preserve">Figure </w:t>
      </w:r>
      <w:r w:rsidR="00365C29">
        <w:t>1.</w:t>
      </w:r>
      <w:r w:rsidR="008F6669">
        <w:fldChar w:fldCharType="begin"/>
      </w:r>
      <w:r w:rsidR="008F6669">
        <w:instrText xml:space="preserve"> SEQ Figure \* ARABIC </w:instrText>
      </w:r>
      <w:r w:rsidR="008F6669">
        <w:fldChar w:fldCharType="separate"/>
      </w:r>
      <w:r w:rsidR="00174625">
        <w:rPr>
          <w:noProof/>
        </w:rPr>
        <w:t>2</w:t>
      </w:r>
      <w:r w:rsidR="008F6669">
        <w:rPr>
          <w:noProof/>
        </w:rPr>
        <w:fldChar w:fldCharType="end"/>
      </w:r>
      <w:r w:rsidR="0025575B">
        <w:t xml:space="preserve"> M</w:t>
      </w:r>
      <w:r w:rsidR="00933FDF" w:rsidRPr="0025575B">
        <w:t>ethane assimilation using ribulose mono phosphate cycle</w:t>
      </w:r>
      <w:r w:rsidR="00BD7C02">
        <w:t xml:space="preserve"> (</w:t>
      </w:r>
      <w:proofErr w:type="spellStart"/>
      <w:r w:rsidR="00BD7C02">
        <w:t>RuMP</w:t>
      </w:r>
      <w:proofErr w:type="spellEnd"/>
      <w:r w:rsidR="00BD7C02">
        <w:t>)</w:t>
      </w:r>
      <w:r w:rsidR="0025575B">
        <w:t>.</w:t>
      </w:r>
      <w:r w:rsidR="00961855">
        <w:t xml:space="preserve"> Two variants </w:t>
      </w:r>
      <w:r w:rsidR="000952BE">
        <w:t>are available</w:t>
      </w:r>
      <w:r w:rsidR="00BD7C02">
        <w:t xml:space="preserve"> to convert 6 carbon sugar </w:t>
      </w:r>
      <w:r w:rsidR="00B57F92">
        <w:t>phosphates</w:t>
      </w:r>
      <w:r w:rsidR="00BD7C02">
        <w:t xml:space="preserve"> into C3 </w:t>
      </w:r>
      <w:r w:rsidR="00B80E6D">
        <w:t>compounds</w:t>
      </w:r>
      <w:r w:rsidR="00BD7C02">
        <w:t xml:space="preserve">. </w:t>
      </w:r>
      <w:r w:rsidR="0025575B">
        <w:t xml:space="preserve"> </w:t>
      </w:r>
    </w:p>
    <w:p w14:paraId="41BE8F36" w14:textId="3108D79C" w:rsidR="00933FDF" w:rsidRPr="000D5F05" w:rsidRDefault="008218EA" w:rsidP="001A203B">
      <w:pPr>
        <w:rPr>
          <w:rFonts w:cs="Arial"/>
          <w:szCs w:val="20"/>
        </w:rPr>
      </w:pPr>
      <w:r>
        <w:rPr>
          <w:rFonts w:cs="Arial"/>
          <w:szCs w:val="20"/>
        </w:rPr>
        <w:lastRenderedPageBreak/>
        <w:t xml:space="preserve">After pyruvate </w:t>
      </w:r>
      <w:r w:rsidR="000F2ABA">
        <w:rPr>
          <w:rFonts w:cs="Arial"/>
          <w:szCs w:val="20"/>
        </w:rPr>
        <w:t>node, there are</w:t>
      </w:r>
      <w:r w:rsidR="00933FDF" w:rsidRPr="000D5F05">
        <w:rPr>
          <w:rFonts w:cs="Arial"/>
          <w:szCs w:val="20"/>
        </w:rPr>
        <w:t xml:space="preserve"> multiple carboxylation reaction</w:t>
      </w:r>
      <w:r w:rsidR="000F2ABA">
        <w:rPr>
          <w:rFonts w:cs="Arial"/>
          <w:szCs w:val="20"/>
        </w:rPr>
        <w:t>s</w:t>
      </w:r>
      <w:r w:rsidR="00933FDF" w:rsidRPr="000D5F05">
        <w:rPr>
          <w:rFonts w:cs="Arial"/>
          <w:szCs w:val="20"/>
        </w:rPr>
        <w:t xml:space="preserve"> to connect C3 compounds to C4 </w:t>
      </w:r>
      <w:r w:rsidR="00235DA9">
        <w:rPr>
          <w:rFonts w:cs="Arial"/>
          <w:szCs w:val="20"/>
        </w:rPr>
        <w:t xml:space="preserve">compounds, such as oxaloacetate </w:t>
      </w:r>
      <w:r w:rsidR="001118E6" w:rsidRPr="000D5F05">
        <w:rPr>
          <w:rFonts w:cs="Arial"/>
          <w:szCs w:val="20"/>
        </w:rPr>
        <w:t xml:space="preserve">node </w:t>
      </w:r>
      <w:r w:rsidR="00933FDF" w:rsidRPr="000D5F05">
        <w:rPr>
          <w:rFonts w:cs="Arial"/>
          <w:szCs w:val="20"/>
        </w:rPr>
        <w:t xml:space="preserve">as well as malic acid </w:t>
      </w:r>
      <w:r w:rsidR="001118E6" w:rsidRPr="000D5F05">
        <w:rPr>
          <w:rFonts w:cs="Arial"/>
          <w:szCs w:val="20"/>
        </w:rPr>
        <w:t xml:space="preserve">node </w:t>
      </w:r>
      <w:r w:rsidR="00933FDF" w:rsidRPr="000D5F05">
        <w:rPr>
          <w:rFonts w:cs="Arial"/>
          <w:szCs w:val="20"/>
        </w:rPr>
        <w:t xml:space="preserve">shown in </w:t>
      </w:r>
      <w:r w:rsidR="009509D7">
        <w:rPr>
          <w:rFonts w:cs="Arial"/>
          <w:szCs w:val="20"/>
        </w:rPr>
        <w:t>Figure</w:t>
      </w:r>
      <w:r w:rsidR="00C94F04">
        <w:rPr>
          <w:rFonts w:cs="Arial"/>
          <w:szCs w:val="20"/>
        </w:rPr>
        <w:t xml:space="preserve"> </w:t>
      </w:r>
      <w:r w:rsidR="009509D7">
        <w:rPr>
          <w:rFonts w:cs="Arial"/>
          <w:szCs w:val="20"/>
        </w:rPr>
        <w:t>1.</w:t>
      </w:r>
      <w:r w:rsidR="005F7E5E" w:rsidRPr="000D5F05">
        <w:rPr>
          <w:rFonts w:cs="Arial"/>
          <w:szCs w:val="20"/>
        </w:rPr>
        <w:t>3</w:t>
      </w:r>
      <w:r w:rsidR="001118E6" w:rsidRPr="000D5F05">
        <w:rPr>
          <w:rFonts w:cs="Arial"/>
          <w:szCs w:val="20"/>
        </w:rPr>
        <w:t>.</w:t>
      </w:r>
      <w:r w:rsidR="00C94F04">
        <w:rPr>
          <w:rFonts w:cs="Arial"/>
          <w:szCs w:val="20"/>
        </w:rPr>
        <w:t xml:space="preserve"> </w:t>
      </w:r>
      <w:r w:rsidR="00235DA9">
        <w:rPr>
          <w:rFonts w:cs="Arial"/>
          <w:szCs w:val="20"/>
        </w:rPr>
        <w:t xml:space="preserve">Oxaloacetate </w:t>
      </w:r>
      <w:r w:rsidR="001118E6" w:rsidRPr="000D5F05">
        <w:rPr>
          <w:rFonts w:cs="Arial"/>
          <w:szCs w:val="20"/>
        </w:rPr>
        <w:t xml:space="preserve">(OAA) could be synthesized from PEP </w:t>
      </w:r>
      <w:r w:rsidR="002106CA" w:rsidRPr="000D5F05">
        <w:rPr>
          <w:rFonts w:cs="Arial"/>
          <w:szCs w:val="20"/>
        </w:rPr>
        <w:t>and</w:t>
      </w:r>
      <w:r w:rsidR="00F24FB6">
        <w:rPr>
          <w:rFonts w:cs="Arial"/>
          <w:szCs w:val="20"/>
        </w:rPr>
        <w:t xml:space="preserve"> pyruvate </w:t>
      </w:r>
      <w:r w:rsidR="001118E6" w:rsidRPr="000D5F05">
        <w:rPr>
          <w:rFonts w:cs="Arial"/>
          <w:szCs w:val="20"/>
        </w:rPr>
        <w:t xml:space="preserve">through carboxylation </w:t>
      </w:r>
      <w:r w:rsidR="00F24FB6">
        <w:rPr>
          <w:rFonts w:cs="Arial"/>
          <w:szCs w:val="20"/>
        </w:rPr>
        <w:t>reaction. I</w:t>
      </w:r>
      <w:r w:rsidR="001118E6" w:rsidRPr="000D5F05">
        <w:rPr>
          <w:rFonts w:cs="Arial"/>
          <w:szCs w:val="20"/>
        </w:rPr>
        <w:t xml:space="preserve">t could also interconvert with malate </w:t>
      </w:r>
      <w:r w:rsidR="00235DA9">
        <w:rPr>
          <w:rFonts w:cs="Arial"/>
          <w:szCs w:val="20"/>
        </w:rPr>
        <w:t xml:space="preserve">through </w:t>
      </w:r>
      <w:r w:rsidR="001118E6" w:rsidRPr="000D5F05">
        <w:rPr>
          <w:rFonts w:cs="Arial"/>
          <w:szCs w:val="20"/>
        </w:rPr>
        <w:t>malate dehydrogenase (MDH). Malate could be synthesized th</w:t>
      </w:r>
      <w:r w:rsidR="00235DA9">
        <w:rPr>
          <w:rFonts w:cs="Arial"/>
          <w:szCs w:val="20"/>
        </w:rPr>
        <w:t>r</w:t>
      </w:r>
      <w:r w:rsidR="001118E6" w:rsidRPr="000D5F05">
        <w:rPr>
          <w:rFonts w:cs="Arial"/>
          <w:szCs w:val="20"/>
        </w:rPr>
        <w:t>ough pyruvate carboxylation, malate dehydrogenase,</w:t>
      </w:r>
      <w:r w:rsidR="002106CA" w:rsidRPr="000D5F05">
        <w:rPr>
          <w:rFonts w:cs="Arial"/>
          <w:szCs w:val="20"/>
        </w:rPr>
        <w:t xml:space="preserve"> and</w:t>
      </w:r>
      <w:r w:rsidR="001118E6" w:rsidRPr="000D5F05">
        <w:rPr>
          <w:rFonts w:cs="Arial"/>
          <w:szCs w:val="20"/>
        </w:rPr>
        <w:t xml:space="preserve"> </w:t>
      </w:r>
      <w:proofErr w:type="spellStart"/>
      <w:r w:rsidR="001118E6" w:rsidRPr="000D5F05">
        <w:rPr>
          <w:rFonts w:cs="Arial"/>
          <w:szCs w:val="20"/>
        </w:rPr>
        <w:t>fumarase</w:t>
      </w:r>
      <w:proofErr w:type="spellEnd"/>
      <w:r w:rsidR="001118E6" w:rsidRPr="000D5F05">
        <w:rPr>
          <w:rFonts w:cs="Arial"/>
          <w:szCs w:val="20"/>
        </w:rPr>
        <w:t xml:space="preserve"> from </w:t>
      </w:r>
      <w:r w:rsidR="005A7A79" w:rsidRPr="000D5F05">
        <w:rPr>
          <w:rFonts w:cs="Arial"/>
          <w:szCs w:val="20"/>
        </w:rPr>
        <w:t>fumarate.</w:t>
      </w:r>
      <w:r w:rsidR="00FE5362">
        <w:rPr>
          <w:rFonts w:cs="Arial"/>
          <w:szCs w:val="20"/>
        </w:rPr>
        <w:t xml:space="preserve"> Acetyl-CoA (</w:t>
      </w:r>
      <w:proofErr w:type="spellStart"/>
      <w:r w:rsidR="00FE5362">
        <w:rPr>
          <w:rFonts w:cs="Arial"/>
          <w:szCs w:val="20"/>
        </w:rPr>
        <w:t>AcCoA</w:t>
      </w:r>
      <w:proofErr w:type="spellEnd"/>
      <w:r w:rsidR="00FE5362">
        <w:rPr>
          <w:rFonts w:cs="Arial"/>
          <w:szCs w:val="20"/>
        </w:rPr>
        <w:t>) is</w:t>
      </w:r>
      <w:r w:rsidR="000119DA" w:rsidRPr="000D5F05">
        <w:rPr>
          <w:rFonts w:cs="Arial"/>
          <w:szCs w:val="20"/>
        </w:rPr>
        <w:t xml:space="preserve"> produced</w:t>
      </w:r>
      <w:r w:rsidR="00FE5362">
        <w:rPr>
          <w:rFonts w:cs="Arial"/>
          <w:szCs w:val="20"/>
        </w:rPr>
        <w:t xml:space="preserve"> either</w:t>
      </w:r>
      <w:r w:rsidR="000119DA" w:rsidRPr="000D5F05">
        <w:rPr>
          <w:rFonts w:cs="Arial"/>
          <w:szCs w:val="20"/>
        </w:rPr>
        <w:t xml:space="preserve"> by pyruvate dehydrogenase</w:t>
      </w:r>
      <w:r w:rsidR="00FE5362">
        <w:rPr>
          <w:rFonts w:cs="Arial"/>
          <w:szCs w:val="20"/>
        </w:rPr>
        <w:t xml:space="preserve"> or </w:t>
      </w:r>
      <w:proofErr w:type="spellStart"/>
      <w:r w:rsidR="00FE5362">
        <w:rPr>
          <w:rFonts w:cs="Arial"/>
          <w:szCs w:val="20"/>
        </w:rPr>
        <w:t>malyl</w:t>
      </w:r>
      <w:proofErr w:type="spellEnd"/>
      <w:r w:rsidR="00FE5362">
        <w:rPr>
          <w:rFonts w:cs="Arial"/>
          <w:szCs w:val="20"/>
        </w:rPr>
        <w:t xml:space="preserve">-CoA </w:t>
      </w:r>
      <w:proofErr w:type="spellStart"/>
      <w:r w:rsidR="00FE5362">
        <w:rPr>
          <w:rFonts w:cs="Arial"/>
          <w:szCs w:val="20"/>
        </w:rPr>
        <w:t>lyase</w:t>
      </w:r>
      <w:proofErr w:type="spellEnd"/>
      <w:r w:rsidR="00FE5362">
        <w:rPr>
          <w:rFonts w:cs="Arial"/>
          <w:szCs w:val="20"/>
        </w:rPr>
        <w:t xml:space="preserve"> (MCL)</w:t>
      </w:r>
      <w:r w:rsidR="000119DA" w:rsidRPr="000D5F05">
        <w:rPr>
          <w:rFonts w:cs="Arial"/>
          <w:szCs w:val="20"/>
        </w:rPr>
        <w:t xml:space="preserve">, and then enters TCA cycle with OAA. </w:t>
      </w:r>
      <w:r w:rsidR="00B90381">
        <w:rPr>
          <w:rFonts w:cs="Arial"/>
          <w:szCs w:val="20"/>
        </w:rPr>
        <w:t>It’s also an important precursor</w:t>
      </w:r>
      <w:r w:rsidR="006F5642">
        <w:rPr>
          <w:rFonts w:cs="Arial"/>
          <w:szCs w:val="20"/>
        </w:rPr>
        <w:t xml:space="preserve"> for amino acid biosynthesis or </w:t>
      </w:r>
      <w:r w:rsidR="000119DA" w:rsidRPr="000D5F05">
        <w:rPr>
          <w:rFonts w:cs="Arial"/>
          <w:szCs w:val="20"/>
        </w:rPr>
        <w:t xml:space="preserve">fatty acid biosynthesis. </w:t>
      </w:r>
    </w:p>
    <w:p w14:paraId="4688F0AB" w14:textId="05DFB58A" w:rsidR="00933FDF" w:rsidRPr="000D5F05" w:rsidRDefault="004527E8" w:rsidP="00933FDF">
      <w:pPr>
        <w:keepNext/>
        <w:ind w:firstLine="720"/>
        <w:rPr>
          <w:rFonts w:cs="Arial"/>
          <w:szCs w:val="20"/>
        </w:rPr>
      </w:pPr>
      <w:r>
        <w:rPr>
          <w:rFonts w:cs="Arial"/>
          <w:noProof/>
          <w:szCs w:val="20"/>
          <w:lang w:eastAsia="zh-CN"/>
        </w:rPr>
        <w:drawing>
          <wp:inline distT="0" distB="0" distL="0" distR="0" wp14:anchorId="47E950A5" wp14:editId="62466A77">
            <wp:extent cx="3450734" cy="2713704"/>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0734" cy="2713704"/>
                    </a:xfrm>
                    <a:prstGeom prst="rect">
                      <a:avLst/>
                    </a:prstGeom>
                    <a:noFill/>
                  </pic:spPr>
                </pic:pic>
              </a:graphicData>
            </a:graphic>
          </wp:inline>
        </w:drawing>
      </w:r>
    </w:p>
    <w:p w14:paraId="2AB860F6" w14:textId="087F9887" w:rsidR="006B5792" w:rsidRPr="006B5792" w:rsidRDefault="00933FDF" w:rsidP="006B5792">
      <w:pPr>
        <w:pStyle w:val="Caption"/>
      </w:pPr>
      <w:r w:rsidRPr="00271D4D">
        <w:t xml:space="preserve">Figure </w:t>
      </w:r>
      <w:r w:rsidR="00FE564D">
        <w:t>1.</w:t>
      </w:r>
      <w:r w:rsidR="008F6669">
        <w:fldChar w:fldCharType="begin"/>
      </w:r>
      <w:r w:rsidR="008F6669">
        <w:instrText xml:space="preserve"> SEQ Figure \* ARABIC </w:instrText>
      </w:r>
      <w:r w:rsidR="008F6669">
        <w:fldChar w:fldCharType="separate"/>
      </w:r>
      <w:r w:rsidR="00174625">
        <w:rPr>
          <w:noProof/>
        </w:rPr>
        <w:t>3</w:t>
      </w:r>
      <w:r w:rsidR="008F6669">
        <w:rPr>
          <w:noProof/>
        </w:rPr>
        <w:fldChar w:fldCharType="end"/>
      </w:r>
      <w:r w:rsidRPr="00271D4D">
        <w:t xml:space="preserve"> Metabolic path</w:t>
      </w:r>
      <w:r w:rsidR="009858EA">
        <w:t>ways after DHAP and pyruvate</w:t>
      </w:r>
      <w:r w:rsidRPr="00271D4D">
        <w:t xml:space="preserve"> node</w:t>
      </w:r>
      <w:r w:rsidR="00271D4D" w:rsidRPr="00271D4D">
        <w:t xml:space="preserve">, multiple routes </w:t>
      </w:r>
      <w:r w:rsidR="00292480">
        <w:t>could convert C3 compounds to</w:t>
      </w:r>
      <w:r w:rsidR="00271D4D" w:rsidRPr="00271D4D">
        <w:t xml:space="preserve"> oxaloacetate and malate node</w:t>
      </w:r>
      <w:r w:rsidR="00292480">
        <w:t>.</w:t>
      </w:r>
    </w:p>
    <w:p w14:paraId="2A15BCA6" w14:textId="495125BE" w:rsidR="00DC59BD" w:rsidRPr="000D5F05" w:rsidRDefault="00EE4A5F" w:rsidP="00EE4A5F">
      <w:pPr>
        <w:pStyle w:val="Heading3"/>
        <w:rPr>
          <w:rFonts w:cs="Arial"/>
          <w:szCs w:val="20"/>
        </w:rPr>
      </w:pPr>
      <w:bookmarkStart w:id="23" w:name="_Toc301520590"/>
      <w:bookmarkStart w:id="24" w:name="_Toc301521557"/>
      <w:bookmarkStart w:id="25" w:name="_Toc468311702"/>
      <w:r w:rsidRPr="000D5F05">
        <w:rPr>
          <w:rFonts w:cs="Arial"/>
          <w:szCs w:val="20"/>
        </w:rPr>
        <w:t xml:space="preserve">1.3.2 </w:t>
      </w:r>
      <w:r w:rsidR="0053495F" w:rsidRPr="000D5F05">
        <w:rPr>
          <w:rFonts w:cs="Arial"/>
          <w:szCs w:val="20"/>
        </w:rPr>
        <w:t>Metabolic engineer for lipid production</w:t>
      </w:r>
      <w:bookmarkEnd w:id="23"/>
      <w:bookmarkEnd w:id="24"/>
      <w:bookmarkEnd w:id="25"/>
    </w:p>
    <w:p w14:paraId="4C3D0BAA" w14:textId="12621689" w:rsidR="00863125" w:rsidRPr="000D5F05" w:rsidRDefault="00863125" w:rsidP="00EA0591">
      <w:pPr>
        <w:rPr>
          <w:rFonts w:cs="Arial"/>
          <w:szCs w:val="20"/>
        </w:rPr>
      </w:pPr>
      <w:proofErr w:type="spellStart"/>
      <w:r w:rsidRPr="000D5F05">
        <w:rPr>
          <w:rFonts w:cs="Arial"/>
          <w:i/>
          <w:szCs w:val="20"/>
        </w:rPr>
        <w:t>Methylomicrobium</w:t>
      </w:r>
      <w:proofErr w:type="spellEnd"/>
      <w:r w:rsidRPr="000D5F05">
        <w:rPr>
          <w:rFonts w:cs="Arial"/>
          <w:i/>
          <w:szCs w:val="20"/>
        </w:rPr>
        <w:t xml:space="preserve"> buryatense</w:t>
      </w:r>
      <w:r w:rsidRPr="000D5F05">
        <w:rPr>
          <w:rFonts w:cs="Arial"/>
          <w:szCs w:val="20"/>
        </w:rPr>
        <w:t xml:space="preserve"> 5G has poten</w:t>
      </w:r>
      <w:r w:rsidR="000270FE" w:rsidRPr="000D5F05">
        <w:rPr>
          <w:rFonts w:cs="Arial"/>
          <w:szCs w:val="20"/>
        </w:rPr>
        <w:t xml:space="preserve">tial to be industrial workhorse </w:t>
      </w:r>
      <w:r w:rsidRPr="000D5F05">
        <w:rPr>
          <w:rFonts w:cs="Arial"/>
          <w:szCs w:val="20"/>
        </w:rPr>
        <w:t>met</w:t>
      </w:r>
      <w:r w:rsidR="000270FE" w:rsidRPr="000D5F05">
        <w:rPr>
          <w:rFonts w:cs="Arial"/>
          <w:szCs w:val="20"/>
        </w:rPr>
        <w:t>h</w:t>
      </w:r>
      <w:r w:rsidRPr="000D5F05">
        <w:rPr>
          <w:rFonts w:cs="Arial"/>
          <w:szCs w:val="20"/>
        </w:rPr>
        <w:t>anotroph</w:t>
      </w:r>
      <w:r w:rsidR="000270FE" w:rsidRPr="000D5F05">
        <w:rPr>
          <w:rFonts w:cs="Arial"/>
          <w:szCs w:val="20"/>
        </w:rPr>
        <w:t xml:space="preserve"> to convert methane or nature gas into liquid fuels. </w:t>
      </w:r>
      <w:r w:rsidR="00716C97">
        <w:rPr>
          <w:rFonts w:cs="Arial"/>
          <w:szCs w:val="20"/>
        </w:rPr>
        <w:t xml:space="preserve">The native methanotroph has packed inner membranes, which are mainly fatty acids. </w:t>
      </w:r>
      <w:r w:rsidR="000270FE" w:rsidRPr="000D5F05">
        <w:rPr>
          <w:rFonts w:cs="Arial"/>
          <w:szCs w:val="20"/>
        </w:rPr>
        <w:t>It has whole genome sequenced and annotated by JGI</w:t>
      </w:r>
      <w:r w:rsidR="008F71E9">
        <w:rPr>
          <w:rFonts w:cs="Arial"/>
          <w:szCs w:val="20"/>
        </w:rPr>
        <w:fldChar w:fldCharType="begin" w:fldLock="1"/>
      </w:r>
      <w:r w:rsidR="00CF7D99">
        <w:rPr>
          <w:rFonts w:cs="Arial"/>
          <w:szCs w:val="20"/>
        </w:rPr>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rsidR="008F71E9">
        <w:rPr>
          <w:rFonts w:cs="Arial"/>
          <w:szCs w:val="20"/>
        </w:rPr>
        <w:fldChar w:fldCharType="separate"/>
      </w:r>
      <w:r w:rsidR="008F71E9" w:rsidRPr="008F71E9">
        <w:rPr>
          <w:rFonts w:cs="Arial"/>
          <w:noProof/>
          <w:szCs w:val="20"/>
        </w:rPr>
        <w:t>[28]</w:t>
      </w:r>
      <w:r w:rsidR="008F71E9">
        <w:rPr>
          <w:rFonts w:cs="Arial"/>
          <w:szCs w:val="20"/>
        </w:rPr>
        <w:fldChar w:fldCharType="end"/>
      </w:r>
      <w:r w:rsidR="000270FE" w:rsidRPr="000D5F05">
        <w:rPr>
          <w:rFonts w:cs="Arial"/>
          <w:szCs w:val="20"/>
        </w:rPr>
        <w:t>, enabling genomic manipulation for metabolic engineering as well as genomic model construction, which could further be used to design and guide rational metabolic engineering.</w:t>
      </w:r>
      <w:r w:rsidR="00777E7E">
        <w:rPr>
          <w:rFonts w:cs="Arial"/>
          <w:szCs w:val="20"/>
        </w:rPr>
        <w:t xml:space="preserve"> </w:t>
      </w:r>
      <w:proofErr w:type="spellStart"/>
      <w:r w:rsidR="00315B7F" w:rsidRPr="000D5F05">
        <w:rPr>
          <w:rFonts w:cs="Arial"/>
          <w:szCs w:val="20"/>
        </w:rPr>
        <w:t>Lidstrom</w:t>
      </w:r>
      <w:proofErr w:type="spellEnd"/>
      <w:r w:rsidR="00315B7F" w:rsidRPr="000D5F05">
        <w:rPr>
          <w:rFonts w:cs="Arial"/>
          <w:szCs w:val="20"/>
        </w:rPr>
        <w:t xml:space="preserve"> lab has developed toolboxes for genetic manipulation</w:t>
      </w:r>
      <w:r w:rsidR="00315B7F" w:rsidRPr="000D5F05">
        <w:rPr>
          <w:rFonts w:cs="Arial"/>
          <w:szCs w:val="20"/>
        </w:rPr>
        <w:fldChar w:fldCharType="begin" w:fldLock="1"/>
      </w:r>
      <w:r w:rsidR="008F71E9">
        <w:rPr>
          <w:rFonts w:cs="Arial"/>
          <w:szCs w:val="20"/>
        </w:rPr>
        <w:instrText>ADDIN CSL_CITATION { "citationItems" : [ { "id" : "ITEM-1",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 ] }, "page" : "1775-1781", "title" : "Genetic Tools for the Industrially Promising Methanotroph Methylomicrobium buryatense", "type" : "article-journal", "volume" : "81" }, "uris" : [ "http://www.mendeley.com/documents/?uuid=3ec90cf2-f7f5-425d-80b6-7c4814db6c3c" ] } ], "mendeley" : { "formattedCitation" : "[27]", "plainTextFormattedCitation" : "[27]", "previouslyFormattedCitation" : "[27]" }, "properties" : { "noteIndex" : 0 }, "schema" : "https://github.com/citation-style-language/schema/raw/master/csl-citation.json" }</w:instrText>
      </w:r>
      <w:r w:rsidR="00315B7F" w:rsidRPr="000D5F05">
        <w:rPr>
          <w:rFonts w:cs="Arial"/>
          <w:szCs w:val="20"/>
        </w:rPr>
        <w:fldChar w:fldCharType="separate"/>
      </w:r>
      <w:r w:rsidR="00AF0B7D" w:rsidRPr="00AF0B7D">
        <w:rPr>
          <w:rFonts w:cs="Arial"/>
          <w:noProof/>
          <w:szCs w:val="20"/>
        </w:rPr>
        <w:t>[27]</w:t>
      </w:r>
      <w:r w:rsidR="00315B7F" w:rsidRPr="000D5F05">
        <w:rPr>
          <w:rFonts w:cs="Arial"/>
          <w:szCs w:val="20"/>
        </w:rPr>
        <w:fldChar w:fldCharType="end"/>
      </w:r>
      <w:r w:rsidR="00315B7F" w:rsidRPr="000D5F05">
        <w:rPr>
          <w:rFonts w:cs="Arial"/>
          <w:szCs w:val="20"/>
        </w:rPr>
        <w:t xml:space="preserve">, also has transcriptome data available under various culture conditions of 5G, trying to looking for genes correlated to high inner membrane contents. </w:t>
      </w:r>
      <w:r w:rsidR="00661064" w:rsidRPr="000D5F05">
        <w:rPr>
          <w:rFonts w:cs="Arial"/>
          <w:szCs w:val="20"/>
        </w:rPr>
        <w:t xml:space="preserve">However, knowledge </w:t>
      </w:r>
      <w:r w:rsidRPr="000D5F05">
        <w:rPr>
          <w:rFonts w:cs="Arial"/>
          <w:szCs w:val="20"/>
        </w:rPr>
        <w:t xml:space="preserve">on </w:t>
      </w:r>
      <w:r w:rsidRPr="000D5F05">
        <w:rPr>
          <w:rFonts w:cs="Arial"/>
          <w:szCs w:val="20"/>
        </w:rPr>
        <w:lastRenderedPageBreak/>
        <w:t>metabolic flux</w:t>
      </w:r>
      <w:r w:rsidR="00661064" w:rsidRPr="000D5F05">
        <w:rPr>
          <w:rFonts w:cs="Arial"/>
          <w:szCs w:val="20"/>
        </w:rPr>
        <w:t xml:space="preserve"> distribution</w:t>
      </w:r>
      <w:r w:rsidRPr="000D5F05">
        <w:rPr>
          <w:rFonts w:cs="Arial"/>
          <w:szCs w:val="20"/>
        </w:rPr>
        <w:t xml:space="preserve"> through central carbon metabolism</w:t>
      </w:r>
      <w:r w:rsidR="00661064" w:rsidRPr="000D5F05">
        <w:rPr>
          <w:rFonts w:cs="Arial"/>
          <w:szCs w:val="20"/>
        </w:rPr>
        <w:t xml:space="preserve"> is still lacking. This would be a critical piece of information to be obtained for metabolic engineering. </w:t>
      </w:r>
    </w:p>
    <w:p w14:paraId="07DDE5AE" w14:textId="66C0F86F" w:rsidR="00433CDC" w:rsidRPr="00E817EE" w:rsidRDefault="00433CDC" w:rsidP="00E817EE">
      <w:pPr>
        <w:pStyle w:val="Heading2"/>
      </w:pPr>
      <w:bookmarkStart w:id="26" w:name="_Toc301521558"/>
      <w:bookmarkStart w:id="27" w:name="_Toc468311703"/>
      <w:r w:rsidRPr="00E817EE">
        <w:t>1.4 Metabolic flux analysis</w:t>
      </w:r>
      <w:bookmarkEnd w:id="26"/>
      <w:bookmarkEnd w:id="27"/>
    </w:p>
    <w:p w14:paraId="18204F5A" w14:textId="505A4BEB" w:rsidR="00BB3C11" w:rsidRPr="000D5F05" w:rsidRDefault="00704C90" w:rsidP="00C43DC5">
      <w:pPr>
        <w:rPr>
          <w:rFonts w:cs="Arial"/>
          <w:szCs w:val="20"/>
        </w:rPr>
      </w:pPr>
      <w:r w:rsidRPr="000D5F05">
        <w:rPr>
          <w:rFonts w:cs="Arial"/>
          <w:szCs w:val="20"/>
        </w:rPr>
        <w:t xml:space="preserve">Flux balance analysis and </w:t>
      </w:r>
      <w:r w:rsidRPr="000D5F05">
        <w:rPr>
          <w:rFonts w:cs="Arial"/>
          <w:szCs w:val="20"/>
          <w:vertAlign w:val="superscript"/>
        </w:rPr>
        <w:t>13</w:t>
      </w:r>
      <w:r w:rsidRPr="000D5F05">
        <w:rPr>
          <w:rFonts w:cs="Arial"/>
          <w:szCs w:val="20"/>
        </w:rPr>
        <w:t>C labeled metabolic flux analysis are two major fields in metabolic flux analysis</w:t>
      </w:r>
      <w:r w:rsidR="0005386F">
        <w:rPr>
          <w:rFonts w:cs="Arial"/>
          <w:szCs w:val="20"/>
        </w:rPr>
        <w:fldChar w:fldCharType="begin" w:fldLock="1"/>
      </w:r>
      <w:r w:rsidR="008C0508">
        <w:rPr>
          <w:rFonts w:cs="Arial"/>
          <w:szCs w:val="20"/>
        </w:rPr>
        <w:instrText>ADDIN CSL_CITATION { "citationItems" : [ { "id" : "ITEM-1", "itemData" : { "DOI" : "10.1016/j.ymben.2010.11.004", "ISSN" : "10967176", "abstract" : "Genome-based Flux Balance Analysis (FBA) and steady-state isotopic-labeling-based Metabolic Flux Analysis (MFA) are complimentary approaches to predicting and measuring the operation and regulation of metabolic networks. Here, genome-derived models of Escherichia coli (E. coli) metabolism were used for FBA and 13C-MFA analyses of aerobic and anaerobic growths of wild-type E. coli (K-12 MG1655) cells. Validated MFA flux maps reveal that the fraction of maintenance ATP consumption in total ATP production is about 14% higher under anaerobic (51.1%) than aerobic conditions (37.2%). FBA revealed that an increased ATP utilization is consumed by ATP synthase to secrete protons from fermentation. The TCA cycle is shown to be incomplete in aerobically growing cells and submaximal growth is due to limited oxidative phosphorylation. An FBA was successful in predicting product secretion rates in aerobic culture if both glucose and oxygen uptake measurement were constrained, but the most-frequently predicted values of internal fluxes yielded from sampling the feasible space differ substantially from MFA-derived fluxes.", "author" : [ { "dropping-particle" : "", "family" : "Chen", "given" : "Xuewen", "non-dropping-particle" : "", "parse-names" : false, "suffix" : "" }, { "dropping-particle" : "", "family" : "Alonso", "given" : "Ana P.", "non-dropping-particle" : "", "parse-names" : false, "suffix" : "" }, { "dropping-particle" : "", "family" : "Allen", "given" : "Doug K.", "non-dropping-particle" : "", "parse-names" : false, "suffix" : "" }, { "dropping-particle" : "", "family" : "Reed", "given" : "Jennifer L.", "non-dropping-particle" : "", "parse-names" : false, "suffix" : "" }, { "dropping-particle" : "", "family" : "Shachar-Hill", "given" : "Yair", "non-dropping-particle" : "", "parse-names" : false, "suffix" : "" } ], "container-title" : "Metabolic Engineering", "id" : "ITEM-1", "issue" : "1", "issued" : { "date-parts" : [ [ "2011" ] ] }, "page" : "38-48", "title" : "Synergy between 13C-metabolic flux analysis and flux balance analysis for understanding metabolic adaption to anaerobiosis in E. coli", "type" : "article-journal", "volume" : "13" }, "uris" : [ "http://www.mendeley.com/documents/?uuid=6e835e65-7ca6-3a2d-b9ef-fa825736901e" ] } ], "mendeley" : { "formattedCitation" : "[29]", "plainTextFormattedCitation" : "[29]", "previouslyFormattedCitation" : "[29]" }, "properties" : { "noteIndex" : 0 }, "schema" : "https://github.com/citation-style-language/schema/raw/master/csl-citation.json" }</w:instrText>
      </w:r>
      <w:r w:rsidR="0005386F">
        <w:rPr>
          <w:rFonts w:cs="Arial"/>
          <w:szCs w:val="20"/>
        </w:rPr>
        <w:fldChar w:fldCharType="separate"/>
      </w:r>
      <w:r w:rsidR="0005386F" w:rsidRPr="0005386F">
        <w:rPr>
          <w:rFonts w:cs="Arial"/>
          <w:noProof/>
          <w:szCs w:val="20"/>
        </w:rPr>
        <w:t>[29]</w:t>
      </w:r>
      <w:r w:rsidR="0005386F">
        <w:rPr>
          <w:rFonts w:cs="Arial"/>
          <w:szCs w:val="20"/>
        </w:rPr>
        <w:fldChar w:fldCharType="end"/>
      </w:r>
      <w:r w:rsidRPr="000D5F05">
        <w:rPr>
          <w:rFonts w:cs="Arial"/>
          <w:szCs w:val="20"/>
        </w:rPr>
        <w:t>. Both of them are essential for providing insights and prediction to the process of systematic</w:t>
      </w:r>
      <w:r w:rsidR="001B6212">
        <w:rPr>
          <w:rFonts w:cs="Arial"/>
          <w:szCs w:val="20"/>
        </w:rPr>
        <w:t xml:space="preserve"> metabolic engineering. </w:t>
      </w:r>
      <w:r w:rsidRPr="000D5F05">
        <w:rPr>
          <w:rFonts w:cs="Arial"/>
          <w:szCs w:val="20"/>
        </w:rPr>
        <w:t>Flux balance analysis use</w:t>
      </w:r>
      <w:r w:rsidR="00512BD7" w:rsidRPr="000D5F05">
        <w:rPr>
          <w:rFonts w:cs="Arial"/>
          <w:szCs w:val="20"/>
        </w:rPr>
        <w:t>s</w:t>
      </w:r>
      <w:r w:rsidRPr="000D5F05">
        <w:rPr>
          <w:rFonts w:cs="Arial"/>
          <w:szCs w:val="20"/>
        </w:rPr>
        <w:t xml:space="preserve"> a stoichiometric model d</w:t>
      </w:r>
      <w:r w:rsidR="00512BD7" w:rsidRPr="000D5F05">
        <w:rPr>
          <w:rFonts w:cs="Arial"/>
          <w:szCs w:val="20"/>
        </w:rPr>
        <w:t>eveloped from annotated genome (called genome scale metabolic model). It is a constraint-based approach (mass balance and stoichiometry are the major constraints) to calculate flux distribution in a pre-defined metabolic model under steady state consideration. The optimization needs to achieve a specific objective funct</w:t>
      </w:r>
      <w:r w:rsidR="008E0139">
        <w:rPr>
          <w:rFonts w:cs="Arial"/>
          <w:szCs w:val="20"/>
        </w:rPr>
        <w:t xml:space="preserve">ion, for instance, maximization </w:t>
      </w:r>
      <w:r w:rsidR="00512BD7" w:rsidRPr="000D5F05">
        <w:rPr>
          <w:rFonts w:cs="Arial"/>
          <w:szCs w:val="20"/>
        </w:rPr>
        <w:t>of cell growth or certain compound production.</w:t>
      </w:r>
      <w:r w:rsidR="00416FE9" w:rsidRPr="000D5F05">
        <w:rPr>
          <w:rFonts w:cs="Arial"/>
          <w:szCs w:val="20"/>
        </w:rPr>
        <w:t xml:space="preserve"> It is particularly useful for</w:t>
      </w:r>
      <w:r w:rsidR="008D4717">
        <w:rPr>
          <w:rFonts w:cs="Arial"/>
          <w:i/>
          <w:szCs w:val="20"/>
        </w:rPr>
        <w:t xml:space="preserve"> </w:t>
      </w:r>
      <w:r w:rsidR="00416FE9" w:rsidRPr="000D5F05">
        <w:rPr>
          <w:rFonts w:cs="Arial"/>
          <w:szCs w:val="20"/>
        </w:rPr>
        <w:t xml:space="preserve">phenotype prediction </w:t>
      </w:r>
      <w:r w:rsidR="008D4717">
        <w:rPr>
          <w:rFonts w:cs="Arial"/>
          <w:szCs w:val="20"/>
        </w:rPr>
        <w:t xml:space="preserve">of mutants </w:t>
      </w:r>
      <w:r w:rsidR="00416FE9" w:rsidRPr="000D5F05">
        <w:rPr>
          <w:rFonts w:cs="Arial"/>
          <w:szCs w:val="20"/>
        </w:rPr>
        <w:t>as well as metabolic model probing</w:t>
      </w:r>
      <w:r w:rsidR="006C3C6D" w:rsidRPr="000D5F05">
        <w:rPr>
          <w:rFonts w:cs="Arial"/>
          <w:szCs w:val="20"/>
        </w:rPr>
        <w:t xml:space="preserve"> in the process of metabolic design</w:t>
      </w:r>
      <w:r w:rsidR="00416FE9" w:rsidRPr="000D5F05">
        <w:rPr>
          <w:rFonts w:cs="Arial"/>
          <w:szCs w:val="20"/>
        </w:rPr>
        <w:t xml:space="preserve">. However, the ability of describing accurate flux distribution for a specific phenotype is very limited for FBA. </w:t>
      </w:r>
      <w:r w:rsidR="003F5499" w:rsidRPr="000D5F05">
        <w:rPr>
          <w:rFonts w:cs="Arial"/>
          <w:szCs w:val="20"/>
        </w:rPr>
        <w:t xml:space="preserve">In order to get quantitatively description of </w:t>
      </w:r>
      <w:r w:rsidR="003F5499" w:rsidRPr="000D5F05">
        <w:rPr>
          <w:rFonts w:cs="Arial"/>
          <w:i/>
          <w:szCs w:val="20"/>
        </w:rPr>
        <w:t>in vivo</w:t>
      </w:r>
      <w:r w:rsidR="003F5499" w:rsidRPr="000D5F05">
        <w:rPr>
          <w:rFonts w:cs="Arial"/>
          <w:szCs w:val="20"/>
        </w:rPr>
        <w:t xml:space="preserve"> flux, </w:t>
      </w:r>
      <w:r w:rsidR="0082517F">
        <w:rPr>
          <w:rFonts w:cs="Arial"/>
          <w:szCs w:val="20"/>
        </w:rPr>
        <w:t xml:space="preserve">stationary </w:t>
      </w:r>
      <w:r w:rsidR="003F5499" w:rsidRPr="000D5F05">
        <w:rPr>
          <w:rFonts w:cs="Arial"/>
          <w:szCs w:val="20"/>
          <w:vertAlign w:val="superscript"/>
        </w:rPr>
        <w:t>13</w:t>
      </w:r>
      <w:r w:rsidR="003F5499" w:rsidRPr="000D5F05">
        <w:rPr>
          <w:rFonts w:cs="Arial"/>
          <w:szCs w:val="20"/>
        </w:rPr>
        <w:t>C flux analysis</w:t>
      </w:r>
      <w:r w:rsidR="00BD698B" w:rsidRPr="000D5F05">
        <w:rPr>
          <w:rFonts w:cs="Arial"/>
          <w:szCs w:val="20"/>
        </w:rPr>
        <w:t xml:space="preserve"> </w:t>
      </w:r>
      <w:r w:rsidR="003C6C87" w:rsidRPr="000D5F05">
        <w:rPr>
          <w:rFonts w:cs="Arial"/>
          <w:szCs w:val="20"/>
        </w:rPr>
        <w:t>or</w:t>
      </w:r>
      <w:r w:rsidR="00651484">
        <w:rPr>
          <w:rFonts w:cs="Arial"/>
          <w:szCs w:val="20"/>
        </w:rPr>
        <w:t xml:space="preserve"> non-stationary</w:t>
      </w:r>
      <w:r w:rsidR="00BD698B" w:rsidRPr="000D5F05">
        <w:rPr>
          <w:rFonts w:cs="Arial"/>
          <w:szCs w:val="20"/>
        </w:rPr>
        <w:t xml:space="preserve"> </w:t>
      </w:r>
      <w:r w:rsidR="00BD698B" w:rsidRPr="000D5F05">
        <w:rPr>
          <w:rFonts w:cs="Arial"/>
          <w:szCs w:val="20"/>
          <w:vertAlign w:val="superscript"/>
        </w:rPr>
        <w:t>13</w:t>
      </w:r>
      <w:r w:rsidR="00BD698B" w:rsidRPr="000D5F05">
        <w:rPr>
          <w:rFonts w:cs="Arial"/>
          <w:szCs w:val="20"/>
        </w:rPr>
        <w:t xml:space="preserve">C </w:t>
      </w:r>
      <w:r w:rsidR="003C6C87" w:rsidRPr="000D5F05">
        <w:rPr>
          <w:rFonts w:cs="Arial"/>
          <w:szCs w:val="20"/>
        </w:rPr>
        <w:t>flux analysis need to be conducted.</w:t>
      </w:r>
    </w:p>
    <w:p w14:paraId="1407AB52" w14:textId="1B08A068" w:rsidR="00433CDC" w:rsidRPr="000D5F05" w:rsidRDefault="00433CDC" w:rsidP="00433CDC">
      <w:pPr>
        <w:pStyle w:val="Heading3"/>
        <w:rPr>
          <w:rFonts w:cs="Arial"/>
          <w:szCs w:val="20"/>
        </w:rPr>
      </w:pPr>
      <w:bookmarkStart w:id="28" w:name="_Toc301521559"/>
      <w:bookmarkStart w:id="29" w:name="_Toc468311704"/>
      <w:r w:rsidRPr="000D5F05">
        <w:rPr>
          <w:rFonts w:cs="Arial"/>
          <w:szCs w:val="20"/>
        </w:rPr>
        <w:t>1.4.1</w:t>
      </w:r>
      <w:r w:rsidR="00633785" w:rsidRPr="000D5F05">
        <w:rPr>
          <w:rFonts w:cs="Arial"/>
          <w:szCs w:val="20"/>
        </w:rPr>
        <w:t xml:space="preserve"> Stationary</w:t>
      </w:r>
      <w:r w:rsidRPr="000D5F05">
        <w:rPr>
          <w:rFonts w:cs="Arial"/>
          <w:szCs w:val="20"/>
        </w:rPr>
        <w:t xml:space="preserve"> </w:t>
      </w:r>
      <w:r w:rsidRPr="000D5F05">
        <w:rPr>
          <w:rFonts w:cs="Arial"/>
          <w:szCs w:val="20"/>
          <w:vertAlign w:val="superscript"/>
        </w:rPr>
        <w:t>13</w:t>
      </w:r>
      <w:r w:rsidRPr="000D5F05">
        <w:rPr>
          <w:rFonts w:cs="Arial"/>
          <w:szCs w:val="20"/>
        </w:rPr>
        <w:t>C flux analysis</w:t>
      </w:r>
      <w:bookmarkEnd w:id="28"/>
      <w:bookmarkEnd w:id="29"/>
    </w:p>
    <w:p w14:paraId="71BEF054" w14:textId="2BC5B73D" w:rsidR="0029545C" w:rsidRPr="000D5F05" w:rsidRDefault="0015739D" w:rsidP="0029545C">
      <w:pPr>
        <w:rPr>
          <w:rFonts w:cs="Arial"/>
          <w:szCs w:val="20"/>
        </w:rPr>
      </w:pPr>
      <w:r>
        <w:rPr>
          <w:rFonts w:cs="Arial"/>
          <w:szCs w:val="20"/>
        </w:rPr>
        <w:t xml:space="preserve">Stationary </w:t>
      </w:r>
      <w:r w:rsidR="00BB3C11" w:rsidRPr="000D5F05">
        <w:rPr>
          <w:rFonts w:cs="Arial"/>
          <w:szCs w:val="20"/>
          <w:vertAlign w:val="superscript"/>
        </w:rPr>
        <w:t>13</w:t>
      </w:r>
      <w:r w:rsidR="00BB3C11" w:rsidRPr="000D5F05">
        <w:rPr>
          <w:rFonts w:cs="Arial"/>
          <w:szCs w:val="20"/>
        </w:rPr>
        <w:t>C flux analysis is a powerful</w:t>
      </w:r>
      <w:r w:rsidR="0029545C" w:rsidRPr="000D5F05">
        <w:rPr>
          <w:rFonts w:cs="Arial"/>
          <w:szCs w:val="20"/>
        </w:rPr>
        <w:t xml:space="preserve"> tool, which combined both experimental and computational approaches to understand the metabolic pathways in a living organism. It is based on stoichiometric reaction model and extracellular consumption and secretion, along with </w:t>
      </w:r>
      <w:r w:rsidR="0029545C" w:rsidRPr="000D5F05">
        <w:rPr>
          <w:rFonts w:cs="Arial"/>
          <w:szCs w:val="20"/>
          <w:vertAlign w:val="superscript"/>
        </w:rPr>
        <w:t>13</w:t>
      </w:r>
      <w:r w:rsidR="0029545C" w:rsidRPr="000D5F05">
        <w:rPr>
          <w:rFonts w:cs="Arial"/>
          <w:szCs w:val="20"/>
        </w:rPr>
        <w:t xml:space="preserve">C labeling information to calculate the </w:t>
      </w:r>
      <w:r w:rsidR="0029545C" w:rsidRPr="000D5F05">
        <w:rPr>
          <w:rFonts w:cs="Arial"/>
          <w:i/>
          <w:szCs w:val="20"/>
        </w:rPr>
        <w:t>in vivo</w:t>
      </w:r>
      <w:r w:rsidR="0029545C" w:rsidRPr="000D5F05">
        <w:rPr>
          <w:rFonts w:cs="Arial"/>
          <w:szCs w:val="20"/>
        </w:rPr>
        <w:t xml:space="preserve"> reaction rate</w:t>
      </w:r>
      <w:r w:rsidR="0029545C" w:rsidRPr="000D5F05">
        <w:rPr>
          <w:rFonts w:cs="Arial"/>
          <w:szCs w:val="20"/>
        </w:rPr>
        <w:fldChar w:fldCharType="begin" w:fldLock="1"/>
      </w:r>
      <w:r w:rsidR="008C0508">
        <w:rPr>
          <w:rFonts w:cs="Arial"/>
          <w:szCs w:val="20"/>
        </w:rPr>
        <w:instrText>ADDIN CSL_CITATION { "citationItems" : [ { "id" : "ITEM-1",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"ITEM-1", "issue" : "3", "issued" : { "date-parts" : [ [ "2001", "7" ] ] }, "page" : "195-206", "title" : "13C metabolic flux analysis.", "type" : "article-journal", "volume" : "3" }, "uris" : [ "http://www.mendeley.com/documents/?uuid=733a9315-9ef7-4a14-a866-d1e18c60b968" ] }, { "id" : "ITEM-2",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"ITEM-2", "issue" : "1", "issued" : { "date-parts" : [ [ "2007", "1" ] ] }, "page" : "6", "title" : "Fluxome analysis using GC-MS.", "type" : "article-journal", "volume" : "6" }, "uris" : [ "http://www.mendeley.com/documents/?uuid=cf1a0fda-e39a-4b18-8a70-caadbddc4b94" ] }, { "id" : "ITEM-3",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"ITEM-3", "issue" : "6", "issued" : { "date-parts" : [ [ "2009", "1" ] ] }, "note" : "figure about the flux ratio simulation", "page" : "878-92", "title" : "(13)C-based metabolic flux analysis.", "type" : "article-journal", "volume" : "4" }, "uris" : [ "http://www.mendeley.com/documents/?uuid=c4caf749-0b8c-4255-8c9f-7bb3774bdbc9" ] } ], "mendeley" : { "formattedCitation" : "[30\u201332]", "plainTextFormattedCitation" : "[30\u201332]", "previouslyFormattedCitation" : "[30\u201332]" }, "properties" : { "noteIndex" : 0 }, "schema" : "https://github.com/citation-style-language/schema/raw/master/csl-citation.json" }</w:instrText>
      </w:r>
      <w:r w:rsidR="0029545C" w:rsidRPr="000D5F05">
        <w:rPr>
          <w:rFonts w:cs="Arial"/>
          <w:szCs w:val="20"/>
        </w:rPr>
        <w:fldChar w:fldCharType="separate"/>
      </w:r>
      <w:r w:rsidR="0005386F" w:rsidRPr="0005386F">
        <w:rPr>
          <w:rFonts w:cs="Arial"/>
          <w:noProof/>
          <w:szCs w:val="20"/>
        </w:rPr>
        <w:t>[30–32]</w:t>
      </w:r>
      <w:r w:rsidR="0029545C" w:rsidRPr="000D5F05">
        <w:rPr>
          <w:rFonts w:cs="Arial"/>
          <w:szCs w:val="20"/>
        </w:rPr>
        <w:fldChar w:fldCharType="end"/>
      </w:r>
      <w:r w:rsidR="0029545C" w:rsidRPr="000D5F05">
        <w:rPr>
          <w:rFonts w:cs="Arial"/>
          <w:szCs w:val="20"/>
        </w:rPr>
        <w:t xml:space="preserve">. </w:t>
      </w:r>
      <w:r w:rsidR="005C404B" w:rsidRPr="000D5F05">
        <w:rPr>
          <w:rFonts w:cs="Arial"/>
          <w:szCs w:val="20"/>
        </w:rPr>
        <w:t>This technique need</w:t>
      </w:r>
      <w:r w:rsidR="00951BEF">
        <w:rPr>
          <w:rFonts w:cs="Arial"/>
          <w:szCs w:val="20"/>
        </w:rPr>
        <w:t>s biological system to be</w:t>
      </w:r>
      <w:r w:rsidR="005C404B" w:rsidRPr="000D5F05">
        <w:rPr>
          <w:rFonts w:cs="Arial"/>
          <w:szCs w:val="20"/>
        </w:rPr>
        <w:t xml:space="preserve"> at both metabolic steady state as well as </w:t>
      </w:r>
      <w:proofErr w:type="spellStart"/>
      <w:r w:rsidR="005C404B" w:rsidRPr="000D5F05">
        <w:rPr>
          <w:rFonts w:cs="Arial"/>
          <w:szCs w:val="20"/>
        </w:rPr>
        <w:t>isotopical</w:t>
      </w:r>
      <w:proofErr w:type="spellEnd"/>
      <w:r w:rsidR="005C404B" w:rsidRPr="000D5F05">
        <w:rPr>
          <w:rFonts w:cs="Arial"/>
          <w:szCs w:val="20"/>
        </w:rPr>
        <w:t xml:space="preserve"> steady state.  </w:t>
      </w:r>
      <w:r w:rsidR="0029545C" w:rsidRPr="000D5F05">
        <w:rPr>
          <w:rFonts w:cs="Arial"/>
          <w:szCs w:val="20"/>
        </w:rPr>
        <w:t xml:space="preserve">Multiple techniques could be applied to measure the </w:t>
      </w:r>
      <w:proofErr w:type="spellStart"/>
      <w:r w:rsidR="0029545C" w:rsidRPr="000D5F05">
        <w:rPr>
          <w:rFonts w:cs="Arial"/>
          <w:szCs w:val="20"/>
        </w:rPr>
        <w:t>isotopomer</w:t>
      </w:r>
      <w:proofErr w:type="spellEnd"/>
      <w:r w:rsidR="0029545C" w:rsidRPr="000D5F05">
        <w:rPr>
          <w:rFonts w:cs="Arial"/>
          <w:szCs w:val="20"/>
        </w:rPr>
        <w:t xml:space="preserve"> distribution of biomass-derived amino acids and intracellular metabolites. NMR and MS are the major players. In this study, only MS is used due to the advantage of high sensitivity.  </w:t>
      </w:r>
    </w:p>
    <w:p w14:paraId="0C81A8EE" w14:textId="3092E7E8" w:rsidR="00BB3C11" w:rsidRPr="000D5F05" w:rsidRDefault="00B07687" w:rsidP="0029545C">
      <w:pPr>
        <w:rPr>
          <w:rFonts w:cs="Arial"/>
          <w:szCs w:val="20"/>
        </w:rPr>
      </w:pPr>
      <w:r w:rsidRPr="000D5F05">
        <w:rPr>
          <w:rFonts w:cs="Arial"/>
          <w:szCs w:val="20"/>
        </w:rPr>
        <w:t>The computational approach has been optimized based on Elementary Metabolite Unite (EMU) framework</w:t>
      </w:r>
      <w:r w:rsidRPr="000D5F05">
        <w:rPr>
          <w:rFonts w:cs="Arial"/>
          <w:szCs w:val="20"/>
        </w:rPr>
        <w:fldChar w:fldCharType="begin" w:fldLock="1"/>
      </w:r>
      <w:r w:rsidR="008C0508">
        <w:rPr>
          <w:rFonts w:cs="Arial"/>
          <w:szCs w:val="20"/>
        </w:rPr>
        <w:instrText>ADDIN CSL_CITATION { "citationItems" : [ { "id" : "ITEM-1", "itemData" : { "DOI" : "10.1016/j.ymben.2006.09.001", "ISSN" : "1096-7176", "PMID" : "17088092", "abstract" : "Metabolic flux analysis (MFA) has emerged as a tool of great significance for metabolic engineering and mammalian physiology. An important limitation of MFA, as carried out via stable isotope labeling and GC/MS and nuclear magnetic resonance (NMR) measurements, is the large number of isotopomer or cumomer equations that need to be solved, especially when multiple isotopic tracers are used for the labeling of the system. This restriction reduces the ability of MFA to fully utilize the power of multiple isotopic tracers in elucidating the physiology of realistic situations comprising complex bioreaction networks. Here, we present a novel framework for the modeling of isotopic labeling systems that significantly reduces the number of system variables without any loss of information. The elementary metabolite unit (EMU) framework is based on a highly efficient decomposition method that identifies the minimum amount of information needed to simulate isotopic labeling within a reaction network using the knowledge of atomic transitions occurring in the network reactions. The functional units generated by the decomposition algorithm, called EMUs, form the new basis for generating system equations that describe the relationship between fluxes and stable isotope measurements. Isotopomer abundances simulated using the EMU framework are identical to those obtained using the isotopomer and cumomer methods, however, require significantly less computation time. For a typical (13)C-labeling system the total number of equations that needs to be solved is reduced by one order-of-magnitude (100s EMUs vs. 1000s isotopomers). As such, the EMU framework is most efficient for the analysis of labeling by multiple isotopic tracers. For example, analysis of the gluconeogenesis pathway with (2)H, (13)C, and (18)O tracers requires only 354 EMUs, compared to more than two million isotopomers.", "author" : [ { "dropping-particle" : "", "family" : "Antoniewicz", "given" : "Maciek R", "non-dropping-particle" : "", "parse-names" : false, "suffix" : "" }, { "dropping-particle" : "", "family" : "Kelleher", "given" : "Joanne K", "non-dropping-particle" : "", "parse-names" : false, "suffix" : "" }, { "dropping-particle" : "", "family" : "Stephanopoulos", "given" : "Gregory", "non-dropping-particle" : "", "parse-names" : false, "suffix" : "" } ], "container-title" : "Metabolic engineering", "id" : "ITEM-1", "issue" : "1", "issued" : { "date-parts" : [ [ "2007", "1" ] ] }, "page" : "68-86", "title" : "Elementary metabolite units (EMU): a novel framework for modeling isotopic distributions.", "type" : "article-journal", "volume" : "9" }, "uris" : [ "http://www.mendeley.com/documents/?uuid=4c907051-4972-488e-8087-e36f0d0f31aa" ] } ], "mendeley" : { "formattedCitation" : "[33]", "plainTextFormattedCitation" : "[33]", "previouslyFormattedCitation" : "[33]" }, "properties" : { "noteIndex" : 0 }, "schema" : "https://github.com/citation-style-language/schema/raw/master/csl-citation.json" }</w:instrText>
      </w:r>
      <w:r w:rsidRPr="000D5F05">
        <w:rPr>
          <w:rFonts w:cs="Arial"/>
          <w:szCs w:val="20"/>
        </w:rPr>
        <w:fldChar w:fldCharType="separate"/>
      </w:r>
      <w:r w:rsidR="0005386F" w:rsidRPr="0005386F">
        <w:rPr>
          <w:rFonts w:cs="Arial"/>
          <w:noProof/>
          <w:szCs w:val="20"/>
        </w:rPr>
        <w:t>[33]</w:t>
      </w:r>
      <w:r w:rsidRPr="000D5F05">
        <w:rPr>
          <w:rFonts w:cs="Arial"/>
          <w:szCs w:val="20"/>
        </w:rPr>
        <w:fldChar w:fldCharType="end"/>
      </w:r>
      <w:r w:rsidRPr="000D5F05">
        <w:rPr>
          <w:rFonts w:cs="Arial"/>
          <w:szCs w:val="20"/>
        </w:rPr>
        <w:t>, which significantly reduced the computation time for flux calculation. Several software packages have been developed based on EMU framework</w:t>
      </w:r>
      <w:r w:rsidRPr="000D5F05">
        <w:rPr>
          <w:rFonts w:cs="Arial"/>
          <w:szCs w:val="20"/>
        </w:rPr>
        <w:fldChar w:fldCharType="begin" w:fldLock="1"/>
      </w:r>
      <w:r w:rsidR="008C0508">
        <w:rPr>
          <w:rFonts w:cs="Arial"/>
          <w:szCs w:val="20"/>
        </w:rPr>
        <w:instrText>ADDIN CSL_CITATION { "citationItems" : [ { "id" : "ITEM-1", "itemData" : { "DOI" : "10.1186/1475-2859-8-25", "ISSN" : "1475-2859", "PMID" : "19409084", "abstract" : "The quantitative analysis of metabolic fluxes, i.e., in vivo activities of intracellular enzymes and pathways, provides key information on biological systems in systems biology and metabolic engineering. It is based on a comprehensive approach combining (i) tracer cultivation on 13C substrates, (ii) 13C labelling analysis by mass spectrometry and (iii) mathematical modelling for experimental design, data processing, flux calculation and statistics. Whereas the cultivation and the analytical part is fairly advanced, a lack of appropriate modelling software solutions for all modelling aspects in flux studies is limiting the application of metabolic flux analysis.", "author" : [ { "dropping-particle" : "", "family" : "Quek", "given" : "Lake-Ee", "non-dropping-particle" : "", "parse-names" : false, "suffix" : "" }, { "dropping-particle" : "", "family" : "Wittmann", "given" : "Christoph", "non-dropping-particle" : "", "parse-names" : false, "suffix" : "" }, { "dropping-particle" : "", "family" : "Nielsen", "given" : "Lars K", "non-dropping-particle" : "", "parse-names" : false, "suffix" : "" }, { "dropping-particle" : "", "family" : "Kr\u00f6mer", "given" : "Jens O", "non-dropping-particle" : "", "parse-names" : false, "suffix" : "" } ], "container-title" : "Microbial cell factories", "id" : "ITEM-1", "issue" : "1", "issued" : { "date-parts" : [ [ "2009", "1" ] ] }, "page" : "25", "title" : "OpenFLUX: efficient modelling software for 13C-based metabolic flux analysis.", "type" : "article-journal", "volume" : "8" }, "uris" : [ "http://www.mendeley.com/documents/?uuid=e3c99d75-1d6f-4083-a3fd-206c0944510a" ] }, { "id" : "ITEM-2", "itemData" : { "DOI" : "10.1006/mben.2001.0188", "ISSN" : "1096-7176", "PMID" : "11461148", "abstract" : "A general methodology is presented for the modeling, simulation, design, evaluation, and statistical analysis of (13)C-labeling experiments for metabolic flux analysis. The universal software framework 13C-FLUX was implemented to support all steps of this process. Guided by the example of anaplerotic flux determination in Corynebacterium glutamicum, the technical details of the model setup, experimental design, and data evaluation are discussed. It is shown how the network structure, the input substrate composition, the assumptions about fluxes, and the measurement configuration are specified within 13C-FLUX. Based on the network model, different experimental designs are computed depending on the goal of the investigations. Finally, a specific experiment is evaluated and the various statistical methods used to analyze the results are briefly explained. The appendix gives some details about the software implementation and availability.", "author" : [ { "dropping-particle" : "", "family" : "Wiechert", "given" : "W", "non-dropping-particle" : "", "parse-names" : false, "suffix" : "" }, { "dropping-particle" : "", "family" : "M\u00f6llney", "given" : "M", "non-dropping-particle" : "", "parse-names" : false, "suffix" : "" }, { "dropping-particle" : "", "family" : "Petersen", "given" : "S", "non-dropping-particle" : "", "parse-names" : false, "suffix" : "" }, { "dropping-particle" : "", "family" : "Graaf", "given" : "A A", "non-dropping-particle" : "de", "parse-names" : false, "suffix" : "" } ], "container-title" : "Metabolic engineering", "id" : "ITEM-2", "issue" : "3", "issued" : { "date-parts" : [ [ "2001", "7" ] ] }, "page" : "265-83", "title" : "A universal framework for 13C metabolic flux analysis.", "type" : "article-journal", "volume" : "3" }, "uris" : [ "http://www.mendeley.com/documents/?uuid=d5c35e75-23cd-4477-8f03-fb6227c931f7" ] }, { "id" : "ITEM-3",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"ITEM-3",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"[34\u201336]", "plainTextFormattedCitation" : "[34\u201336]", "previouslyFormattedCitation" : "[34\u201336]" }, "properties" : { "noteIndex" : 0 }, "schema" : "https://github.com/citation-style-language/schema/raw/master/csl-citation.json" }</w:instrText>
      </w:r>
      <w:r w:rsidRPr="000D5F05">
        <w:rPr>
          <w:rFonts w:cs="Arial"/>
          <w:szCs w:val="20"/>
        </w:rPr>
        <w:fldChar w:fldCharType="separate"/>
      </w:r>
      <w:r w:rsidR="0005386F" w:rsidRPr="0005386F">
        <w:rPr>
          <w:rFonts w:cs="Arial"/>
          <w:noProof/>
          <w:szCs w:val="20"/>
        </w:rPr>
        <w:t>[34–36]</w:t>
      </w:r>
      <w:r w:rsidRPr="000D5F05">
        <w:rPr>
          <w:rFonts w:cs="Arial"/>
          <w:szCs w:val="20"/>
        </w:rPr>
        <w:fldChar w:fldCharType="end"/>
      </w:r>
      <w:r w:rsidRPr="000D5F05">
        <w:rPr>
          <w:rFonts w:cs="Arial"/>
          <w:szCs w:val="20"/>
        </w:rPr>
        <w:t xml:space="preserve">. And </w:t>
      </w:r>
      <w:proofErr w:type="spellStart"/>
      <w:r w:rsidRPr="000D5F05">
        <w:rPr>
          <w:rFonts w:cs="Arial"/>
          <w:szCs w:val="20"/>
        </w:rPr>
        <w:t>Influx_s</w:t>
      </w:r>
      <w:proofErr w:type="spellEnd"/>
      <w:r w:rsidRPr="000D5F05">
        <w:rPr>
          <w:rFonts w:cs="Arial"/>
          <w:szCs w:val="20"/>
        </w:rPr>
        <w:t xml:space="preserve"> was used in this study due to its excellent performance on numerical stability and computation time</w:t>
      </w:r>
      <w:r w:rsidR="008C0508">
        <w:rPr>
          <w:rFonts w:cs="Arial"/>
          <w:szCs w:val="20"/>
        </w:rPr>
        <w:fldChar w:fldCharType="begin" w:fldLock="1"/>
      </w:r>
      <w:r w:rsidR="008C0508">
        <w:rPr>
          <w:rFonts w:cs="Arial"/>
          <w:szCs w:val="20"/>
        </w:rPr>
        <w:instrText>ADDIN CSL_CITATION { "citationItems" : [ { "id" : "ITEM-1",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"ITEM-1",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"[36]", "plainTextFormattedCitation" : "[36]" }, "properties" : { "noteIndex" : 0 }, "schema" : "https://github.com/citation-style-language/schema/raw/master/csl-citation.json" }</w:instrText>
      </w:r>
      <w:r w:rsidR="008C0508">
        <w:rPr>
          <w:rFonts w:cs="Arial"/>
          <w:szCs w:val="20"/>
        </w:rPr>
        <w:fldChar w:fldCharType="separate"/>
      </w:r>
      <w:r w:rsidR="008C0508" w:rsidRPr="008C0508">
        <w:rPr>
          <w:rFonts w:cs="Arial"/>
          <w:noProof/>
          <w:szCs w:val="20"/>
        </w:rPr>
        <w:t>[36]</w:t>
      </w:r>
      <w:r w:rsidR="008C0508">
        <w:rPr>
          <w:rFonts w:cs="Arial"/>
          <w:szCs w:val="20"/>
        </w:rPr>
        <w:fldChar w:fldCharType="end"/>
      </w:r>
      <w:r w:rsidR="008C0508">
        <w:rPr>
          <w:rFonts w:cs="Arial"/>
          <w:szCs w:val="20"/>
        </w:rPr>
        <w:t>.</w:t>
      </w:r>
      <w:r w:rsidR="00BB3C11" w:rsidRPr="000D5F05">
        <w:rPr>
          <w:rFonts w:cs="Arial"/>
          <w:szCs w:val="20"/>
        </w:rPr>
        <w:t xml:space="preserve">It generates both flux </w:t>
      </w:r>
      <w:r w:rsidR="00BB3C11" w:rsidRPr="000D5F05">
        <w:rPr>
          <w:rFonts w:cs="Arial"/>
          <w:szCs w:val="20"/>
        </w:rPr>
        <w:lastRenderedPageBreak/>
        <w:t>maps with absolute values as well as flux distribution normalized to specific substrate uptake rate, offering insights into cell behavior at the metabolic activity level.</w:t>
      </w:r>
    </w:p>
    <w:p w14:paraId="2ED867FA" w14:textId="75D3CCE4" w:rsidR="005C404B" w:rsidRPr="000D5F05" w:rsidRDefault="005C404B" w:rsidP="0029545C">
      <w:pPr>
        <w:rPr>
          <w:rFonts w:cs="Arial"/>
          <w:szCs w:val="20"/>
        </w:rPr>
      </w:pPr>
      <w:r w:rsidRPr="000D5F05">
        <w:rPr>
          <w:rFonts w:cs="Arial"/>
          <w:szCs w:val="20"/>
        </w:rPr>
        <w:t xml:space="preserve">Stationary </w:t>
      </w:r>
      <w:r w:rsidRPr="000D5F05">
        <w:rPr>
          <w:rFonts w:cs="Arial"/>
          <w:szCs w:val="20"/>
          <w:vertAlign w:val="superscript"/>
        </w:rPr>
        <w:t>13</w:t>
      </w:r>
      <w:r w:rsidRPr="000D5F05">
        <w:rPr>
          <w:rFonts w:cs="Arial"/>
          <w:szCs w:val="20"/>
        </w:rPr>
        <w:t>C metabolic flux analysis has usually applied to well-studied biological system where the central carbon metabolism model is well-established. Mostly the analysis has also been done on systems with multi</w:t>
      </w:r>
      <w:r w:rsidR="00DC0A17">
        <w:rPr>
          <w:rFonts w:cs="Arial"/>
          <w:szCs w:val="20"/>
        </w:rPr>
        <w:t xml:space="preserve">-carbon </w:t>
      </w:r>
      <w:r w:rsidR="00A347AB">
        <w:rPr>
          <w:rFonts w:cs="Arial"/>
          <w:szCs w:val="20"/>
        </w:rPr>
        <w:t xml:space="preserve">input. </w:t>
      </w:r>
      <w:r w:rsidRPr="000D5F05">
        <w:rPr>
          <w:rFonts w:cs="Arial"/>
          <w:szCs w:val="20"/>
        </w:rPr>
        <w:t>The carbon rearrangement from the substrate carries the flux information to labeling patterns of intracellular metaboli</w:t>
      </w:r>
      <w:r w:rsidR="00F97476" w:rsidRPr="000D5F05">
        <w:rPr>
          <w:rFonts w:cs="Arial"/>
          <w:szCs w:val="20"/>
        </w:rPr>
        <w:t xml:space="preserve">tes or </w:t>
      </w:r>
      <w:proofErr w:type="spellStart"/>
      <w:r w:rsidR="00F97476" w:rsidRPr="000D5F05">
        <w:rPr>
          <w:rFonts w:cs="Arial"/>
          <w:szCs w:val="20"/>
        </w:rPr>
        <w:t>proteingenic</w:t>
      </w:r>
      <w:proofErr w:type="spellEnd"/>
      <w:r w:rsidR="00F97476" w:rsidRPr="000D5F05">
        <w:rPr>
          <w:rFonts w:cs="Arial"/>
          <w:szCs w:val="20"/>
        </w:rPr>
        <w:t xml:space="preserve"> amino acids, which could later </w:t>
      </w:r>
      <w:proofErr w:type="gramStart"/>
      <w:r w:rsidR="00F97476" w:rsidRPr="000D5F05">
        <w:rPr>
          <w:rFonts w:cs="Arial"/>
          <w:szCs w:val="20"/>
        </w:rPr>
        <w:t>inferred</w:t>
      </w:r>
      <w:proofErr w:type="gramEnd"/>
      <w:r w:rsidR="00F97476" w:rsidRPr="000D5F05">
        <w:rPr>
          <w:rFonts w:cs="Arial"/>
          <w:szCs w:val="20"/>
        </w:rPr>
        <w:t xml:space="preserve"> back to flux distribution. Due to the limitation of stationary </w:t>
      </w:r>
      <w:r w:rsidR="00F97476" w:rsidRPr="000D5F05">
        <w:rPr>
          <w:rFonts w:cs="Arial"/>
          <w:szCs w:val="20"/>
          <w:vertAlign w:val="superscript"/>
        </w:rPr>
        <w:t>13</w:t>
      </w:r>
      <w:r w:rsidR="00F97476" w:rsidRPr="000D5F05">
        <w:rPr>
          <w:rFonts w:cs="Arial"/>
          <w:szCs w:val="20"/>
        </w:rPr>
        <w:t>C metabolic flux analysis, in order to decipher C1 metabolism where carbon input is</w:t>
      </w:r>
      <w:r w:rsidR="00B57B22" w:rsidRPr="000D5F05">
        <w:rPr>
          <w:rFonts w:cs="Arial"/>
          <w:szCs w:val="20"/>
        </w:rPr>
        <w:t xml:space="preserve"> sole entry of</w:t>
      </w:r>
      <w:r w:rsidR="00F97476" w:rsidRPr="000D5F05">
        <w:rPr>
          <w:rFonts w:cs="Arial"/>
          <w:szCs w:val="20"/>
        </w:rPr>
        <w:t xml:space="preserve"> single carbon compound, non-stationary </w:t>
      </w:r>
      <w:r w:rsidR="00F97476" w:rsidRPr="000D5F05">
        <w:rPr>
          <w:rFonts w:cs="Arial"/>
          <w:szCs w:val="20"/>
          <w:vertAlign w:val="superscript"/>
        </w:rPr>
        <w:t>13</w:t>
      </w:r>
      <w:r w:rsidR="00F97476" w:rsidRPr="000D5F05">
        <w:rPr>
          <w:rFonts w:cs="Arial"/>
          <w:szCs w:val="20"/>
        </w:rPr>
        <w:t>C flux analys</w:t>
      </w:r>
      <w:r w:rsidR="002D09B1">
        <w:rPr>
          <w:rFonts w:cs="Arial"/>
          <w:szCs w:val="20"/>
        </w:rPr>
        <w:t>is need to be deployed as well.</w:t>
      </w:r>
    </w:p>
    <w:p w14:paraId="0EF12BF6" w14:textId="7A13CF81" w:rsidR="00BB3C11" w:rsidRPr="000D5F05" w:rsidRDefault="00433CDC" w:rsidP="00BB3C11">
      <w:pPr>
        <w:pStyle w:val="Heading3"/>
        <w:rPr>
          <w:rFonts w:cs="Arial"/>
          <w:szCs w:val="20"/>
        </w:rPr>
      </w:pPr>
      <w:bookmarkStart w:id="30" w:name="_Toc301521560"/>
      <w:bookmarkStart w:id="31" w:name="_Toc468311705"/>
      <w:r w:rsidRPr="000D5F05">
        <w:rPr>
          <w:rFonts w:cs="Arial"/>
          <w:szCs w:val="20"/>
        </w:rPr>
        <w:t xml:space="preserve">1.4.2 </w:t>
      </w:r>
      <w:bookmarkEnd w:id="30"/>
      <w:r w:rsidR="002D51AC" w:rsidRPr="000D5F05">
        <w:rPr>
          <w:rFonts w:cs="Arial"/>
          <w:szCs w:val="20"/>
        </w:rPr>
        <w:t xml:space="preserve">Non-stationary </w:t>
      </w:r>
      <w:r w:rsidR="002D51AC" w:rsidRPr="000D5F05">
        <w:rPr>
          <w:rFonts w:cs="Arial"/>
          <w:szCs w:val="20"/>
          <w:vertAlign w:val="superscript"/>
        </w:rPr>
        <w:t xml:space="preserve">13 </w:t>
      </w:r>
      <w:r w:rsidR="002D51AC" w:rsidRPr="000D5F05">
        <w:rPr>
          <w:rFonts w:cs="Arial"/>
          <w:szCs w:val="20"/>
        </w:rPr>
        <w:t>C flux analysis</w:t>
      </w:r>
      <w:bookmarkEnd w:id="31"/>
    </w:p>
    <w:p w14:paraId="2B4EF3F1" w14:textId="75BB41F9" w:rsidR="00BB3C11" w:rsidRPr="000D5F05" w:rsidRDefault="00B57B22" w:rsidP="003754CA">
      <w:pPr>
        <w:rPr>
          <w:rFonts w:cs="Arial"/>
          <w:szCs w:val="20"/>
        </w:rPr>
      </w:pPr>
      <w:r w:rsidRPr="000D5F05">
        <w:rPr>
          <w:rFonts w:cs="Arial"/>
          <w:szCs w:val="20"/>
        </w:rPr>
        <w:t xml:space="preserve">Non-stationary </w:t>
      </w:r>
      <w:r w:rsidRPr="000D5F05">
        <w:rPr>
          <w:rFonts w:cs="Arial"/>
          <w:szCs w:val="20"/>
          <w:vertAlign w:val="superscript"/>
        </w:rPr>
        <w:t xml:space="preserve">13 </w:t>
      </w:r>
      <w:r w:rsidRPr="000D5F05">
        <w:rPr>
          <w:rFonts w:cs="Arial"/>
          <w:szCs w:val="20"/>
        </w:rPr>
        <w:t>C flux analysis also named as kinetic flux analysis, distinguished from</w:t>
      </w:r>
      <w:r w:rsidR="00633785" w:rsidRPr="000D5F05">
        <w:rPr>
          <w:rFonts w:cs="Arial"/>
          <w:szCs w:val="20"/>
        </w:rPr>
        <w:t xml:space="preserve"> </w:t>
      </w:r>
      <w:r w:rsidRPr="000D5F05">
        <w:rPr>
          <w:rFonts w:cs="Arial"/>
          <w:szCs w:val="20"/>
        </w:rPr>
        <w:t xml:space="preserve">stationary </w:t>
      </w:r>
      <w:r w:rsidRPr="000D5F05">
        <w:rPr>
          <w:rFonts w:cs="Arial"/>
          <w:szCs w:val="20"/>
          <w:vertAlign w:val="superscript"/>
        </w:rPr>
        <w:t>13</w:t>
      </w:r>
      <w:r w:rsidRPr="000D5F05">
        <w:rPr>
          <w:rFonts w:cs="Arial"/>
          <w:szCs w:val="20"/>
        </w:rPr>
        <w:t>C flux analysis mainly on the following two aspects. First of all, metabolic steady state is the only prerequisite</w:t>
      </w:r>
      <w:r w:rsidR="002D51AC" w:rsidRPr="000D5F05">
        <w:rPr>
          <w:rFonts w:cs="Arial"/>
          <w:szCs w:val="20"/>
        </w:rPr>
        <w:t xml:space="preserve"> for non-stationary </w:t>
      </w:r>
      <w:r w:rsidR="002D51AC" w:rsidRPr="000D5F05">
        <w:rPr>
          <w:rFonts w:cs="Arial"/>
          <w:szCs w:val="20"/>
          <w:vertAlign w:val="superscript"/>
        </w:rPr>
        <w:t>13</w:t>
      </w:r>
      <w:r w:rsidR="002D51AC" w:rsidRPr="000D5F05">
        <w:rPr>
          <w:rFonts w:cs="Arial"/>
          <w:szCs w:val="20"/>
        </w:rPr>
        <w:t>C flux analysis</w:t>
      </w:r>
      <w:r w:rsidRPr="000D5F05">
        <w:rPr>
          <w:rFonts w:cs="Arial"/>
          <w:szCs w:val="20"/>
        </w:rPr>
        <w:t xml:space="preserve">. That leads to shorter experiment duration. Secondly, </w:t>
      </w:r>
      <w:r w:rsidR="002D51AC" w:rsidRPr="000D5F05">
        <w:rPr>
          <w:rFonts w:cs="Arial"/>
          <w:szCs w:val="20"/>
        </w:rPr>
        <w:t>non-s</w:t>
      </w:r>
      <w:r w:rsidR="00F224DE" w:rsidRPr="000D5F05">
        <w:rPr>
          <w:rFonts w:cs="Arial"/>
          <w:szCs w:val="20"/>
        </w:rPr>
        <w:t xml:space="preserve">tationary </w:t>
      </w:r>
      <w:r w:rsidR="00F224DE" w:rsidRPr="000D5F05">
        <w:rPr>
          <w:rFonts w:cs="Arial"/>
          <w:szCs w:val="20"/>
          <w:vertAlign w:val="superscript"/>
        </w:rPr>
        <w:t>13</w:t>
      </w:r>
      <w:r w:rsidR="00F224DE" w:rsidRPr="000D5F05">
        <w:rPr>
          <w:rFonts w:cs="Arial"/>
          <w:szCs w:val="20"/>
        </w:rPr>
        <w:t xml:space="preserve">C flux analysis could </w:t>
      </w:r>
      <w:r w:rsidR="00D7281F" w:rsidRPr="000D5F05">
        <w:rPr>
          <w:rFonts w:cs="Arial"/>
          <w:szCs w:val="20"/>
        </w:rPr>
        <w:t xml:space="preserve">be </w:t>
      </w:r>
      <w:r w:rsidR="00F224DE" w:rsidRPr="000D5F05">
        <w:rPr>
          <w:rFonts w:cs="Arial"/>
          <w:szCs w:val="20"/>
        </w:rPr>
        <w:t xml:space="preserve">applied to global level (i.e. the entire central carbon metabolism) </w:t>
      </w:r>
      <w:r w:rsidR="00D9236C" w:rsidRPr="000D5F05">
        <w:rPr>
          <w:rFonts w:cs="Arial"/>
          <w:szCs w:val="20"/>
        </w:rPr>
        <w:t>for local</w:t>
      </w:r>
      <w:r w:rsidR="00D7281F" w:rsidRPr="000D5F05">
        <w:rPr>
          <w:rFonts w:cs="Arial"/>
          <w:szCs w:val="20"/>
        </w:rPr>
        <w:t xml:space="preserve"> point without systematical </w:t>
      </w:r>
      <w:proofErr w:type="spellStart"/>
      <w:r w:rsidR="00D7281F" w:rsidRPr="000D5F05">
        <w:rPr>
          <w:rFonts w:cs="Arial"/>
          <w:szCs w:val="20"/>
        </w:rPr>
        <w:t>isotopomer</w:t>
      </w:r>
      <w:proofErr w:type="spellEnd"/>
      <w:r w:rsidR="00D7281F" w:rsidRPr="000D5F05">
        <w:rPr>
          <w:rFonts w:cs="Arial"/>
          <w:szCs w:val="20"/>
        </w:rPr>
        <w:t xml:space="preserve"> mapping and balancing (</w:t>
      </w:r>
      <w:proofErr w:type="spellStart"/>
      <w:r w:rsidR="00D7281F" w:rsidRPr="000D5F05">
        <w:rPr>
          <w:rFonts w:cs="Arial"/>
          <w:szCs w:val="20"/>
        </w:rPr>
        <w:t>i.e</w:t>
      </w:r>
      <w:proofErr w:type="spellEnd"/>
      <w:r w:rsidR="00D7281F" w:rsidRPr="000D5F05">
        <w:rPr>
          <w:rFonts w:cs="Arial"/>
          <w:szCs w:val="20"/>
        </w:rPr>
        <w:t xml:space="preserve"> branch points</w:t>
      </w:r>
      <w:r w:rsidR="00D9236C" w:rsidRPr="000D5F05">
        <w:rPr>
          <w:rFonts w:cs="Arial"/>
          <w:szCs w:val="20"/>
        </w:rPr>
        <w:t>, where flux ratio is needed).</w:t>
      </w:r>
      <w:r w:rsidR="00D7281F" w:rsidRPr="000D5F05">
        <w:rPr>
          <w:rFonts w:cs="Arial"/>
          <w:szCs w:val="20"/>
        </w:rPr>
        <w:t xml:space="preserve"> Several approaches including software packages have been developed for local flux ratio quantification</w:t>
      </w:r>
      <w:r w:rsidR="00D7281F" w:rsidRPr="000D5F05">
        <w:rPr>
          <w:rFonts w:cs="Arial"/>
          <w:szCs w:val="20"/>
        </w:rPr>
        <w:fldChar w:fldCharType="begin" w:fldLock="1"/>
      </w:r>
      <w:r w:rsidR="008C0508">
        <w:rPr>
          <w:rFonts w:cs="Arial"/>
          <w:szCs w:val="20"/>
        </w:rPr>
        <w:instrText>ADDIN CSL_CITATION { "citationItems" : [ { "id" : "ITEM-1", "itemData" : { "DOI" : "10.1002/bit.25004", "ISSN" : "1097-0290", "PMID" : "23860906", "abstract" : "(13)C-metabolic flux analysis ((13)C-MFA) has become a key method for metabolic engineering and systems biology. In the most common methodology, fluxes are calculated by global isotopomer balancing and iterative fitting to stationary (13)C-labeling data. This approach requires a closed carbon balance, long-lasting metabolic steady state, and the detection of (13)C-patterns in a large number of metabolites. These restrictions mostly reduced the application of (13)C-MFA to the central carbon metabolism of well-studied model organisms grown in minimal media with a single carbon source. Here we introduce non-stationary (13)C-metabolic flux ratio analysis as a novel method for (13)C-MFA to allow estimating local, relative fluxes from ultra-short (13)C-labeling experiments and without the need for global isotopomer balancing. The approach relies on the acquisition of non-stationary (13)C-labeling data exclusively for metabolites in the proximity of a node of converging fluxes and a local parameter estimation with a system of ordinary differential equations. We developed a generalized workflow that takes into account reaction types and the availability of mass spectrometric data on molecular ions or fragments for data processing, modeling, parameter and error estimation. We demonstrated the approach by analyzing three key nodes of converging fluxes in central metabolism of Bacillus subtilis. We obtained flux estimates that are in agreement with published results obtained from steady state experiments, but reduced the duration of the necessary (13)C-labeling experiment to less than a minute. These results show that our strategy enables to formally estimate relative pathway fluxes on extremely short time scale, neglecting cellular carbon balancing. Hence this approach paves the road to targeted (13)C-MFA in dynamic systems with multiple carbon sources and towards rich media.", "author" : [ { "dropping-particle" : "", "family" : "H\u00f6rl", "given" : "Manuel", "non-dropping-particle" : "", "parse-names" : false, "suffix" : "" }, { "dropping-particle" : "", "family" : "Schnidder", "given" : "Julian", "non-dropping-particle" : "", "parse-names" : false, "suffix" : "" }, { "dropping-particle" : "", "family" : "Sauer", "given" : "Uwe", "non-dropping-particle" : "", "parse-names" : false, "suffix" : "" }, { "dropping-particle" : "", "family" : "Zamboni", "given" : "Nicola", "non-dropping-particle" : "", "parse-names" : false, "suffix" : "" } ], "container-title" : "Biotechnology and bioengineering", "id" : "ITEM-1", "issue" : "12", "issued" : { "date-parts" : [ [ "2013", "12" ] ] }, "page" : "3164-76", "title" : "Non-stationary (13)C-metabolic flux ratio analysis.", "type" : "article-journal", "volume" : "110" }, "uris" : [ "http://www.mendeley.com/documents/?uuid=7096edfc-02e0-46d7-acc4-775850c4494e" ] } ], "mendeley" : { "formattedCitation" : "[37]", "plainTextFormattedCitation" : "[37]", "previouslyFormattedCitation" : "[37]"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[37]</w:t>
      </w:r>
      <w:r w:rsidR="00D7281F" w:rsidRPr="000D5F05">
        <w:rPr>
          <w:rFonts w:cs="Arial"/>
          <w:szCs w:val="20"/>
        </w:rPr>
        <w:fldChar w:fldCharType="end"/>
      </w:r>
      <w:r w:rsidR="00D7281F" w:rsidRPr="000D5F05">
        <w:rPr>
          <w:rFonts w:cs="Arial"/>
          <w:szCs w:val="20"/>
        </w:rPr>
        <w:t>, local flux quantification</w:t>
      </w:r>
      <w:r w:rsidR="00D7281F" w:rsidRPr="000D5F05">
        <w:rPr>
          <w:rFonts w:cs="Arial"/>
          <w:szCs w:val="20"/>
        </w:rPr>
        <w:fldChar w:fldCharType="begin" w:fldLock="1"/>
      </w:r>
      <w:r w:rsidR="008C0508">
        <w:rPr>
          <w:rFonts w:cs="Arial"/>
          <w:szCs w:val="20"/>
        </w:rPr>
        <w:instrText>ADDIN CSL_CITATION { "citationItems" : [ { "id" : "ITEM-1", "itemData" : { "DOI" : "10.1038/nprot.2008.131", "ISSN" : "1750-2799", "PMID" : "18714301", "abstract" : "This protocol enables quantitation of metabolic fluxes in cultured cells. Measurements are based on the kinetics of cellular incorporation of stable isotope from nutrient into downstream metabolites. At multiple time points, after cells are rapidly switched from unlabeled to isotope-labeled nutrient, metabolism is quenched, metabolites are extracted and the extract is analyzed by chromatography-mass spectrometry. Resulting plots of unlabeled compound versus time follow variants of exponential decay, with the flux equal to the decay rate multiplied by the intracellular metabolite concentration. Because labeling is typically fast (t(1/2)&lt;or=5 min for central metabolites in Escherichia coli), variations on this approach can effectively probe dynamically changing metabolic fluxes. This protocol is exemplified using E. coli and nitrogen labeling, for which quantitative flux data for approximately 15 metabolites can be obtained over 3 d of work. Applications to adherent mammalian cells are also discussed.", "author" : [ { "dropping-particle" : "", "family" : "Yuan", "given" : "Jie", "non-dropping-particle" : "", "parse-names" : false, "suffix" : "" }, { "dropping-particle" : "", "family" : "Bennett", "given" : "Bryson D", "non-dropping-particle" : "", "parse-names" : false, "suffix" : "" }, { "dropping-particle" : "", "family" : "Rabinowitz", "given" : "Joshua D", "non-dropping-particle" : "", "parse-names" : false, "suffix" : "" } ], "container-title" : "Nature protocols", "id" : "ITEM-1", "issue" : "8", "issued" : { "date-parts" : [ [ "2008", "1" ] ] }, "page" : "1328-40", "title" : "Kinetic flux profiling for quantitation of cellular metabolic fluxes.", "type" : "article-journal", "volume" : "3" }, "uris" : [ "http://www.mendeley.com/documents/?uuid=686b40ad-992e-48e3-8b51-db0afdf2d850" ] } ], "mendeley" : { "formattedCitation" : "[38]", "plainTextFormattedCitation" : "[38]", "previouslyFormattedCitation" : "[38]"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[38]</w:t>
      </w:r>
      <w:r w:rsidR="00D7281F" w:rsidRPr="000D5F05">
        <w:rPr>
          <w:rFonts w:cs="Arial"/>
          <w:szCs w:val="20"/>
        </w:rPr>
        <w:fldChar w:fldCharType="end"/>
      </w:r>
      <w:r w:rsidR="00D7281F" w:rsidRPr="000D5F05">
        <w:rPr>
          <w:rFonts w:cs="Arial"/>
          <w:szCs w:val="20"/>
        </w:rPr>
        <w:t xml:space="preserve"> as well as global flux estimation based on non-stationary flux analysis</w:t>
      </w:r>
      <w:r w:rsidR="00D7281F" w:rsidRPr="000D5F05">
        <w:rPr>
          <w:rFonts w:cs="Arial"/>
          <w:szCs w:val="20"/>
        </w:rPr>
        <w:fldChar w:fldCharType="begin" w:fldLock="1"/>
      </w:r>
      <w:r w:rsidR="008C0508">
        <w:rPr>
          <w:rFonts w:cs="Arial"/>
          <w:szCs w:val="20"/>
        </w:rPr>
        <w:instrText>ADDIN CSL_CITATION { "citationItems" : [ { "id" : "ITEM-1", "itemData" : { "DOI" : "10.1093/bioinformatics/btu015", "ISSN" : "1367-4811", "PMID" : "24413674", "abstract" : "13C flux analysis studies have become an essential component of metabolic engineering research. The scope of these studies has gradually expanded to include both isotopically steady-state and transient labeling experiments, the latter of which are uniquely applicable to photosynthetic organisms and slow-to-label mammalian cell cultures. Isotopomer network compartmental analysis (INCA) is the first publicly available software package that can perform both steady-state metabolic flux analysis and isotopically non-stationary metabolic flux analysis. The software provides a framework for comprehensive analysis of metabolic networks using mass balances and elementary metabolite unit balances. The generation of balance equations and their computational solution is completely automated and can be performed on networks of arbitrary complexity.", "author" : [ { "dropping-particle" : "", "family" : "Young", "given" : "Jamey D", "non-dropping-particle" : "", "parse-names" : false, "suffix" : "" } ], "container-title" : "Bioinformatics (Oxford, England)", "id" : "ITEM-1", "issue" : "9", "issued" : { "date-parts" : [ [ "2014", "5", "1" ] ] }, "page" : "1333-5", "title" : "INCA: a computational platform for isotopically non-stationary metabolic flux analysis.", "type" : "article-journal", "volume" : "30" }, "uris" : [ "http://www.mendeley.com/documents/?uuid=96c1a9f3-2e07-4407-b70a-aba619ba067a" ] } ], "mendeley" : { "formattedCitation" : "[39]", "plainTextFormattedCitation" : "[39]", "previouslyFormattedCitation" : "[39]" }, "properties" : { "noteIndex" : 0 }, "schema" : "https://github.com/citation-style-language/schema/raw/master/csl-citation.json" }</w:instrText>
      </w:r>
      <w:r w:rsidR="00D7281F" w:rsidRPr="000D5F05">
        <w:rPr>
          <w:rFonts w:cs="Arial"/>
          <w:szCs w:val="20"/>
        </w:rPr>
        <w:fldChar w:fldCharType="separate"/>
      </w:r>
      <w:r w:rsidR="0005386F" w:rsidRPr="0005386F">
        <w:rPr>
          <w:rFonts w:cs="Arial"/>
          <w:noProof/>
          <w:szCs w:val="20"/>
        </w:rPr>
        <w:t>[39]</w:t>
      </w:r>
      <w:r w:rsidR="00D7281F" w:rsidRPr="000D5F05">
        <w:rPr>
          <w:rFonts w:cs="Arial"/>
          <w:szCs w:val="20"/>
        </w:rPr>
        <w:fldChar w:fldCharType="end"/>
      </w:r>
      <w:r w:rsidR="00D7281F" w:rsidRPr="000D5F05">
        <w:rPr>
          <w:rFonts w:cs="Arial"/>
          <w:szCs w:val="20"/>
        </w:rPr>
        <w:t xml:space="preserve">. </w:t>
      </w:r>
    </w:p>
    <w:p w14:paraId="1EF2F37D" w14:textId="7A1956FB" w:rsidR="00DC59BD" w:rsidRPr="00E817EE" w:rsidRDefault="00433CDC" w:rsidP="00CA46F1">
      <w:pPr>
        <w:pStyle w:val="Heading2"/>
      </w:pPr>
      <w:bookmarkStart w:id="32" w:name="_Toc301521561"/>
      <w:bookmarkStart w:id="33" w:name="_Toc468311706"/>
      <w:r w:rsidRPr="00E817EE">
        <w:t>1.5 Goals</w:t>
      </w:r>
      <w:bookmarkEnd w:id="32"/>
      <w:r w:rsidR="0050107B">
        <w:t xml:space="preserve"> and d</w:t>
      </w:r>
      <w:r w:rsidR="00E05882">
        <w:t>issertation layout</w:t>
      </w:r>
      <w:bookmarkEnd w:id="33"/>
    </w:p>
    <w:p w14:paraId="20E76607" w14:textId="693EDD57" w:rsidR="00957B4E" w:rsidRPr="000D5F05" w:rsidRDefault="00E50332" w:rsidP="00957B4E">
      <w:pPr>
        <w:rPr>
          <w:rFonts w:cs="Arial"/>
          <w:szCs w:val="20"/>
        </w:rPr>
      </w:pPr>
      <w:r w:rsidRPr="000D5F05">
        <w:rPr>
          <w:rFonts w:cs="Arial"/>
          <w:szCs w:val="20"/>
        </w:rPr>
        <w:t xml:space="preserve">In </w:t>
      </w:r>
      <w:r w:rsidR="00940343">
        <w:rPr>
          <w:rFonts w:cs="Arial"/>
          <w:szCs w:val="20"/>
        </w:rPr>
        <w:t xml:space="preserve">order to facilitate and </w:t>
      </w:r>
      <w:r w:rsidRPr="000D5F05">
        <w:rPr>
          <w:rFonts w:cs="Arial"/>
          <w:szCs w:val="20"/>
        </w:rPr>
        <w:t>speed up the biotechnology application o</w:t>
      </w:r>
      <w:r w:rsidR="00B02388">
        <w:rPr>
          <w:rFonts w:cs="Arial"/>
          <w:szCs w:val="20"/>
        </w:rPr>
        <w:t xml:space="preserve">n </w:t>
      </w:r>
      <w:proofErr w:type="spellStart"/>
      <w:r w:rsidR="00B02388">
        <w:rPr>
          <w:rFonts w:cs="Arial"/>
          <w:szCs w:val="20"/>
        </w:rPr>
        <w:t>methylotrophs</w:t>
      </w:r>
      <w:proofErr w:type="spellEnd"/>
      <w:r w:rsidR="00B02388">
        <w:rPr>
          <w:rFonts w:cs="Arial"/>
          <w:szCs w:val="20"/>
        </w:rPr>
        <w:t xml:space="preserve">, basic </w:t>
      </w:r>
      <w:r w:rsidRPr="000D5F05">
        <w:rPr>
          <w:rFonts w:cs="Arial"/>
          <w:szCs w:val="20"/>
        </w:rPr>
        <w:t>questions</w:t>
      </w:r>
      <w:r w:rsidR="00B02388">
        <w:rPr>
          <w:rFonts w:cs="Arial"/>
          <w:szCs w:val="20"/>
        </w:rPr>
        <w:t xml:space="preserve"> about metabolism</w:t>
      </w:r>
      <w:r w:rsidRPr="000D5F05">
        <w:rPr>
          <w:rFonts w:cs="Arial"/>
          <w:szCs w:val="20"/>
        </w:rPr>
        <w:t xml:space="preserve"> need to be answered. With the advance of current genome sequence techniques and other </w:t>
      </w:r>
      <w:r w:rsidR="000150A6">
        <w:rPr>
          <w:rFonts w:cs="Arial"/>
          <w:szCs w:val="20"/>
        </w:rPr>
        <w:t>‘</w:t>
      </w:r>
      <w:r w:rsidRPr="000D5F05">
        <w:rPr>
          <w:rFonts w:cs="Arial"/>
          <w:szCs w:val="20"/>
        </w:rPr>
        <w:t>omics</w:t>
      </w:r>
      <w:r w:rsidR="000150A6">
        <w:rPr>
          <w:rFonts w:cs="Arial"/>
          <w:szCs w:val="20"/>
        </w:rPr>
        <w:t>’</w:t>
      </w:r>
      <w:r w:rsidRPr="000D5F05">
        <w:rPr>
          <w:rFonts w:cs="Arial"/>
          <w:szCs w:val="20"/>
        </w:rPr>
        <w:t xml:space="preserve"> technique, it is much easier nowadays to conduct investigation around specific </w:t>
      </w:r>
      <w:proofErr w:type="spellStart"/>
      <w:r w:rsidR="002F7697">
        <w:rPr>
          <w:rFonts w:cs="Arial"/>
          <w:szCs w:val="20"/>
        </w:rPr>
        <w:t>methylotroph</w:t>
      </w:r>
      <w:proofErr w:type="spellEnd"/>
      <w:r w:rsidR="002F7697">
        <w:rPr>
          <w:rFonts w:cs="Arial"/>
          <w:szCs w:val="20"/>
        </w:rPr>
        <w:t xml:space="preserve"> </w:t>
      </w:r>
      <w:r w:rsidRPr="000D5F05">
        <w:rPr>
          <w:rFonts w:cs="Arial"/>
          <w:szCs w:val="20"/>
        </w:rPr>
        <w:t xml:space="preserve">bacteria. The goal for my study is taking </w:t>
      </w:r>
      <w:r w:rsidR="00777F9A" w:rsidRPr="000D5F05">
        <w:rPr>
          <w:rFonts w:cs="Arial"/>
          <w:szCs w:val="20"/>
        </w:rPr>
        <w:t>metabolomics</w:t>
      </w:r>
      <w:r w:rsidRPr="000D5F05">
        <w:rPr>
          <w:rFonts w:cs="Arial"/>
          <w:szCs w:val="20"/>
        </w:rPr>
        <w:t xml:space="preserve"> and </w:t>
      </w:r>
      <w:proofErr w:type="spellStart"/>
      <w:r w:rsidRPr="000D5F05">
        <w:rPr>
          <w:rFonts w:cs="Arial"/>
          <w:szCs w:val="20"/>
        </w:rPr>
        <w:t>fluxomics</w:t>
      </w:r>
      <w:proofErr w:type="spellEnd"/>
      <w:r w:rsidRPr="000D5F05">
        <w:rPr>
          <w:rFonts w:cs="Arial"/>
          <w:szCs w:val="20"/>
        </w:rPr>
        <w:t xml:space="preserve"> </w:t>
      </w:r>
      <w:r w:rsidR="006970B1">
        <w:rPr>
          <w:rFonts w:cs="Arial"/>
          <w:szCs w:val="20"/>
        </w:rPr>
        <w:t>approaches</w:t>
      </w:r>
      <w:r w:rsidRPr="000D5F05">
        <w:rPr>
          <w:rFonts w:cs="Arial"/>
          <w:szCs w:val="20"/>
        </w:rPr>
        <w:t xml:space="preserve"> to understand</w:t>
      </w:r>
      <w:r w:rsidR="002A40BF">
        <w:rPr>
          <w:rFonts w:cs="Arial"/>
          <w:szCs w:val="20"/>
        </w:rPr>
        <w:t xml:space="preserve"> C1</w:t>
      </w:r>
      <w:r w:rsidR="00071C97">
        <w:rPr>
          <w:rFonts w:cs="Arial"/>
          <w:szCs w:val="20"/>
        </w:rPr>
        <w:t xml:space="preserve"> metabolism at the level of metabolites </w:t>
      </w:r>
      <w:r w:rsidR="002A40BF">
        <w:rPr>
          <w:rFonts w:cs="Arial"/>
          <w:szCs w:val="20"/>
        </w:rPr>
        <w:t>through</w:t>
      </w:r>
      <w:r w:rsidRPr="000D5F05">
        <w:rPr>
          <w:rFonts w:cs="Arial"/>
          <w:szCs w:val="20"/>
        </w:rPr>
        <w:t xml:space="preserve"> </w:t>
      </w:r>
      <w:r w:rsidR="000F591E">
        <w:rPr>
          <w:rFonts w:cs="Arial"/>
          <w:szCs w:val="20"/>
        </w:rPr>
        <w:t xml:space="preserve">two </w:t>
      </w:r>
      <w:r w:rsidR="004B1DC8">
        <w:rPr>
          <w:rFonts w:cs="Arial"/>
          <w:szCs w:val="20"/>
        </w:rPr>
        <w:t>strains</w:t>
      </w:r>
      <w:r w:rsidR="000F591E">
        <w:rPr>
          <w:rFonts w:cs="Arial"/>
          <w:szCs w:val="20"/>
        </w:rPr>
        <w:t xml:space="preserve"> of </w:t>
      </w:r>
      <w:proofErr w:type="spellStart"/>
      <w:r w:rsidR="000F591E">
        <w:rPr>
          <w:rFonts w:cs="Arial"/>
          <w:szCs w:val="20"/>
        </w:rPr>
        <w:t>methylothophs</w:t>
      </w:r>
      <w:proofErr w:type="spellEnd"/>
      <w:r w:rsidR="000F591E">
        <w:rPr>
          <w:rFonts w:cs="Arial"/>
          <w:szCs w:val="20"/>
        </w:rPr>
        <w:t xml:space="preserve">: </w:t>
      </w:r>
      <w:r w:rsidR="00FA509C" w:rsidRPr="00FA509C">
        <w:rPr>
          <w:rFonts w:cs="Arial"/>
          <w:i/>
          <w:szCs w:val="20"/>
        </w:rPr>
        <w:t>M</w:t>
      </w:r>
      <w:r w:rsidRPr="00FA509C">
        <w:rPr>
          <w:rFonts w:cs="Arial"/>
          <w:i/>
          <w:szCs w:val="20"/>
        </w:rPr>
        <w:t xml:space="preserve">ethylobacterium </w:t>
      </w:r>
      <w:proofErr w:type="spellStart"/>
      <w:r w:rsidRPr="00FA509C">
        <w:rPr>
          <w:rFonts w:cs="Arial"/>
          <w:i/>
          <w:szCs w:val="20"/>
        </w:rPr>
        <w:t>extorquens</w:t>
      </w:r>
      <w:proofErr w:type="spellEnd"/>
      <w:r w:rsidRPr="000D5F05">
        <w:rPr>
          <w:rFonts w:cs="Arial"/>
          <w:szCs w:val="20"/>
        </w:rPr>
        <w:t xml:space="preserve"> AM1 and </w:t>
      </w:r>
      <w:proofErr w:type="spellStart"/>
      <w:r w:rsidRPr="000D5F05">
        <w:rPr>
          <w:rFonts w:cs="Arial"/>
          <w:i/>
          <w:szCs w:val="20"/>
        </w:rPr>
        <w:t>Methylomicrobium</w:t>
      </w:r>
      <w:proofErr w:type="spellEnd"/>
      <w:r w:rsidRPr="000D5F05">
        <w:rPr>
          <w:rFonts w:cs="Arial"/>
          <w:i/>
          <w:szCs w:val="20"/>
        </w:rPr>
        <w:t xml:space="preserve"> buryatense</w:t>
      </w:r>
      <w:r w:rsidR="00EF2902">
        <w:rPr>
          <w:rFonts w:cs="Arial"/>
          <w:szCs w:val="20"/>
        </w:rPr>
        <w:t xml:space="preserve"> 5G.</w:t>
      </w:r>
    </w:p>
    <w:p w14:paraId="43B09455" w14:textId="33AFF2C3" w:rsidR="0094769A" w:rsidRDefault="0024090A" w:rsidP="0094769A">
      <w:pPr>
        <w:rPr>
          <w:rFonts w:cs="Arial"/>
          <w:szCs w:val="20"/>
        </w:rPr>
      </w:pPr>
      <w:r>
        <w:rPr>
          <w:rFonts w:cs="Arial"/>
          <w:szCs w:val="20"/>
        </w:rPr>
        <w:t xml:space="preserve">This thesis </w:t>
      </w:r>
      <w:r w:rsidR="003A1C73">
        <w:rPr>
          <w:rFonts w:cs="Arial"/>
          <w:szCs w:val="20"/>
        </w:rPr>
        <w:t>includes 4</w:t>
      </w:r>
      <w:r w:rsidR="001057C1">
        <w:rPr>
          <w:rFonts w:cs="Arial"/>
          <w:szCs w:val="20"/>
        </w:rPr>
        <w:t xml:space="preserve"> more chapters. In C</w:t>
      </w:r>
      <w:r w:rsidR="00957B4E" w:rsidRPr="000D5F05">
        <w:rPr>
          <w:rFonts w:cs="Arial"/>
          <w:szCs w:val="20"/>
        </w:rPr>
        <w:t xml:space="preserve">hapter 2, I will present the study of trade-off between growth rates and yield using </w:t>
      </w:r>
      <w:r w:rsidR="000F0102" w:rsidRPr="00FA509C">
        <w:rPr>
          <w:rFonts w:cs="Arial"/>
          <w:i/>
          <w:szCs w:val="20"/>
        </w:rPr>
        <w:t>M</w:t>
      </w:r>
      <w:r w:rsidR="000F0102">
        <w:rPr>
          <w:rFonts w:cs="Arial"/>
          <w:i/>
          <w:szCs w:val="20"/>
        </w:rPr>
        <w:t xml:space="preserve">. </w:t>
      </w:r>
      <w:proofErr w:type="spellStart"/>
      <w:r w:rsidR="000F0102" w:rsidRPr="00FA509C">
        <w:rPr>
          <w:rFonts w:cs="Arial"/>
          <w:i/>
          <w:szCs w:val="20"/>
        </w:rPr>
        <w:t>extorquens</w:t>
      </w:r>
      <w:proofErr w:type="spellEnd"/>
      <w:r w:rsidR="000F0102">
        <w:rPr>
          <w:rFonts w:cs="Arial"/>
          <w:szCs w:val="20"/>
        </w:rPr>
        <w:t xml:space="preserve"> </w:t>
      </w:r>
      <w:r w:rsidR="00957B4E" w:rsidRPr="000D5F05">
        <w:rPr>
          <w:rFonts w:cs="Arial"/>
          <w:szCs w:val="20"/>
        </w:rPr>
        <w:t xml:space="preserve">AM1 though stationary </w:t>
      </w:r>
      <w:r w:rsidR="00957B4E" w:rsidRPr="000D5F05">
        <w:rPr>
          <w:rFonts w:cs="Arial"/>
          <w:szCs w:val="20"/>
          <w:vertAlign w:val="superscript"/>
        </w:rPr>
        <w:t>13</w:t>
      </w:r>
      <w:r w:rsidR="00957B4E" w:rsidRPr="000D5F05">
        <w:rPr>
          <w:rFonts w:cs="Arial"/>
          <w:szCs w:val="20"/>
        </w:rPr>
        <w:t>C flux analysis</w:t>
      </w:r>
      <w:r w:rsidR="006F1E25">
        <w:rPr>
          <w:rFonts w:cs="Arial"/>
          <w:szCs w:val="20"/>
        </w:rPr>
        <w:t xml:space="preserve"> (this chapter has been </w:t>
      </w:r>
      <w:r w:rsidR="006F1E25">
        <w:rPr>
          <w:rFonts w:cs="Arial"/>
          <w:szCs w:val="20"/>
        </w:rPr>
        <w:lastRenderedPageBreak/>
        <w:t>published on BMC microbiology, 2016)</w:t>
      </w:r>
      <w:r w:rsidR="00A15F8C">
        <w:rPr>
          <w:rFonts w:cs="Arial"/>
          <w:szCs w:val="20"/>
        </w:rPr>
        <w:t>. In C</w:t>
      </w:r>
      <w:r w:rsidR="00957B4E" w:rsidRPr="000D5F05">
        <w:rPr>
          <w:rFonts w:cs="Arial"/>
          <w:szCs w:val="20"/>
        </w:rPr>
        <w:t>hapter 3</w:t>
      </w:r>
      <w:r w:rsidR="006F1E25">
        <w:rPr>
          <w:rFonts w:cs="Arial"/>
          <w:szCs w:val="20"/>
        </w:rPr>
        <w:t xml:space="preserve">, the central metabolism of </w:t>
      </w:r>
      <w:r w:rsidR="006F1E25">
        <w:rPr>
          <w:rFonts w:cs="Arial"/>
          <w:i/>
          <w:szCs w:val="20"/>
        </w:rPr>
        <w:t xml:space="preserve">M. </w:t>
      </w:r>
      <w:r w:rsidR="006F1E25" w:rsidRPr="000D5F05">
        <w:rPr>
          <w:rFonts w:cs="Arial"/>
          <w:i/>
          <w:szCs w:val="20"/>
        </w:rPr>
        <w:t>buryatense</w:t>
      </w:r>
      <w:r w:rsidR="006F1E25" w:rsidRPr="000D5F05">
        <w:rPr>
          <w:rFonts w:cs="Arial"/>
          <w:szCs w:val="20"/>
        </w:rPr>
        <w:t xml:space="preserve"> 5G</w:t>
      </w:r>
      <w:r w:rsidR="006F1E25">
        <w:rPr>
          <w:rFonts w:cs="Arial"/>
          <w:szCs w:val="20"/>
        </w:rPr>
        <w:t xml:space="preserve"> growing on methane was investigated using both stationary </w:t>
      </w:r>
      <w:r w:rsidR="006F1E25" w:rsidRPr="006F1E25">
        <w:rPr>
          <w:rFonts w:cs="Arial"/>
          <w:szCs w:val="20"/>
          <w:vertAlign w:val="superscript"/>
        </w:rPr>
        <w:t>13</w:t>
      </w:r>
      <w:r w:rsidR="006F1E25">
        <w:rPr>
          <w:rFonts w:cs="Arial"/>
          <w:szCs w:val="20"/>
        </w:rPr>
        <w:t xml:space="preserve">C flux analysis as well as mutant analysis. In this study, evidences of oxidative TCA cycle operating </w:t>
      </w:r>
      <w:r w:rsidR="0006255A">
        <w:rPr>
          <w:rFonts w:cs="Arial"/>
          <w:szCs w:val="20"/>
        </w:rPr>
        <w:t>were provided</w:t>
      </w:r>
      <w:r w:rsidR="00D52571">
        <w:rPr>
          <w:rFonts w:cs="Arial"/>
          <w:szCs w:val="20"/>
        </w:rPr>
        <w:t xml:space="preserve"> (manuscript submitted</w:t>
      </w:r>
      <w:r w:rsidR="000F3BE4">
        <w:rPr>
          <w:rFonts w:cs="Arial"/>
          <w:szCs w:val="20"/>
        </w:rPr>
        <w:t xml:space="preserve"> to Metabolic Engineering Journal, currently under review</w:t>
      </w:r>
      <w:r w:rsidR="006C3F53">
        <w:rPr>
          <w:rFonts w:cs="Arial"/>
          <w:szCs w:val="20"/>
        </w:rPr>
        <w:t>)</w:t>
      </w:r>
      <w:r w:rsidR="0006255A">
        <w:rPr>
          <w:rFonts w:cs="Arial"/>
          <w:szCs w:val="20"/>
        </w:rPr>
        <w:t xml:space="preserve">. In </w:t>
      </w:r>
      <w:r w:rsidR="00A15F8C">
        <w:rPr>
          <w:rFonts w:cs="Arial"/>
          <w:szCs w:val="20"/>
        </w:rPr>
        <w:t>C</w:t>
      </w:r>
      <w:r w:rsidR="00957B4E" w:rsidRPr="000D5F05">
        <w:rPr>
          <w:rFonts w:cs="Arial"/>
          <w:szCs w:val="20"/>
        </w:rPr>
        <w:t>hapter 4</w:t>
      </w:r>
      <w:r w:rsidR="006C3F53">
        <w:rPr>
          <w:rFonts w:cs="Arial"/>
          <w:szCs w:val="20"/>
        </w:rPr>
        <w:t>,</w:t>
      </w:r>
      <w:r w:rsidR="006C3F53" w:rsidRPr="006C3F53">
        <w:rPr>
          <w:rFonts w:cs="Arial"/>
          <w:szCs w:val="20"/>
        </w:rPr>
        <w:t xml:space="preserve"> </w:t>
      </w:r>
      <w:r w:rsidR="006C3F53">
        <w:rPr>
          <w:rFonts w:cs="Arial"/>
          <w:szCs w:val="20"/>
        </w:rPr>
        <w:t xml:space="preserve">the central metabolism of </w:t>
      </w:r>
      <w:r w:rsidR="006C3F53">
        <w:rPr>
          <w:rFonts w:cs="Arial"/>
          <w:i/>
          <w:szCs w:val="20"/>
        </w:rPr>
        <w:t xml:space="preserve">M. </w:t>
      </w:r>
      <w:r w:rsidR="006C3F53" w:rsidRPr="000D5F05">
        <w:rPr>
          <w:rFonts w:cs="Arial"/>
          <w:i/>
          <w:szCs w:val="20"/>
        </w:rPr>
        <w:t>buryatense</w:t>
      </w:r>
      <w:r w:rsidR="006C3F53" w:rsidRPr="000D5F05">
        <w:rPr>
          <w:rFonts w:cs="Arial"/>
          <w:szCs w:val="20"/>
        </w:rPr>
        <w:t xml:space="preserve"> 5G</w:t>
      </w:r>
      <w:r w:rsidR="006C3F53">
        <w:rPr>
          <w:rFonts w:cs="Arial"/>
          <w:szCs w:val="20"/>
        </w:rPr>
        <w:t xml:space="preserve"> growing on methanol was investigated using stationary </w:t>
      </w:r>
      <w:r w:rsidR="006C3F53" w:rsidRPr="006F1E25">
        <w:rPr>
          <w:rFonts w:cs="Arial"/>
          <w:szCs w:val="20"/>
          <w:vertAlign w:val="superscript"/>
        </w:rPr>
        <w:t>13</w:t>
      </w:r>
      <w:r w:rsidR="006C3F53">
        <w:rPr>
          <w:rFonts w:cs="Arial"/>
          <w:szCs w:val="20"/>
        </w:rPr>
        <w:t>C flux analysis, RNA-</w:t>
      </w:r>
      <w:proofErr w:type="spellStart"/>
      <w:r w:rsidR="006C3F53">
        <w:rPr>
          <w:rFonts w:cs="Arial"/>
          <w:szCs w:val="20"/>
        </w:rPr>
        <w:t>seq</w:t>
      </w:r>
      <w:proofErr w:type="spellEnd"/>
      <w:r w:rsidR="006C3F53">
        <w:rPr>
          <w:rFonts w:cs="Arial"/>
          <w:szCs w:val="20"/>
        </w:rPr>
        <w:t xml:space="preserve"> as well as targeted metabolomics.</w:t>
      </w:r>
      <w:r w:rsidR="008217A1">
        <w:rPr>
          <w:rFonts w:cs="Arial"/>
          <w:szCs w:val="20"/>
        </w:rPr>
        <w:t xml:space="preserve"> Significant </w:t>
      </w:r>
      <w:r w:rsidR="006C3F53">
        <w:rPr>
          <w:rFonts w:cs="Arial"/>
          <w:szCs w:val="20"/>
        </w:rPr>
        <w:t>metabolism rearrangement was found in the system when substrate shifted from methane to methanol</w:t>
      </w:r>
      <w:r w:rsidR="00E53D12">
        <w:rPr>
          <w:rFonts w:cs="Arial"/>
          <w:szCs w:val="20"/>
        </w:rPr>
        <w:t xml:space="preserve"> (manuscript in preparation)</w:t>
      </w:r>
      <w:r w:rsidR="006C3F53">
        <w:rPr>
          <w:rFonts w:cs="Arial"/>
          <w:szCs w:val="20"/>
        </w:rPr>
        <w:t xml:space="preserve">. </w:t>
      </w:r>
      <w:r w:rsidR="00A15F8C">
        <w:rPr>
          <w:rFonts w:cs="Arial"/>
          <w:szCs w:val="20"/>
        </w:rPr>
        <w:t>C</w:t>
      </w:r>
      <w:r>
        <w:rPr>
          <w:rFonts w:cs="Arial"/>
          <w:szCs w:val="20"/>
        </w:rPr>
        <w:t>hapter 5 summarized all the major findings and layout the future directions</w:t>
      </w:r>
      <w:r w:rsidR="00957B4E" w:rsidRPr="000D5F05">
        <w:rPr>
          <w:rFonts w:cs="Arial"/>
          <w:szCs w:val="20"/>
        </w:rPr>
        <w:t>.</w:t>
      </w:r>
      <w:bookmarkStart w:id="34" w:name="_Toc301521562"/>
    </w:p>
    <w:p w14:paraId="3987FBAB" w14:textId="77777777" w:rsidR="0057352C" w:rsidRDefault="0057352C">
      <w:pPr>
        <w:spacing w:line="240" w:lineRule="auto"/>
        <w:rPr>
          <w:rFonts w:eastAsiaTheme="majorEastAsia" w:cstheme="majorBidi"/>
          <w:b/>
          <w:bCs/>
          <w:sz w:val="28"/>
          <w:szCs w:val="32"/>
        </w:rPr>
      </w:pPr>
      <w:bookmarkStart w:id="35" w:name="_Toc301514130"/>
      <w:bookmarkStart w:id="36" w:name="_Toc301520591"/>
      <w:bookmarkStart w:id="37" w:name="_Toc301521563"/>
      <w:bookmarkEnd w:id="34"/>
      <w:r>
        <w:br w:type="page"/>
      </w:r>
    </w:p>
    <w:p w14:paraId="0D7C6628" w14:textId="24FA8333" w:rsidR="00DE731E" w:rsidRPr="005C55F9" w:rsidRDefault="004D6888" w:rsidP="005C55F9">
      <w:pPr>
        <w:pStyle w:val="Heading1"/>
      </w:pPr>
      <w:bookmarkStart w:id="38" w:name="_Toc468311707"/>
      <w:r w:rsidRPr="005C55F9">
        <w:lastRenderedPageBreak/>
        <w:t>Chapter 2</w:t>
      </w:r>
      <w:r w:rsidR="005C55F9" w:rsidRPr="005C55F9">
        <w:t xml:space="preserve">: </w:t>
      </w:r>
      <w:r w:rsidR="00DE731E" w:rsidRPr="005C55F9">
        <w:t xml:space="preserve">Difference in C3-C4 metabolism underlies tradeoff between growth rate and biomass yield in Methylobacterium </w:t>
      </w:r>
      <w:proofErr w:type="spellStart"/>
      <w:r w:rsidR="00DE731E" w:rsidRPr="005C55F9">
        <w:t>extorquens</w:t>
      </w:r>
      <w:proofErr w:type="spellEnd"/>
      <w:r w:rsidR="00DE731E" w:rsidRPr="005C55F9">
        <w:t xml:space="preserve"> AM1</w:t>
      </w:r>
      <w:bookmarkEnd w:id="35"/>
      <w:bookmarkEnd w:id="36"/>
      <w:bookmarkEnd w:id="37"/>
      <w:bookmarkEnd w:id="38"/>
    </w:p>
    <w:p w14:paraId="7BBF8EA0" w14:textId="22A76F2B" w:rsidR="00190993" w:rsidRDefault="00190993" w:rsidP="00C41689">
      <w:pPr>
        <w:pStyle w:val="Heading2"/>
        <w:divId w:val="1326516459"/>
      </w:pPr>
      <w:bookmarkStart w:id="39" w:name="_Toc468311708"/>
      <w:r w:rsidRPr="00C41689">
        <w:t>Abstract</w:t>
      </w:r>
      <w:bookmarkEnd w:id="39"/>
    </w:p>
    <w:p w14:paraId="0C2D6E8F" w14:textId="77777777" w:rsidR="00C41689" w:rsidRDefault="00C41689" w:rsidP="00C41689">
      <w:pPr>
        <w:divId w:val="1326516459"/>
        <w:rPr>
          <w:lang w:eastAsia="zh-CN"/>
        </w:rPr>
      </w:pPr>
      <w:r>
        <w:rPr>
          <w:lang w:eastAsia="zh-CN"/>
        </w:rPr>
        <w:t xml:space="preserve">Background: </w:t>
      </w:r>
      <w:r w:rsidRPr="00F3539B">
        <w:rPr>
          <w:lang w:eastAsia="zh-CN"/>
        </w:rPr>
        <w:t xml:space="preserve">Two variants </w:t>
      </w:r>
      <w:r w:rsidRPr="00FA2BAC">
        <w:rPr>
          <w:lang w:eastAsia="zh-CN"/>
        </w:rPr>
        <w:t xml:space="preserve">of </w:t>
      </w:r>
      <w:r w:rsidRPr="00FA2BAC">
        <w:rPr>
          <w:i/>
          <w:lang w:eastAsia="zh-CN"/>
        </w:rPr>
        <w:t xml:space="preserve">Methylobacterium </w:t>
      </w:r>
      <w:proofErr w:type="spellStart"/>
      <w:r w:rsidRPr="00FA2BAC">
        <w:rPr>
          <w:i/>
          <w:lang w:eastAsia="zh-CN"/>
        </w:rPr>
        <w:t>extorquens</w:t>
      </w:r>
      <w:proofErr w:type="spellEnd"/>
      <w:r w:rsidRPr="00F3539B">
        <w:rPr>
          <w:i/>
          <w:lang w:eastAsia="zh-CN"/>
        </w:rPr>
        <w:t xml:space="preserve"> </w:t>
      </w:r>
      <w:r w:rsidRPr="00F3539B">
        <w:rPr>
          <w:lang w:eastAsia="zh-CN"/>
        </w:rPr>
        <w:t>AM1 demonstrate</w:t>
      </w:r>
      <w:r>
        <w:rPr>
          <w:lang w:eastAsia="zh-CN"/>
        </w:rPr>
        <w:t>d</w:t>
      </w:r>
      <w:r w:rsidRPr="00F3539B">
        <w:rPr>
          <w:lang w:eastAsia="zh-CN"/>
        </w:rPr>
        <w:t xml:space="preserve"> a trade-o</w:t>
      </w:r>
      <w:r>
        <w:rPr>
          <w:lang w:eastAsia="zh-CN"/>
        </w:rPr>
        <w:t>ff between growth rate and biomass yield</w:t>
      </w:r>
      <w:r w:rsidRPr="00F3539B">
        <w:rPr>
          <w:lang w:eastAsia="zh-CN"/>
        </w:rPr>
        <w:t xml:space="preserve">. </w:t>
      </w:r>
      <w:r>
        <w:rPr>
          <w:lang w:eastAsia="zh-CN"/>
        </w:rPr>
        <w:t>In addition</w:t>
      </w:r>
      <w:r w:rsidRPr="00F3539B">
        <w:rPr>
          <w:lang w:eastAsia="zh-CN"/>
        </w:rPr>
        <w:t xml:space="preserve">, </w:t>
      </w:r>
      <w:r>
        <w:rPr>
          <w:lang w:eastAsia="zh-CN"/>
        </w:rPr>
        <w:t>growth rate and biomass yield were also affected by supplementation of growth medium with different amounts of cobalt</w:t>
      </w:r>
      <w:r w:rsidRPr="00F3539B">
        <w:rPr>
          <w:lang w:eastAsia="zh-CN"/>
        </w:rPr>
        <w:t xml:space="preserve">. </w:t>
      </w:r>
      <w:r>
        <w:rPr>
          <w:lang w:eastAsia="zh-CN"/>
        </w:rPr>
        <w:t>The m</w:t>
      </w:r>
      <w:r w:rsidRPr="00F3539B">
        <w:rPr>
          <w:lang w:eastAsia="zh-CN"/>
        </w:rPr>
        <w:t xml:space="preserve">etabolism change relating to these growth phenomena as well as the trade-off was </w:t>
      </w:r>
      <w:r>
        <w:rPr>
          <w:lang w:eastAsia="zh-CN"/>
        </w:rPr>
        <w:t>investigated</w:t>
      </w:r>
      <w:r w:rsidRPr="00F3539B">
        <w:rPr>
          <w:lang w:eastAsia="zh-CN"/>
        </w:rPr>
        <w:t xml:space="preserve"> in this study. </w:t>
      </w:r>
      <w:r w:rsidRPr="00EF30DE">
        <w:rPr>
          <w:vertAlign w:val="superscript"/>
          <w:lang w:eastAsia="zh-CN"/>
        </w:rPr>
        <w:t>13</w:t>
      </w:r>
      <w:r w:rsidRPr="00F3539B">
        <w:rPr>
          <w:lang w:eastAsia="zh-CN"/>
        </w:rPr>
        <w:t xml:space="preserve">C metabolic flux analysis was used to generate </w:t>
      </w:r>
      <w:r>
        <w:rPr>
          <w:lang w:eastAsia="zh-CN"/>
        </w:rPr>
        <w:t xml:space="preserve">a </w:t>
      </w:r>
      <w:r w:rsidRPr="00F3539B">
        <w:rPr>
          <w:lang w:eastAsia="zh-CN"/>
        </w:rPr>
        <w:t xml:space="preserve">detailed central carbon metabolic flux map with both absolute and normalized flux value. </w:t>
      </w:r>
    </w:p>
    <w:p w14:paraId="45F72E0E" w14:textId="77777777" w:rsidR="00C41689" w:rsidRDefault="00C41689" w:rsidP="00C41689">
      <w:pPr>
        <w:divId w:val="1326516459"/>
        <w:rPr>
          <w:lang w:eastAsia="zh-CN"/>
        </w:rPr>
      </w:pPr>
      <w:r>
        <w:rPr>
          <w:lang w:eastAsia="zh-CN"/>
        </w:rPr>
        <w:t xml:space="preserve">Results: </w:t>
      </w:r>
      <w:r w:rsidRPr="001A76B7">
        <w:rPr>
          <w:lang w:eastAsia="zh-CN"/>
        </w:rPr>
        <w:t xml:space="preserve">The major differences </w:t>
      </w:r>
      <w:r>
        <w:rPr>
          <w:lang w:eastAsia="zh-CN"/>
        </w:rPr>
        <w:t>between the two variants occurred</w:t>
      </w:r>
      <w:r w:rsidRPr="001A76B7">
        <w:rPr>
          <w:lang w:eastAsia="zh-CN"/>
        </w:rPr>
        <w:t xml:space="preserve"> </w:t>
      </w:r>
      <w:r>
        <w:rPr>
          <w:lang w:eastAsia="zh-CN"/>
        </w:rPr>
        <w:t xml:space="preserve">at the </w:t>
      </w:r>
      <w:proofErr w:type="spellStart"/>
      <w:r w:rsidRPr="001A76B7">
        <w:rPr>
          <w:lang w:eastAsia="zh-CN"/>
        </w:rPr>
        <w:t>formate</w:t>
      </w:r>
      <w:proofErr w:type="spellEnd"/>
      <w:r w:rsidRPr="001A76B7">
        <w:rPr>
          <w:lang w:eastAsia="zh-CN"/>
        </w:rPr>
        <w:t xml:space="preserve"> node as well as </w:t>
      </w:r>
      <w:r>
        <w:rPr>
          <w:lang w:eastAsia="zh-CN"/>
        </w:rPr>
        <w:t xml:space="preserve">within </w:t>
      </w:r>
      <w:r w:rsidRPr="001A76B7">
        <w:rPr>
          <w:lang w:eastAsia="zh-CN"/>
        </w:rPr>
        <w:t xml:space="preserve">C3-C4 inter-conversion pathways. </w:t>
      </w:r>
      <w:r>
        <w:rPr>
          <w:lang w:eastAsia="zh-CN"/>
        </w:rPr>
        <w:t>H</w:t>
      </w:r>
      <w:r w:rsidRPr="001A76B7">
        <w:rPr>
          <w:lang w:eastAsia="zh-CN"/>
        </w:rPr>
        <w:t>igher</w:t>
      </w:r>
      <w:r>
        <w:rPr>
          <w:lang w:eastAsia="zh-CN"/>
        </w:rPr>
        <w:t xml:space="preserve"> relative</w:t>
      </w:r>
      <w:r w:rsidRPr="001A76B7">
        <w:rPr>
          <w:lang w:eastAsia="zh-CN"/>
        </w:rPr>
        <w:t xml:space="preserve"> flux through </w:t>
      </w:r>
      <w:proofErr w:type="spellStart"/>
      <w:r>
        <w:rPr>
          <w:lang w:eastAsia="zh-CN"/>
        </w:rPr>
        <w:t>formyltetrahydrofolate</w:t>
      </w:r>
      <w:proofErr w:type="spellEnd"/>
      <w:r>
        <w:rPr>
          <w:lang w:eastAsia="zh-CN"/>
        </w:rPr>
        <w:t xml:space="preserve"> ligase, phosphoenolpyruvate carboxylase, and malic enzyme </w:t>
      </w:r>
      <w:r w:rsidRPr="001A76B7">
        <w:rPr>
          <w:lang w:eastAsia="zh-CN"/>
        </w:rPr>
        <w:t xml:space="preserve">led to higher biomass yield, while higher </w:t>
      </w:r>
      <w:r>
        <w:rPr>
          <w:lang w:eastAsia="zh-CN"/>
        </w:rPr>
        <w:t xml:space="preserve">relative </w:t>
      </w:r>
      <w:r w:rsidRPr="001A76B7">
        <w:rPr>
          <w:lang w:eastAsia="zh-CN"/>
        </w:rPr>
        <w:t xml:space="preserve">flux through </w:t>
      </w:r>
      <w:r>
        <w:rPr>
          <w:lang w:eastAsia="zh-CN"/>
        </w:rPr>
        <w:t>pyruvate kinase and pyruvate dehydrogenase led to higher growth rate</w:t>
      </w:r>
      <w:r w:rsidRPr="001A76B7">
        <w:rPr>
          <w:lang w:eastAsia="zh-CN"/>
        </w:rPr>
        <w:t xml:space="preserve">. </w:t>
      </w:r>
      <w:r>
        <w:rPr>
          <w:lang w:eastAsia="zh-CN"/>
        </w:rPr>
        <w:t>These results</w:t>
      </w:r>
      <w:r w:rsidRPr="001A76B7">
        <w:rPr>
          <w:lang w:eastAsia="zh-CN"/>
        </w:rPr>
        <w:t xml:space="preserve"> were then tested by ph</w:t>
      </w:r>
      <w:r>
        <w:rPr>
          <w:lang w:eastAsia="zh-CN"/>
        </w:rPr>
        <w:t>e</w:t>
      </w:r>
      <w:r w:rsidRPr="001A76B7">
        <w:rPr>
          <w:lang w:eastAsia="zh-CN"/>
        </w:rPr>
        <w:t xml:space="preserve">notypic studies on </w:t>
      </w:r>
      <w:r>
        <w:rPr>
          <w:lang w:eastAsia="zh-CN"/>
        </w:rPr>
        <w:t>three</w:t>
      </w:r>
      <w:r w:rsidRPr="001A76B7">
        <w:rPr>
          <w:lang w:eastAsia="zh-CN"/>
        </w:rPr>
        <w:t xml:space="preserve"> mutants</w:t>
      </w:r>
      <w:r>
        <w:rPr>
          <w:lang w:eastAsia="zh-CN"/>
        </w:rPr>
        <w:t xml:space="preserve"> (null </w:t>
      </w:r>
      <w:proofErr w:type="spellStart"/>
      <w:r>
        <w:rPr>
          <w:i/>
          <w:lang w:eastAsia="zh-CN"/>
        </w:rPr>
        <w:t>pyk</w:t>
      </w:r>
      <w:proofErr w:type="spellEnd"/>
      <w:r>
        <w:rPr>
          <w:i/>
          <w:lang w:eastAsia="zh-CN"/>
        </w:rPr>
        <w:t xml:space="preserve">, </w:t>
      </w:r>
      <w:r>
        <w:rPr>
          <w:lang w:eastAsia="zh-CN"/>
        </w:rPr>
        <w:t xml:space="preserve">null </w:t>
      </w:r>
      <w:proofErr w:type="spellStart"/>
      <w:r w:rsidRPr="003F5526">
        <w:rPr>
          <w:i/>
        </w:rPr>
        <w:t>pck</w:t>
      </w:r>
      <w:proofErr w:type="spellEnd"/>
      <w:r>
        <w:rPr>
          <w:i/>
        </w:rPr>
        <w:t xml:space="preserve"> </w:t>
      </w:r>
      <w:r>
        <w:t xml:space="preserve">mutant and null </w:t>
      </w:r>
      <w:proofErr w:type="spellStart"/>
      <w:r>
        <w:rPr>
          <w:i/>
        </w:rPr>
        <w:t>dme</w:t>
      </w:r>
      <w:proofErr w:type="spellEnd"/>
      <w:r>
        <w:rPr>
          <w:i/>
        </w:rPr>
        <w:t xml:space="preserve"> </w:t>
      </w:r>
      <w:r>
        <w:t>mutant) in both variants</w:t>
      </w:r>
      <w:r>
        <w:rPr>
          <w:lang w:eastAsia="zh-CN"/>
        </w:rPr>
        <w:t xml:space="preserve">, which agreed with the </w:t>
      </w:r>
      <w:r w:rsidRPr="001A76B7">
        <w:rPr>
          <w:lang w:eastAsia="zh-CN"/>
        </w:rPr>
        <w:t>model prediction.</w:t>
      </w:r>
    </w:p>
    <w:p w14:paraId="36AE9B37" w14:textId="77777777" w:rsidR="00C41689" w:rsidRPr="007A570E" w:rsidRDefault="00C41689" w:rsidP="00C41689">
      <w:pPr>
        <w:divId w:val="1326516459"/>
        <w:rPr>
          <w:lang w:eastAsia="zh-CN"/>
        </w:rPr>
      </w:pPr>
      <w:r>
        <w:rPr>
          <w:lang w:eastAsia="zh-CN"/>
        </w:rPr>
        <w:t xml:space="preserve">Conclusions: In this study, </w:t>
      </w:r>
      <w:r w:rsidRPr="001A76B7">
        <w:rPr>
          <w:vertAlign w:val="superscript"/>
          <w:lang w:eastAsia="zh-CN"/>
        </w:rPr>
        <w:t>13</w:t>
      </w:r>
      <w:r>
        <w:rPr>
          <w:lang w:eastAsia="zh-CN"/>
        </w:rPr>
        <w:t xml:space="preserve">C metabolic flux analysis for two strain variants of </w:t>
      </w:r>
      <w:r w:rsidRPr="00EF30DE">
        <w:rPr>
          <w:i/>
          <w:lang w:eastAsia="zh-CN"/>
        </w:rPr>
        <w:t>M.</w:t>
      </w:r>
      <w:r>
        <w:rPr>
          <w:lang w:eastAsia="zh-CN"/>
        </w:rPr>
        <w:t xml:space="preserve"> </w:t>
      </w:r>
      <w:proofErr w:type="spellStart"/>
      <w:r w:rsidRPr="00EF30DE">
        <w:rPr>
          <w:i/>
          <w:lang w:eastAsia="zh-CN"/>
        </w:rPr>
        <w:t>extorquens</w:t>
      </w:r>
      <w:proofErr w:type="spellEnd"/>
      <w:r>
        <w:rPr>
          <w:lang w:eastAsia="zh-CN"/>
        </w:rPr>
        <w:t xml:space="preserve">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w:t>
      </w:r>
    </w:p>
    <w:p w14:paraId="2F2CB7E3" w14:textId="77777777" w:rsidR="009855DF" w:rsidRPr="0055587D" w:rsidRDefault="009855DF" w:rsidP="00190993">
      <w:pPr>
        <w:pStyle w:val="Heading2"/>
        <w:divId w:val="1326516459"/>
      </w:pPr>
      <w:bookmarkStart w:id="40" w:name="_Toc468311709"/>
      <w:r w:rsidRPr="0055587D">
        <w:t>Background</w:t>
      </w:r>
      <w:bookmarkEnd w:id="40"/>
    </w:p>
    <w:p w14:paraId="6197449F" w14:textId="32360FD4" w:rsidR="009855DF" w:rsidRPr="0055587D" w:rsidRDefault="009855DF" w:rsidP="00C41689">
      <w:pPr>
        <w:divId w:val="1326516459"/>
      </w:pPr>
      <w:r w:rsidRPr="0055587D">
        <w:rPr>
          <w:i/>
        </w:rPr>
        <w:t xml:space="preserve">Methylobacterium </w:t>
      </w:r>
      <w:proofErr w:type="spellStart"/>
      <w:r w:rsidRPr="0055587D">
        <w:rPr>
          <w:i/>
        </w:rPr>
        <w:t>extorquens</w:t>
      </w:r>
      <w:proofErr w:type="spellEnd"/>
      <w:r w:rsidRPr="0055587D">
        <w:rPr>
          <w:i/>
        </w:rPr>
        <w:t xml:space="preserve"> </w:t>
      </w:r>
      <w:r w:rsidRPr="0055587D">
        <w:t>AM1 is a facultative α-</w:t>
      </w:r>
      <w:proofErr w:type="spellStart"/>
      <w:r w:rsidRPr="0055587D">
        <w:t>proteobacterial</w:t>
      </w:r>
      <w:proofErr w:type="spellEnd"/>
      <w:r w:rsidRPr="0055587D">
        <w:t xml:space="preserve"> </w:t>
      </w:r>
      <w:proofErr w:type="spellStart"/>
      <w:r w:rsidRPr="0055587D">
        <w:t>methylotroph</w:t>
      </w:r>
      <w:proofErr w:type="spellEnd"/>
      <w:r w:rsidRPr="0055587D">
        <w:t>, that has been studied intensively over 50 years</w:t>
      </w:r>
      <w:r>
        <w:t xml:space="preserve"> </w:t>
      </w:r>
      <w:r w:rsidRPr="0055587D">
        <w:fldChar w:fldCharType="begin" w:fldLock="1"/>
      </w:r>
      <w:r w:rsidR="008C0508">
        <w:instrText>ADDIN CSL_CITATION { "citationItems" : [ { "id" : "ITEM-1", "itemData" : { "ISSN" : "0264-6021", "PMID" : "14462405", "author" : [ { "dropping-particle" : "", "family" : "LARGE", "given" : "P J", "non-dropping-particle" : "", "parse-names" : false, "suffix" : "" }, { "dropping-particle" : "", "family" : "PEEL", "given" : "D", "non-dropping-particle" : "", "parse-names" : false, "suffix" : "" }, { "dropping-particle" : "", "family" : "QUAYLE", "given" : "J R", "non-dropping-particle" : "", "parse-names" : false, "suffix" : "" } ], "container-title" : "The Biochemical journal", "id" : "ITEM-1", "issued" : { "date-parts" : [ [ "1961", "12" ] ] }, "note" : "AS A MODEL C1 SYSTEM", "page" : "470-80", "title" : "Microbial growth on C1 compounds. II. Synthesis of cell constituents by methanol- and formate-grown Pseudomonas AM 1, and methanol-grown Hyphomicrobium vulgare.", "type" : "article-journal", "volume" : "81" }, "uris" : [ "http://www.mendeley.com/documents/?uuid=cafea0d1-18cd-4b0a-993e-bac95c26c064" ] } ], "mendeley" : { "formattedCitation" : "[40]", "plainTextFormattedCitation" : "[40]", "previouslyFormattedCitation" : "[40]" }, "properties" : { "noteIndex" : 0 }, "schema" : "https://github.com/citation-style-language/schema/raw/master/csl-citation.json" }</w:instrText>
      </w:r>
      <w:r w:rsidRPr="0055587D">
        <w:fldChar w:fldCharType="separate"/>
      </w:r>
      <w:r w:rsidR="0005386F" w:rsidRPr="0005386F">
        <w:rPr>
          <w:noProof/>
        </w:rPr>
        <w:t>[40]</w:t>
      </w:r>
      <w:r w:rsidRPr="0055587D">
        <w:fldChar w:fldCharType="end"/>
      </w:r>
      <w:r w:rsidRPr="0055587D">
        <w:t xml:space="preserve">. The availability of the </w:t>
      </w:r>
      <w:r w:rsidRPr="0023217E">
        <w:t xml:space="preserve">genome sequence for </w:t>
      </w:r>
      <w:r w:rsidRPr="00211610">
        <w:rPr>
          <w:i/>
        </w:rPr>
        <w:t xml:space="preserve">M. </w:t>
      </w:r>
      <w:proofErr w:type="spellStart"/>
      <w:r w:rsidRPr="00211610">
        <w:rPr>
          <w:i/>
        </w:rPr>
        <w:t>extorquens</w:t>
      </w:r>
      <w:proofErr w:type="spellEnd"/>
      <w:r w:rsidRPr="00211610">
        <w:rPr>
          <w:i/>
        </w:rPr>
        <w:t xml:space="preserve"> </w:t>
      </w:r>
      <w:r w:rsidR="00A70E67">
        <w:t>AM1</w:t>
      </w:r>
      <w:r w:rsidR="001522F9">
        <w:t xml:space="preserve"> </w:t>
      </w:r>
      <w:r w:rsidRPr="0055587D">
        <w:rPr>
          <w:lang w:eastAsia="zh-CN"/>
        </w:rPr>
        <w:fldChar w:fldCharType="begin" w:fldLock="1"/>
      </w:r>
      <w:r w:rsidR="00AF0B7D">
        <w:rPr>
          <w:lang w:eastAsia="zh-CN"/>
        </w:rPr>
        <w:instrText>ADDIN CSL_CITATION { "citationItems" : [ { "id" : "ITEM-1", "itemData" : { "ISSN" : "0021-9193", "PMID" : "12730156", "author" : [ { "dropping-particle" : "", "family" : "Chistoserdova", "given" : "Ludmila", "non-dropping-particle" : "", "parse-names" : false, "suffix" : "" }, { "dropping-particle" : "", "family" : "Chen", "given" : "Sung-Wei", "non-dropping-particle" : "", "parse-names" : false, "suffix" : "" }, { "dropping-particle" : "", "family" : "Lapidus", "given" : "Alla", "non-dropping-particle" : "", "parse-names" : false, "suffix" : "" }, { "dropping-particle" : "", "family" : "Lidstrom", "given" : "Mary E", "non-dropping-particle" : "", "parse-names" : false, "suffix" : "" } ], "container-title" : "Journal of bacteriology", "id" : "ITEM-1", "issue" : "10", "issued" : { "date-parts" : [ [ "2003", "5" ] ] }, "note" : "genome data citation", "page" : "2980-7", "title" : "Methylotrophy in Methylobacterium extorquens AM1 from a genomic point of view.", "type" : "article-journal", "volume" : "185" }, "uris" : [ "http://www.mendeley.com/documents/?uuid=fc3dbc2a-8215-4787-9ac4-d60b3d5afed2" ] } ], "mendeley" : { "formattedCitation" : "[18]", "plainTextFormattedCitation" : "[18]", "previouslyFormattedCitation" : "[18]" }, "properties" : { "noteIndex" : 0 }, "schema" : "https://github.com/citation-style-language/schema/raw/master/csl-citation.json" }</w:instrText>
      </w:r>
      <w:r w:rsidRPr="0055587D">
        <w:rPr>
          <w:lang w:eastAsia="zh-CN"/>
        </w:rPr>
        <w:fldChar w:fldCharType="separate"/>
      </w:r>
      <w:r w:rsidR="00300EB6" w:rsidRPr="00300EB6">
        <w:rPr>
          <w:noProof/>
          <w:lang w:eastAsia="zh-CN"/>
        </w:rPr>
        <w:t>[18]</w:t>
      </w:r>
      <w:r w:rsidRPr="0055587D">
        <w:rPr>
          <w:lang w:eastAsia="zh-CN"/>
        </w:rPr>
        <w:fldChar w:fldCharType="end"/>
      </w:r>
      <w:r w:rsidRPr="0055587D">
        <w:t xml:space="preserve">, intensive developments </w:t>
      </w:r>
      <w:r>
        <w:t>of</w:t>
      </w:r>
      <w:r w:rsidRPr="0055587D">
        <w:t xml:space="preserve"> genetic tools</w:t>
      </w:r>
      <w:r w:rsidR="001522F9">
        <w:t xml:space="preserve"> </w:t>
      </w:r>
      <w:r w:rsidRPr="0055587D">
        <w:fldChar w:fldCharType="begin" w:fldLock="1"/>
      </w:r>
      <w:r w:rsidR="008C0508">
        <w:instrText>ADDIN CSL_CITATION { "citationItems" : [ { "id" : "ITEM-1", "itemData" : { "DOI" : "10.1186/1756-0500-1-1", "ISSN" : "1756-0500", "PMID" : "18710539", "abstract" : "BACKGROUND: Although genome sequences are available for an ever-increasing number of bacterial species, the availability of facile genetic tools for physiological analysis have generally lagged substantially behind traditional genetic models.\n\nRESULTS: Here I describe the development of an improved, broad-host-range \"in-out\" allelic exchange vector, pCM433, which permits the generation of clean, marker-free genetic manipulations. Wild-type and mutant alleles were reciprocally exchanged at three loci in Methylobacterium extorquens AM1 in order to demonstrate the utility of pCM433.\n\nCONCLUSION: The broad-host-range vector for marker-free allelic exchange described here, pCM433, has the advantages of a high copy, general Escherichia coli replicon for easy cloning, an IncP oriT enabling conjugal transfer, an extensive set of restriction sites in its polylinker, three antibiotic markers, and sacB (encoding levansucrase) for negative selection upon sucrose plates. These traits should permit pCM433 to be broadly applied across many bacterial taxa for marker-free allelic exchange, which is particularly important if multiple manipulations or more subtle genetic manipulations such as point mutations are desired.", "author" : [ { "dropping-particle" : "", "family" : "Marx", "given" : "Christopher J", "non-dropping-particle" : "", "parse-names" : false, "suffix" : "" } ], "container-title" : "BMC research notes", "id" : "ITEM-1", "issue" : "1", "issued" : { "date-parts" : [ [ "2008", "1" ] ] }, "note" : "genetic tools for am1 gene modification\n", "page" : "1", "title" : "Development of a broad-host-range sacB-based vector for unmarked allelic exchange.", "type" : "article-journal", "volume" : "1" }, "uris" : [ "http://www.mendeley.com/documents/?uuid=094f2cac-98dd-4c3e-b1aa-3dded6abfb34" ] }, { "id" : "ITEM-2", "itemData" : { "DOI" : "10.1186/1756-0500-6-183", "ISSN" : "1756-0500", "PMID" : "23648175", "abstract" : "BACKGROUND: Due to the ever increasing use of diverse microbial taxa in basic research and industrial settings, there is a growing need for genetic tools to alter the physiology of these organisms. In particular, there is a dearth of inducible expression systems available for bacteria outside commonly used \u03b3-proteobacteria, such as Escherichia coli or Pseudomonas species. To this end, we have sought to develop a pair of inducible expression vectors for use in the \u03b1-proteobacterium Methylobacterium extorquens, a model methylotroph.\n\nFINDINGS: We found that the P(R) promoter from rhizobial phage 16-3 was active in M. extorquens and engineered the promoter to be inducible by either p-isopropyl benzoate (cumate) or anhydrotetracycline. These hybrid promoters, P(R/cmtO) and P(R/tetO), were found to have high levels of expression in M. extorquens with a regulatory range of 10-fold and 30-fold, respectively. Compared to an existing cumate-inducible (10-fold range), high-level expression system for M. extorquens, P(R/cmtO) and P(R/tetO) have 33% of the maximal activity but were able to repress gene expression 3 and 8-fold greater, respectively. Both promoters were observed to exhibit homogeneous, titratable activation dynamics rather than on-off, switch-like behavior. The utility of these promoters was further demonstrated by complementing loss of function of ftfL--essential for growth on methanol--where we show P(R/tetO) is capable of not only fully complementing function but also producing a conditional null phenotype. These promoters have been incorporated into a broad-host-range backbone allowing for potential use in a variety of bacterial hosts.\n\nCONCLUSIONS: We have developed two novel expression systems for use in M. extorquens. The expression range of these vectors should allow for increased ability to explore cellular physiology in M. extorquens. Further, the P(R/tetO) promoter is capable of producing conditional null phenotypes, previously unattainable in M. extorquens. As both expression systems rely on the use of membrane permeable inducers, we suspect these expression vectors will be useful for ectopic gene expression in numerous proteobacteria.", "author" : [ { "dropping-particle" : "", "family" : "Chubiz", "given" : "Lon M", "non-dropping-particle" : "", "parse-names" : false, "suffix" : "" }, { "dropping-particle" : "", "family" : "Purswani", "given" : "Jessica", "non-dropping-particle" : "", "parse-names" : false, "suffix" : "" }, { "dropping-particle" : "", "family" : "Carroll", "given" : "Sean Michael", "non-dropping-particle" : "", "parse-names" : false, "suffix" : "" }, { "dropping-particle" : "", "family" : "Marx", "given" : "Chistopher J", "non-dropping-particle" : "", "parse-names" : false, "suffix" : "" } ], "container-title" : "BMC research notes", "id" : "ITEM-2", "issue" : "1", "issued" : { "date-parts" : [ [ "2013", "1" ] ] }, "note" : "Marx CJ.\nChris Marx about inducible expression vectorMarx CJ.Marx CJ.", "page" : "183", "title" : "A novel pair of inducible expression vectors for use in Methylobacterium extorquens.", "type" : "article-journal", "volume" : "6" }, "uris" : [ "http://www.mendeley.com/documents/?uuid=74c23131-2434-4403-a2f2-bd8c62331c49" ] } ], "mendeley" : { "formattedCitation" : "[41, 42]", "plainTextFormattedCitation" : "[41, 42]", "previouslyFormattedCitation" : "[41, 42]" }, "properties" : { "noteIndex" : 0 }, "schema" : "https://github.com/citation-style-language/schema/raw/master/csl-citation.json" }</w:instrText>
      </w:r>
      <w:r w:rsidRPr="0055587D">
        <w:fldChar w:fldCharType="separate"/>
      </w:r>
      <w:r w:rsidR="0005386F" w:rsidRPr="0005386F">
        <w:rPr>
          <w:noProof/>
        </w:rPr>
        <w:t>[41, 42]</w:t>
      </w:r>
      <w:r w:rsidRPr="0055587D">
        <w:fldChar w:fldCharType="end"/>
      </w:r>
      <w:r w:rsidRPr="0055587D">
        <w:t>, and well-</w:t>
      </w:r>
      <w:r>
        <w:t>studied</w:t>
      </w:r>
      <w:r w:rsidRPr="0055587D">
        <w:t xml:space="preserve"> biochemistry and physiolog</w:t>
      </w:r>
      <w:r w:rsidRPr="0023217E">
        <w:t>y</w:t>
      </w:r>
      <w:r w:rsidRPr="00211610">
        <w:t xml:space="preserve"> have made the organism a model system for C1 metabolism. With the development of transcriptomics, proteomics, metabolomics and </w:t>
      </w:r>
      <w:proofErr w:type="spellStart"/>
      <w:r w:rsidRPr="00211610">
        <w:t>fluxomics</w:t>
      </w:r>
      <w:proofErr w:type="spellEnd"/>
      <w:r w:rsidRPr="00211610">
        <w:t xml:space="preserve">, studies on C1 metabolism in </w:t>
      </w:r>
      <w:r w:rsidRPr="00211610">
        <w:rPr>
          <w:i/>
        </w:rPr>
        <w:t xml:space="preserve">M. </w:t>
      </w:r>
      <w:proofErr w:type="spellStart"/>
      <w:r w:rsidRPr="00211610">
        <w:rPr>
          <w:i/>
        </w:rPr>
        <w:t>extorquens</w:t>
      </w:r>
      <w:proofErr w:type="spellEnd"/>
      <w:r w:rsidRPr="00211610">
        <w:rPr>
          <w:i/>
        </w:rPr>
        <w:t xml:space="preserve"> </w:t>
      </w:r>
      <w:r w:rsidRPr="00211610">
        <w:t>AM1</w:t>
      </w:r>
      <w:r w:rsidRPr="0055587D">
        <w:t xml:space="preserve"> have recently </w:t>
      </w:r>
      <w:r w:rsidRPr="0055587D">
        <w:lastRenderedPageBreak/>
        <w:t>been carried out using systems approaches</w:t>
      </w:r>
      <w:r>
        <w:t xml:space="preserve"> </w:t>
      </w:r>
      <w:r w:rsidRPr="0055587D">
        <w:fldChar w:fldCharType="begin" w:fldLock="1"/>
      </w:r>
      <w:r w:rsidR="008C0508">
        <w:instrText>ADDIN CSL_CITATION { "citationItems" : [ { "id" : "ITEM-1", "itemData" : { "DOI" : "10.1371/journal.pone.0014091", "ISSN" : "1932-6203", "PMID" : "21124828", "abstract" : "BACKGROUND: When organisms experience environmental change, how does their metabolic network reset and adapt to the new condition? Methylobacterium extorquens is a bacterium capable of growth on both multi- and single-carbon compounds. These different modes of growth utilize dramatically different central metabolic pathways with limited pathway overlap.\n\nMETHODOLOGY/PRINCIPAL FINDINGS: This study focused on the mechanisms of metabolic adaptation occurring during the transition from succinate growth (predicted to be energy-limited) to methanol growth (predicted to be reducing-power-limited), analyzing changes in carbon flux, gene expression, metabolites and enzymatic activities over time. Initially, cells experienced metabolic imbalance with excretion of metabolites, changes in nucleotide levels and cessation of cell growth. Though assimilatory pathways were induced rapidly, a transient block in carbon flow to biomass synthesis occurred, and enzymatic assays suggested methylene tetrahydrofolate dehydrogenase as one control point. This \"downstream priming\" mechanism ensures that significant carbon flux through these pathways does not occur until they are fully induced, precluding the buildup of toxic intermediates. Most metabolites that are required for growth on both carbon sources did not change significantly, even though transcripts and enzymatic activities required for their production changed radically, underscoring the concept of metabolic setpoints.\n\nCONCLUSIONS/SIGNIFICANCE: This multi-level approach has resulted in new insights into the metabolic strategies carried out to effect this shift between two dramatically different modes of growth and identified a number of potential flux control and regulatory check points as a further step toward understanding metabolic adaptation and the cellular strategies employed to maintain metabolic setpoints.", "author" : [ { "dropping-particle" : "", "family" : "Skovran", "given" : "Elizabeth", "non-dropping-particle" : "", "parse-names" : false, "suffix" : "" }, { "dropping-particle" : "", "family" : "Crowther", "given" : "Gregory J", "non-dropping-particle" : "", "parse-names" : false, "suffix" : "" }, { "dropping-particle" : "", "family" : "Guo", "given" : "Xiaofeng", "non-dropping-particle" : "", "parse-names" : false, "suffix" : "" }, { "dropping-particle" : "", "family" : "Yang", "given" : "Song", "non-dropping-particle" : "", "parse-names" : false, "suffix" : "" }, { "dropping-particle" : "", "family" : "Lidstrom", "given" : "Mary E", "non-dropping-particle" : "", "parse-names" : false, "suffix" : "" } ], "container-title" : "PloS one", "editor" : [ { "dropping-particle" : "", "family" : "Aramayo", "given" : "Rodolfo", "non-dropping-particle" : "", "parse-names" : false, "suffix" : "" } ], "id" : "ITEM-1", "issue" : "11", "issued" : { "date-parts" : [ [ "2010", "1" ] ] }, "note" : "systematic level investigation uncover the cellular strategies", "page" : "e14091", "publisher" : "Public Library of Science", "title" : "A systems biology approach uncovers cellular strategies used by Methylobacterium extorquens AM1 during the switch from multi- to single-carbon growth.", "type" : "article-journal", "volume" : "5" }, "uris" : [ "http://www.mendeley.com/documents/?uuid=05cb63c6-8830-43d7-8587-2d24d8bd3582" ] } ], "mendeley" : { "formattedCitation" : "[43]", "plainTextFormattedCitation" : "[43]", "previouslyFormattedCitation" : "[43]" }, "properties" : { "noteIndex" : 0 }, "schema" : "https://github.com/citation-style-language/schema/raw/master/csl-citation.json" }</w:instrText>
      </w:r>
      <w:r w:rsidRPr="0055587D">
        <w:fldChar w:fldCharType="separate"/>
      </w:r>
      <w:r w:rsidR="0005386F" w:rsidRPr="0005386F">
        <w:rPr>
          <w:noProof/>
        </w:rPr>
        <w:t>[43]</w:t>
      </w:r>
      <w:r w:rsidRPr="0055587D">
        <w:fldChar w:fldCharType="end"/>
      </w:r>
      <w:r w:rsidRPr="0023217E">
        <w:fldChar w:fldCharType="begin" w:fldLock="1"/>
      </w:r>
      <w:r w:rsidR="008C0508">
        <w:instrText>ADDIN CSL_CITATION { "citationItems" : [ { "id" : "ITEM-1", "itemData" : { "DOI" : "10.1073/pnas.0810932106", "ISSN" : "1091-6490", "PMID" : "19261854", "abstract" : "The assimilation of one-carbon (C1) compounds, such as methanol, by serine cycle methylotrophs requires the continuous regeneration of glyoxylate. Instead of the glyoxylate cycle, this process is achieved by a not yet established pathway where CoA thioesters are known to play a key role. We applied state-of-the-art metabolomics and (13)C metabolomics strategies to demonstrate how glyoxylate is generated during methylotrophic growth in the isocitrate lyase-negative methylotroph Methylobacterium extorquens AM1. High-resolution mass spectrometry showed the presence of CoA thioesters specific to the recently proposed ethylmalonyl-CoA pathway. The operation of this pathway was demonstrated by short-term (13)C-labeling experiments, which allowed determination of the sequence of reactions from the order of label incorporation into the different CoA derivatives. Analysis of (13)C positional enrichment in glycine by NMR was consistent with the predicted labeling pattern as a result of the operation of the ethylmalonyl-CoA pathway and the unique operation of the latter for glyoxylate generation during growth on methanol. The results also revealed that 2 molecules of glyoxylate were regenerated in this process. This work provides a complete pathway for methanol assimilation in the model methylotroph M. extorquens AM1 and represents an important step toward the determination of the overall topology of its metabolic network. The operation of the ethylmalonyl-CoA pathway in M. extorquens AM1 has major implications for the physiology of these methylotrophs and their role in nature, and it also provides a common ground for C1 and C2 compound assimilation in isocitrate lyase-negative bacteria.", "author"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"Massou", "given" : "Stephane", "non-dropping-particle" : "", "parse-names" : false, "suffix" : "" }, { "dropping-particle" : "", "family" : "Portais", "given" : "Jean-Charles", "non-dropping-particle" : "", "parse-names" : false, "suffix" : "" }, { "dropping-particle" : "", "family" : "Vorholt", "given" : "Julia a", "non-dropping-particle" : "", "parse-names" : false, "suffix" : "" } ], "container-title" : "Proceedings of the National Academy of Sciences of the United States of America", "id" : "ITEM-1", "issue" : "12", "issued" : { "date-parts" : [ [ "2009", "3", "24" ] ] }, "page" : "4846-51", "title" : "Demonstration of the ethylmalonyl-CoA pathway by using 13C metabolomics.", "type" : "article-journal", "volume" : "106" }, "uris" : [ "http://www.mendeley.com/documents/?uuid=94ea79c5-5994-4cb3-9cb0-5cbb87561931" ] } ], "mendeley" : { "formattedCitation" : "[44]", "plainTextFormattedCitation" : "[44]", "previouslyFormattedCitation" : "[44]" }, "properties" : { "noteIndex" : 0 }, "schema" : "https://github.com/citation-style-language/schema/raw/master/csl-citation.json" }</w:instrText>
      </w:r>
      <w:r w:rsidRPr="0023217E">
        <w:fldChar w:fldCharType="separate"/>
      </w:r>
      <w:r w:rsidR="0005386F" w:rsidRPr="0005386F">
        <w:rPr>
          <w:noProof/>
        </w:rPr>
        <w:t>[44]</w:t>
      </w:r>
      <w:r w:rsidRPr="0023217E">
        <w:fldChar w:fldCharType="end"/>
      </w:r>
      <w:r>
        <w:fldChar w:fldCharType="begin" w:fldLock="1"/>
      </w:r>
      <w:r w:rsidR="008C0508">
        <w:instrText>ADDIN CSL_CITATION { "citationItems" : [ { "id" : "ITEM-1", "itemData" : { "DOI" : "10.1002/pmic.200800152", "ISSN" : "1615-9861", "PMID" : "18686303", "abstract" : "In order to validate a gel free quantitative proteomics assay for the model methylotrophic bacterium Methylobacterium extorquens AM1, we examined the M. extorquens AM1 proteome under single carbon (methanol) and multicarbon (succinate) growth, conditions that have been studied for decades and for which extensive corroborative data have been compiled. In total, 4447 proteins from a database containing 7556 putative ORFs from M. extorquens AM1 could be identified with two or more peptide sequences, corresponding to a qualitative proteome coverage of 58%. Statistically significant nonzero (log(2) scale) differential abundance ratios of methanol/succinate could be detected for 317 proteins using summed ion intensity measurements and 585 proteins using spectral counting, at a q-value cut-off of 0.01, a measure of false discovery rate. The results were compared to recent microarray studies performed under equivalent chemostat conditions. The M. extorquens AM1 studies demonstrated the feasibility of scaling up the multidimensional capillary HPLC MS/MS approach to a prokaryotic organism with a proteome more than three times the size of microbes we have investigated previously, while maintaining a high degree of proteome coverage and reliable quantitative abundance ratios.", "author" : [ { "dropping-particle" : "", "family" : "Bosch", "given" : "Gundula", "non-dropping-particle" : "", "parse-names" : false, "suffix" : "" }, { "dropping-particle" : "", "family" : "Skovran", "given" : "Elizabeth", "non-dropping-particle" : "", "parse-names" : false, "suffix" : "" }, { "dropping-particle" : "", "family" : "Xia", "given" : "Qiangwei", "non-dropping-particle" : "", "parse-names" : false, "suffix" : "" }, { "dropping-particle" : "", "family" : "Wang", "given" : "Tiansong", "non-dropping-particle" : "", "parse-names" : false, "suffix" : "" }, { "dropping-particle" : "", "family" : "Taub", "given" : "Fred", "non-dropping-particle" : "", "parse-names" : false, "suffix" : "" }, { "dropping-particle" : "", "family" : "Miller", "given" : "Jonathan A", "non-dropping-particle" : "", "parse-names" : false, "suffix" : "" }, { "dropping-particle" : "", "family" : "Lidstrom", "given" : "Mary E", "non-dropping-particle" : "", "parse-names" : false, "suffix" : "" }, { "dropping-particle" : "", "family" : "Hackett", "given" : "Murray", "non-dropping-particle" : "", "parse-names" : false, "suffix" : "" } ], "container-title" : "Proteomics", "id" : "ITEM-1", "issue" : "17", "issued" : { "date-parts" : [ [ "2008", "9" ] ] }, "page" : "3494-505", "title" : "Comprehensive proteomics of Methylobacterium extorquens AM1 metabolism under single carbon and nonmethylotrophic conditions.", "type" : "article-journal", "volume" : "8" }, "uris" : [ "http://www.mendeley.com/documents/?uuid=c1e4de45-8efe-4c58-82af-b69b61445b36" ] } ], "mendeley" : { "formattedCitation" : "[45]", "plainTextFormattedCitation" : "[45]", "previouslyFormattedCitation" : "[45]" }, "properties" : { "noteIndex" : 0 }, "schema" : "https://github.com/citation-style-language/schema/raw/master/csl-citation.json" }</w:instrText>
      </w:r>
      <w:r>
        <w:fldChar w:fldCharType="separate"/>
      </w:r>
      <w:r w:rsidR="0005386F" w:rsidRPr="0005386F">
        <w:rPr>
          <w:noProof/>
        </w:rPr>
        <w:t>[45]</w:t>
      </w:r>
      <w:r>
        <w:fldChar w:fldCharType="end"/>
      </w:r>
      <w:r w:rsidRPr="0055587D">
        <w:t xml:space="preserve">. </w:t>
      </w:r>
      <w:r w:rsidRPr="0023217E">
        <w:t xml:space="preserve">C1 metabolism involves multiple </w:t>
      </w:r>
      <w:r w:rsidRPr="0055587D">
        <w:t xml:space="preserve">C1-specific metabolic pathways, including the </w:t>
      </w:r>
      <w:proofErr w:type="spellStart"/>
      <w:r w:rsidRPr="0055587D">
        <w:t>tetrahydromethanopterin</w:t>
      </w:r>
      <w:proofErr w:type="spellEnd"/>
      <w:r w:rsidRPr="0055587D">
        <w:t xml:space="preserve">-dependent oxidation pathway, the serine cycle, and the </w:t>
      </w:r>
      <w:proofErr w:type="spellStart"/>
      <w:r w:rsidRPr="0055587D">
        <w:t>ethylmalonyl</w:t>
      </w:r>
      <w:proofErr w:type="spellEnd"/>
      <w:r w:rsidRPr="0055587D">
        <w:t>-CoA pathway</w:t>
      </w:r>
      <w:r w:rsidR="00EE0311">
        <w:t xml:space="preserve"> as shown in Figure 2</w:t>
      </w:r>
      <w:r>
        <w:t>.</w:t>
      </w:r>
      <w:r w:rsidR="00F77A1A">
        <w:t>1</w:t>
      </w:r>
      <w:r w:rsidR="00265627">
        <w:t>.</w:t>
      </w:r>
      <w:r>
        <w:t xml:space="preserve"> </w:t>
      </w:r>
      <w:r w:rsidRPr="0055587D">
        <w:t xml:space="preserve"> </w:t>
      </w:r>
    </w:p>
    <w:p w14:paraId="03307AB5" w14:textId="5B694A19" w:rsidR="009855DF" w:rsidRPr="0055587D" w:rsidRDefault="009855DF" w:rsidP="00C41689">
      <w:pPr>
        <w:divId w:val="1326516459"/>
        <w:rPr>
          <w:b/>
        </w:rPr>
      </w:pPr>
      <w:r w:rsidRPr="0055587D">
        <w:t xml:space="preserve">Recent studies have shown that cobalt is an important trace metal for methylotrophic growth in </w:t>
      </w:r>
      <w:r w:rsidRPr="0055587D">
        <w:rPr>
          <w:i/>
        </w:rPr>
        <w:t xml:space="preserve">M. </w:t>
      </w:r>
      <w:proofErr w:type="spellStart"/>
      <w:r w:rsidRPr="0055587D">
        <w:rPr>
          <w:i/>
        </w:rPr>
        <w:t>extorquens</w:t>
      </w:r>
      <w:proofErr w:type="spellEnd"/>
      <w:r w:rsidRPr="0055587D">
        <w:rPr>
          <w:i/>
        </w:rPr>
        <w:t xml:space="preserve"> </w:t>
      </w:r>
      <w:r w:rsidRPr="0055587D">
        <w:t>AM1. Cobalt</w:t>
      </w:r>
      <w:r w:rsidRPr="0023217E">
        <w:t xml:space="preserve"> </w:t>
      </w:r>
      <w:r w:rsidRPr="004D2514">
        <w:t xml:space="preserve">is </w:t>
      </w:r>
      <w:r w:rsidRPr="00211610">
        <w:t>needed for</w:t>
      </w:r>
      <w:r>
        <w:t xml:space="preserve"> vitamin B</w:t>
      </w:r>
      <w:r w:rsidRPr="000B387D">
        <w:rPr>
          <w:vertAlign w:val="subscript"/>
        </w:rPr>
        <w:t>12</w:t>
      </w:r>
      <w:r w:rsidRPr="00211610">
        <w:t xml:space="preserve"> </w:t>
      </w:r>
      <w:r>
        <w:t xml:space="preserve">production used as cofactor for </w:t>
      </w:r>
      <w:r w:rsidRPr="00211610">
        <w:t xml:space="preserve">two enzymes involved in </w:t>
      </w:r>
      <w:proofErr w:type="spellStart"/>
      <w:r w:rsidRPr="00211610">
        <w:t>methylotrophy</w:t>
      </w:r>
      <w:proofErr w:type="spellEnd"/>
      <w:r>
        <w:t xml:space="preserve"> growth</w:t>
      </w:r>
      <w:r w:rsidRPr="00211610">
        <w:t xml:space="preserve">, </w:t>
      </w:r>
      <w:proofErr w:type="spellStart"/>
      <w:r w:rsidRPr="0055587D">
        <w:t>methylmalonyl</w:t>
      </w:r>
      <w:proofErr w:type="spellEnd"/>
      <w:r w:rsidRPr="0055587D">
        <w:t>-CoA mutase (</w:t>
      </w:r>
      <w:proofErr w:type="spellStart"/>
      <w:r w:rsidRPr="0055587D">
        <w:t>Mcm</w:t>
      </w:r>
      <w:proofErr w:type="spellEnd"/>
      <w:r w:rsidRPr="0055587D">
        <w:t xml:space="preserve">) and </w:t>
      </w:r>
      <w:proofErr w:type="spellStart"/>
      <w:r w:rsidRPr="0055587D">
        <w:t>ethylmalonyl</w:t>
      </w:r>
      <w:proofErr w:type="spellEnd"/>
      <w:r w:rsidRPr="0055587D">
        <w:t>-CoA mutase (</w:t>
      </w:r>
      <w:proofErr w:type="spellStart"/>
      <w:r w:rsidRPr="0055587D">
        <w:t>Ecm</w:t>
      </w:r>
      <w:proofErr w:type="spellEnd"/>
      <w:r w:rsidRPr="0055587D">
        <w:t>)</w:t>
      </w:r>
      <w:r>
        <w:t xml:space="preserve"> </w:t>
      </w:r>
      <w:r w:rsidRPr="0055587D">
        <w:t xml:space="preserve">in the </w:t>
      </w:r>
      <w:proofErr w:type="spellStart"/>
      <w:r w:rsidRPr="0055587D">
        <w:t>ethylmalonyl</w:t>
      </w:r>
      <w:proofErr w:type="spellEnd"/>
      <w:r w:rsidRPr="0055587D">
        <w:t>-CoA pathway, and plays a</w:t>
      </w:r>
      <w:r w:rsidR="00A645AC">
        <w:t>n important</w:t>
      </w:r>
      <w:r w:rsidRPr="0055587D">
        <w:t xml:space="preserve"> role in strain fitness</w:t>
      </w:r>
      <w:r>
        <w:t xml:space="preserve"> </w:t>
      </w:r>
      <w:r>
        <w:fldChar w:fldCharType="begin" w:fldLock="1"/>
      </w:r>
      <w:r w:rsidR="008C0508">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"ITEM-1",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"id" : "ITEM-2", "itemData" : { "DOI" : "10.1007/s00253-013-5490-9", "ISSN" : "1432-0614", "PMID" : "24430207", "abstract" : "Methylobacterium extorquens AM1 has been shown to accumulate polyhydroxyalkanoate (PHA) composed solely of (R)-3-hydroxybutyrate (3HB) during methylotrophic growth. The present study demonstrated that the wild-type strain AM1 grown under Co\u00b2\u207a-deficient conditions accumulated copolyesters of 3HB and a C\u2085-monomer, (R)-3-hydroxyvalerate (3HV), using methanol as the sole carbon source. The 3HV unit was supposed to be derived from propionyl-CoA, synthesized via the ethylmalonyl-CoA pathway impaired by Co\u00b2\u207a limitation. This assumption was strongly supported by the dominant incorporation of the 3HV unit into PHA when a strain lacking propionyl-CoA carboxylase was incubated with methanol. Further genetic engineering of M. extorquens AM1 was employed for the methylotrophic synthesis of PHA copolymers. A recombinant strain of M. extorquens AM1C(Ac) in which the original PHA synthase gene phaC(Me) had been replaced by phaC(Ac), encoding an enzyme with broad substrate specificity from Aeromonas caviae, produced a PHA terpolymer composed of 3HB, 3HV, and a C\u2086-monomer, (R)-3-hydroxyhexanoate, from methanol. The cellular content and molecular weight of the PHA accumulated in the strain AM1C(Ac) were higher than those of PHA in the wild-type strain. The triple deletion of three PHA depolymerase genes in M. extorquens AM1C(Ac) showed no significant effects on growth and PHA biosynthesis properties. Overexpression of the genes encoding \u03b2-ketothiolase and NADPH-acetoacetyl-CoA reductase increased the cellular PHA content and 3HV composition in PHA, although the cell growth on methanol was decreased. This study opens up the possibility of producing practical PHA copolymers with methylotrophic bacteria using methanol as a feedstock.", "author" : [ { "dropping-particle" : "", "family" : "Orita", "given" : "Izumi", "non-dropping-particle" : "", "parse-names" : false, "suffix" : "" }, { "dropping-particle" : "", "family" : "Nishikawa", "given" : "Kouta", "non-dropping-particle" : "", "parse-names" : false, "suffix" : "" }, { "dropping-particle" : "", "family" : "Nakamura", "given" : "Satoshi", "non-dropping-particle" : "", "parse-names" : false, "suffix" : "" }, { "dropping-particle" : "", "family" : "Fukui", "given" : "Toshiaki", "non-dropping-particle" : "", "parse-names" : false, "suffix" : "" } ], "container-title" : "Applied microbiology and biotechnology", "id" : "ITEM-2", "issue" : "8", "issued" : { "date-parts" : [ [ "2014", "4" ] ] }, "page" : "3715-25", "title" : "Biosynthesis of polyhydroxyalkanoate copolymers from methanol by Methylobacterium extorquens AM1 and the engineered strains under cobalt-deficient conditions.", "type" : "article-journal", "volume" : "98" }, "uris" : [ "http://www.mendeley.com/documents/?uuid=9da9e90d-ad2e-4de7-9b2a-a02c790b8b5c" ] } ], "mendeley" : { "formattedCitation" : "[46, 47]", "manualFormatting" : "[8, 9,11]", "plainTextFormattedCitation" : "[46, 47]", "previouslyFormattedCitation" : "[46, 47]" }, "properties" : { "noteIndex" : 0 }, "schema" : "https://github.com/citation-style-language/schema/raw/master/csl-citation.json" }</w:instrText>
      </w:r>
      <w:r>
        <w:fldChar w:fldCharType="separate"/>
      </w:r>
      <w:r w:rsidRPr="00731D04">
        <w:rPr>
          <w:noProof/>
        </w:rPr>
        <w:t>[8, 9</w:t>
      </w:r>
      <w:r>
        <w:rPr>
          <w:noProof/>
        </w:rPr>
        <w:t>,11</w:t>
      </w:r>
      <w:r w:rsidRPr="00731D04">
        <w:rPr>
          <w:noProof/>
        </w:rPr>
        <w:t>]</w:t>
      </w:r>
      <w:r>
        <w:fldChar w:fldCharType="end"/>
      </w:r>
      <w:r w:rsidRPr="0055587D">
        <w:t xml:space="preserve">. </w:t>
      </w:r>
      <w:r>
        <w:t>Three</w:t>
      </w:r>
      <w:r w:rsidRPr="0055587D">
        <w:t xml:space="preserve"> </w:t>
      </w:r>
      <w:r>
        <w:t xml:space="preserve">research </w:t>
      </w:r>
      <w:r w:rsidRPr="0055587D">
        <w:t>groups have published optimized media recipes, including optimization of cobalt levels</w:t>
      </w:r>
      <w:r>
        <w:t xml:space="preserve"> </w:t>
      </w:r>
      <w:r w:rsidRPr="0055587D">
        <w:fldChar w:fldCharType="begin" w:fldLock="1"/>
      </w:r>
      <w:r w:rsidR="008C0508">
        <w:instrText>ADDIN CSL_CITATION { "citationItems" : [ { "id" : "ITEM-1", "itemData" : { "DOI" : "10.1007/s00253-013-5490-9", "ISSN" : "1432-0614", "PMID" : "24430207", "abstract" : "Methylobacterium extorquens AM1 has been shown to accumulate polyhydroxyalkanoate (PHA) composed solely of (R)-3-hydroxybutyrate (3HB) during methylotrophic growth. The present study demonstrated that the wild-type strain AM1 grown under Co\u00b2\u207a-deficient conditions accumulated copolyesters of 3HB and a C\u2085-monomer, (R)-3-hydroxyvalerate (3HV), using methanol as the sole carbon source. The 3HV unit was supposed to be derived from propionyl-CoA, synthesized via the ethylmalonyl-CoA pathway impaired by Co\u00b2\u207a limitation. This assumption was strongly supported by the dominant incorporation of the 3HV unit into PHA when a strain lacking propionyl-CoA carboxylase was incubated with methanol. Further genetic engineering of M. extorquens AM1 was employed for the methylotrophic synthesis of PHA copolymers. A recombinant strain of M. extorquens AM1C(Ac) in which the original PHA synthase gene phaC(Me) had been replaced by phaC(Ac), encoding an enzyme with broad substrate specificity from Aeromonas caviae, produced a PHA terpolymer composed of 3HB, 3HV, and a C\u2086-monomer, (R)-3-hydroxyhexanoate, from methanol. The cellular content and molecular weight of the PHA accumulated in the strain AM1C(Ac) were higher than those of PHA in the wild-type strain. The triple deletion of three PHA depolymerase genes in M. extorquens AM1C(Ac) showed no significant effects on growth and PHA biosynthesis properties. Overexpression of the genes encoding \u03b2-ketothiolase and NADPH-acetoacetyl-CoA reductase increased the cellular PHA content and 3HV composition in PHA, although the cell growth on methanol was decreased. This study opens up the possibility of producing practical PHA copolymers with methylotrophic bacteria using methanol as a feedstock.", "author" : [ { "dropping-particle" : "", "family" : "Orita", "given" : "Izumi", "non-dropping-particle" : "", "parse-names" : false, "suffix" : "" }, { "dropping-particle" : "", "family" : "Nishikawa", "given" : "Kouta", "non-dropping-particle" : "", "parse-names" : false, "suffix" : "" }, { "dropping-particle" : "", "family" : "Nakamura", "given" : "Satoshi", "non-dropping-particle" : "", "parse-names" : false, "suffix" : "" }, { "dropping-particle" : "", "family" : "Fukui", "given" : "Toshiaki", "non-dropping-particle" : "", "parse-names" : false, "suffix" : "" } ], "container-title" : "Applied microbiology and biotechnology", "id" : "ITEM-1", "issue" : "8", "issued" : { "date-parts" : [ [ "2014", "4" ] ] }, "page" : "3715-25", "title" : "Biosynthesis of polyhydroxyalkanoate copolymers from methanol by Methylobacterium extorquens AM1 and the engineered strains under cobalt-deficient conditions.", "type" : "article-journal", "volume" : "98" }, "uris" : [ "http://www.mendeley.com/documents/?uuid=9da9e90d-ad2e-4de7-9b2a-a02c790b8b5c" ] }, { "id" : "ITEM-2",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"ITEM-2",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"mendeley" : { "formattedCitation" : "[46, 47]", "plainTextFormattedCitation" : "[46, 47]", "previouslyFormattedCitation" : "[46, 47]" }, "properties" : { "noteIndex" : 0 }, "schema" : "https://github.com/citation-style-language/schema/raw/master/csl-citation.json" }</w:instrText>
      </w:r>
      <w:r w:rsidRPr="0055587D">
        <w:fldChar w:fldCharType="separate"/>
      </w:r>
      <w:r w:rsidR="0005386F" w:rsidRPr="0005386F">
        <w:rPr>
          <w:noProof/>
        </w:rPr>
        <w:t>[46, 47]</w:t>
      </w:r>
      <w:r w:rsidRPr="0055587D">
        <w:fldChar w:fldCharType="end"/>
      </w:r>
      <w:r w:rsidRPr="0055587D">
        <w:fldChar w:fldCharType="begin" w:fldLock="1"/>
      </w:r>
      <w:r w:rsidR="008C0508">
        <w:instrText>ADDIN CSL_CITATION { "citationItems" : [ { "id" : "ITEM-1", "itemData" : { "DOI" : "10.1371/journal.pone.0062957", "ISSN" : "1932-6203", "PMID" : "23646164", "abstract" : "Methylobacterium extorquens strains are the best-studied methylotrophic model system, and their metabolism of single carbon compounds has been studied for over 50 years. Here we develop a new system for high-throughput batch culture of M. extorquens in microtiter plates by jointly optimizing the properties of the organism, the growth media and the culturing system. After removing cellulose synthase genes in M. extorquens strains AM1 and PA1 to prevent biofilm formation, we found that currently available lab automation equipment, integrated and managed by open source software, makes possible reliable estimates of the exponential growth rate. Using this system, we developed an optimized growth medium for M. extorquens using response surface methodologies. We found that media that used EDTA as a metal chelator inhibited growth and led to inconsistent culture conditions. In contrast, the new medium we developed with a PIPES buffer and metals chelated by citrate allowed for fast and more consistent growth rates. This new Methylobacterium PIPES ('MP') medium was also robust to large deviations in its component ingredients which avoided batch effects from experiments that used media prepared at different times. MP medium allows for faster and more consistent growth than other media used for M. extorquens.", "author" : [ { "dropping-particle" : "", "family" : "Delaney", "given" : "Nigel F", "non-dropping-particle" : "", "parse-names" : false, "suffix" : "" }, { "dropping-particle" : "", "family" : "Kaczmarek", "given" : "Maria E", "non-dropping-particle" : "", "parse-names" : false, "suffix" : "" }, { "dropping-particle" : "", "family" : "Ward", "given" : "Lewis M", "non-dropping-particle" : "", "parse-names" : false, "suffix" : "" }, { "dropping-particle" : "", "family" : "Swanson", "given" : "Paige K", "non-dropping-particle" : "", "parse-names" : false, "suffix" : "" }, { "dropping-particle" : "", "family" : "Lee", "given" : "Ming-Chun", "non-dropping-particle" : "", "parse-names" : false, "suffix" : "" }, { "dropping-particle" : "", "family" : "Marx", "given" : "Christopher J", "non-dropping-particle" : "", "parse-names" : false, "suffix" : "" } ], "container-title" : "PloS one", "editor" : [ { "dropping-particle" : "", "family" : "Zhang", "given" : "Qijing", "non-dropping-particle" : "", "parse-names" : false, "suffix" : "" } ], "id" : "ITEM-1", "issue" : "4", "issued" : { "date-parts" : [ [ "2013", "1" ] ] }, "note" : "Development of optimized medium", "page" : "e62957", "publisher" : "Public Library of Science", "title" : "Development of an optimized medium, strain and high-throughput culturing methods for Methylobacterium extorquens.", "type" : "article-journal", "volume" : "8" }, "uris" : [ "http://www.mendeley.com/documents/?uuid=bf8665d9-e53f-4ae5-adf6-e2408da99a81" ] } ], "mendeley" : { "formattedCitation" : "[48]", "plainTextFormattedCitation" : "[48]", "previouslyFormattedCitation" : "[48]" }, "properties" : { "noteIndex" : 0 }, "schema" : "https://github.com/citation-style-language/schema/raw/master/csl-citation.json" }</w:instrText>
      </w:r>
      <w:r w:rsidRPr="0055587D">
        <w:fldChar w:fldCharType="separate"/>
      </w:r>
      <w:r w:rsidR="0005386F" w:rsidRPr="0005386F">
        <w:rPr>
          <w:noProof/>
        </w:rPr>
        <w:t>[48]</w:t>
      </w:r>
      <w:r w:rsidRPr="0055587D">
        <w:fldChar w:fldCharType="end"/>
      </w:r>
      <w:r>
        <w:fldChar w:fldCharType="begin" w:fldLock="1"/>
      </w:r>
      <w:r w:rsidR="008C0508">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fldChar w:fldCharType="separate"/>
      </w:r>
      <w:r w:rsidR="0005386F" w:rsidRPr="0005386F">
        <w:rPr>
          <w:noProof/>
        </w:rPr>
        <w:t>[49]</w:t>
      </w:r>
      <w:r>
        <w:fldChar w:fldCharType="end"/>
      </w:r>
      <w:r w:rsidRPr="0055587D">
        <w:t xml:space="preserve">. However, </w:t>
      </w:r>
      <w:r>
        <w:t>the</w:t>
      </w:r>
      <w:r w:rsidRPr="00211610">
        <w:t xml:space="preserve"> </w:t>
      </w:r>
      <w:r>
        <w:t>effect of cobalt on</w:t>
      </w:r>
      <w:r w:rsidRPr="00211610">
        <w:t xml:space="preserve"> the overall central carbon metabolism in </w:t>
      </w:r>
      <w:r w:rsidRPr="00211610">
        <w:rPr>
          <w:i/>
        </w:rPr>
        <w:t xml:space="preserve">M. </w:t>
      </w:r>
      <w:proofErr w:type="spellStart"/>
      <w:r w:rsidRPr="00211610">
        <w:rPr>
          <w:i/>
        </w:rPr>
        <w:t>extorquens</w:t>
      </w:r>
      <w:proofErr w:type="spellEnd"/>
      <w:r w:rsidRPr="00211610">
        <w:rPr>
          <w:i/>
        </w:rPr>
        <w:t xml:space="preserve"> </w:t>
      </w:r>
      <w:r w:rsidRPr="00211610">
        <w:t xml:space="preserve">AM1 </w:t>
      </w:r>
      <w:r w:rsidRPr="0055587D">
        <w:t>remains unknown.</w:t>
      </w:r>
    </w:p>
    <w:p w14:paraId="75E0174A" w14:textId="4BC4AC0A" w:rsidR="009855DF" w:rsidRPr="0055587D" w:rsidRDefault="009855DF" w:rsidP="00C41689">
      <w:pPr>
        <w:divId w:val="1326516459"/>
      </w:pPr>
      <w:r w:rsidRPr="0055587D">
        <w:t xml:space="preserve">Strain integrity can become compromised when the same strain is transferred between labs </w:t>
      </w:r>
      <w:r>
        <w:t>using</w:t>
      </w:r>
      <w:r w:rsidRPr="0055587D">
        <w:t xml:space="preserve"> different storage procedures, as illustrated recently for </w:t>
      </w:r>
      <w:r w:rsidRPr="00BB145A">
        <w:rPr>
          <w:i/>
        </w:rPr>
        <w:t>M.</w:t>
      </w:r>
      <w:r w:rsidRPr="0055587D">
        <w:rPr>
          <w:i/>
        </w:rPr>
        <w:t xml:space="preserve"> </w:t>
      </w:r>
      <w:proofErr w:type="spellStart"/>
      <w:r w:rsidRPr="0055587D">
        <w:rPr>
          <w:i/>
        </w:rPr>
        <w:t>extorquens</w:t>
      </w:r>
      <w:proofErr w:type="spellEnd"/>
      <w:r w:rsidRPr="0055587D">
        <w:t xml:space="preserve"> AM1</w:t>
      </w:r>
      <w:r>
        <w:t xml:space="preserve"> </w:t>
      </w:r>
      <w:r w:rsidRPr="0055587D">
        <w:fldChar w:fldCharType="begin" w:fldLock="1"/>
      </w:r>
      <w:r w:rsidR="008C0508">
        <w:instrText>ADDIN CSL_CITATION { "citationItems" : [ { "id" : "ITEM-1", "itemData" : { "DOI" : "10.1186/1471-2180-14-2", "ISSN" : "1471-2180", "PMID" : "24384040", "abstract" : "BACKGROUND: A common assumption of microorganisms is that laboratory stocks will remain genetically and phenotypically constant over time, and across laboratories. It is becoming increasingly clear, however, that mutations can ruin strain integrity and drive the divergence or \"domestication\" of stocks. Since its discovery in 1960, a stock of Methylobacterium extorquens AM1 (\"AM1\") has remained in the lab, propagated across numerous growth and storage conditions, researchers, and facilities. To explore the extent to which this lineage has diverged, we compared our own \"Modern\" stock of AM1 to a sample archived at a culture stock center shortly after the strain's discovery. Stored as a lyophilized sample, we hypothesized that this Archival strain would better reflect the first-ever isolate of AM1 and reveal ways in which our Modern stock has changed through laboratory domestication or other means.\n\nRESULTS: Using whole-genome re-sequencing, we identified some 29 mutations - including single nucleotide polymorphisms, small indels, the insertion of mobile elements, and the loss of roughly 36 kb of DNA - that arose in the laboratory-maintained Modern lineage. Contrary to our expectations, Modern was both slower and less fit than Archival across a variety of growth substrates, and showed no improvement during long-term growth and storage. Modern did, however, outperform Archival during growth on nutrient broth, and in resistance to rifamycin, which was selected for by researchers in the 1980s. Recapitulating selection for rifamycin resistance in replicate Archival populations showed that mutations to RNA polymerase B (rpoB) substantially decrease growth in the absence of antibiotic, offering an explanation for slower growth in Modern stocks. Given the large number of genomic changes arising from domestication (28), it is somewhat surprising that the single other mutation attributed to purposeful laboratory selection accounts for much of the phenotypic divergence between strains.\n\nCONCLUSIONS: These results highlight the surprising degree to which AM1 has diverged through a combination of unintended laboratory domestication and purposeful selection for rifamycin resistance. Instances of strain divergence are important, not only to ensure consistency of experimental results, but also to explore how microbes in the lab diverge from one another and from their wild counterparts.", "author" : [ { "dropping-particle" : "", "family" : "Carroll", "given" : "Sean Michael", "non-dropping-particle" : "", "parse-names" : false, "suffix" : "" }, { "dropping-particle" : "", "family" : "Xue", "given" : "Katherine S", "non-dropping-particle" : "", "parse-names" : false, "suffix" : "" }, { "dropping-particle" : "", "family" : "Marx", "given" : "Christopher J", "non-dropping-particle" : "", "parse-names" : false, "suffix" : "" } ], "container-title" : "BMC microbiology", "id" : "ITEM-1", "issue" : "1", "issued" : { "date-parts" : [ [ "2014", "1", "2" ] ] }, "note" : "lab divergence of methylobacterium extorquencs AM1 through unintended domestication and past selection for antibiotic resistance", "page" : "2", "title" : "Laboratory divergence of Methylobacterium extorquens AM1 through unintended domestication and past selection for antibiotic resistance.", "type" : "article-journal", "volume" : "14" }, "uris" : [ "http://www.mendeley.com/documents/?uuid=aa4c3ce4-383b-48f3-acef-18ff085ea88b" ] } ], "mendeley" : { "formattedCitation" : "[50]", "plainTextFormattedCitation" : "[50]", "previouslyFormattedCitation" : "[50]" }, "properties" : { "noteIndex" : 0 }, "schema" : "https://github.com/citation-style-language/schema/raw/master/csl-citation.json" }</w:instrText>
      </w:r>
      <w:r w:rsidRPr="0055587D">
        <w:fldChar w:fldCharType="separate"/>
      </w:r>
      <w:r w:rsidR="0005386F" w:rsidRPr="0005386F">
        <w:rPr>
          <w:noProof/>
        </w:rPr>
        <w:t>[50]</w:t>
      </w:r>
      <w:r w:rsidRPr="0055587D">
        <w:fldChar w:fldCharType="end"/>
      </w:r>
      <w:r w:rsidRPr="0055587D">
        <w:t>. Phenotypic divergence was obser</w:t>
      </w:r>
      <w:r w:rsidRPr="0023217E">
        <w:t xml:space="preserve">ved between an </w:t>
      </w:r>
      <w:r w:rsidRPr="004D2514">
        <w:t xml:space="preserve">archival strain and </w:t>
      </w:r>
      <w:r w:rsidRPr="00211610">
        <w:t>a modern strain in terms of growth rate and fitness across various culture conditions</w:t>
      </w:r>
      <w:r>
        <w:t xml:space="preserve"> </w:t>
      </w:r>
      <w:r w:rsidRPr="0055587D">
        <w:fldChar w:fldCharType="begin" w:fldLock="1"/>
      </w:r>
      <w:r w:rsidR="008C0508">
        <w:instrText>ADDIN CSL_CITATION { "citationItems" : [ { "id" : "ITEM-1", "itemData" : { "DOI" : "10.1186/1471-2180-14-2", "ISSN" : "1471-2180", "PMID" : "24384040", "abstract" : "BACKGROUND: A common assumption of microorganisms is that laboratory stocks will remain genetically and phenotypically constant over time, and across laboratories. It is becoming increasingly clear, however, that mutations can ruin strain integrity and drive the divergence or \"domestication\" of stocks. Since its discovery in 1960, a stock of Methylobacterium extorquens AM1 (\"AM1\") has remained in the lab, propagated across numerous growth and storage conditions, researchers, and facilities. To explore the extent to which this lineage has diverged, we compared our own \"Modern\" stock of AM1 to a sample archived at a culture stock center shortly after the strain's discovery. Stored as a lyophilized sample, we hypothesized that this Archival strain would better reflect the first-ever isolate of AM1 and reveal ways in which our Modern stock has changed through laboratory domestication or other means.\n\nRESULTS: Using whole-genome re-sequencing, we identified some 29 mutations - including single nucleotide polymorphisms, small indels, the insertion of mobile elements, and the loss of roughly 36 kb of DNA - that arose in the laboratory-maintained Modern lineage. Contrary to our expectations, Modern was both slower and less fit than Archival across a variety of growth substrates, and showed no improvement during long-term growth and storage. Modern did, however, outperform Archival during growth on nutrient broth, and in resistance to rifamycin, which was selected for by researchers in the 1980s. Recapitulating selection for rifamycin resistance in replicate Archival populations showed that mutations to RNA polymerase B (rpoB) substantially decrease growth in the absence of antibiotic, offering an explanation for slower growth in Modern stocks. Given the large number of genomic changes arising from domestication (28), it is somewhat surprising that the single other mutation attributed to purposeful laboratory selection accounts for much of the phenotypic divergence between strains.\n\nCONCLUSIONS: These results highlight the surprising degree to which AM1 has diverged through a combination of unintended laboratory domestication and purposeful selection for rifamycin resistance. Instances of strain divergence are important, not only to ensure consistency of experimental results, but also to explore how microbes in the lab diverge from one another and from their wild counterparts.", "author" : [ { "dropping-particle" : "", "family" : "Carroll", "given" : "Sean Michael", "non-dropping-particle" : "", "parse-names" : false, "suffix" : "" }, { "dropping-particle" : "", "family" : "Xue", "given" : "Katherine S", "non-dropping-particle" : "", "parse-names" : false, "suffix" : "" }, { "dropping-particle" : "", "family" : "Marx", "given" : "Christopher J", "non-dropping-particle" : "", "parse-names" : false, "suffix" : "" } ], "container-title" : "BMC microbiology", "id" : "ITEM-1", "issue" : "1", "issued" : { "date-parts" : [ [ "2014", "1", "2" ] ] }, "note" : "lab divergence of methylobacterium extorquencs AM1 through unintended domestication and past selection for antibiotic resistance", "page" : "2", "title" : "Laboratory divergence of Methylobacterium extorquens AM1 through unintended domestication and past selection for antibiotic resistance.", "type" : "article-journal", "volume" : "14" }, "uris" : [ "http://www.mendeley.com/documents/?uuid=aa4c3ce4-383b-48f3-acef-18ff085ea88b" ] } ], "mendeley" : { "formattedCitation" : "[50]", "plainTextFormattedCitation" : "[50]", "previouslyFormattedCitation" : "[50]" }, "properties" : { "noteIndex" : 0 }, "schema" : "https://github.com/citation-style-language/schema/raw/master/csl-citation.json" }</w:instrText>
      </w:r>
      <w:r w:rsidRPr="0055587D">
        <w:fldChar w:fldCharType="separate"/>
      </w:r>
      <w:r w:rsidR="0005386F" w:rsidRPr="0005386F">
        <w:rPr>
          <w:noProof/>
        </w:rPr>
        <w:t>[50]</w:t>
      </w:r>
      <w:r w:rsidRPr="0055587D">
        <w:fldChar w:fldCharType="end"/>
      </w:r>
      <w:r w:rsidRPr="0055587D">
        <w:t>. The literature shows that</w:t>
      </w:r>
      <w:r w:rsidRPr="0023217E">
        <w:t xml:space="preserve"> two other strains have diverged</w:t>
      </w:r>
      <w:r w:rsidRPr="00211610">
        <w:t xml:space="preserve"> in Mary </w:t>
      </w:r>
      <w:proofErr w:type="spellStart"/>
      <w:r w:rsidRPr="00211610">
        <w:t>Lidstrom’s</w:t>
      </w:r>
      <w:proofErr w:type="spellEnd"/>
      <w:r w:rsidRPr="00211610">
        <w:t xml:space="preserve"> lab and Julia </w:t>
      </w:r>
      <w:proofErr w:type="spellStart"/>
      <w:r w:rsidRPr="00211610">
        <w:t>Vorholt’s</w:t>
      </w:r>
      <w:proofErr w:type="spellEnd"/>
      <w:r w:rsidRPr="00211610">
        <w:t xml:space="preserve"> lab</w:t>
      </w:r>
      <w:r>
        <w:t>, after these strains were</w:t>
      </w:r>
      <w:r w:rsidRPr="00211610">
        <w:t xml:space="preserve"> separated </w:t>
      </w:r>
      <w:r w:rsidRPr="00211610">
        <w:rPr>
          <w:color w:val="000000" w:themeColor="text1"/>
        </w:rPr>
        <w:t>for 1</w:t>
      </w:r>
      <w:r>
        <w:rPr>
          <w:color w:val="000000" w:themeColor="text1"/>
        </w:rPr>
        <w:t>4</w:t>
      </w:r>
      <w:r w:rsidRPr="00211610">
        <w:rPr>
          <w:color w:val="000000" w:themeColor="text1"/>
        </w:rPr>
        <w:t xml:space="preserve"> years</w:t>
      </w:r>
      <w:r w:rsidRPr="00211610">
        <w:rPr>
          <w:color w:val="FF0000"/>
        </w:rPr>
        <w:t xml:space="preserve">. </w:t>
      </w:r>
      <w:r w:rsidRPr="0055587D">
        <w:t>Different growth rates were reported from previous studies for both strains</w:t>
      </w:r>
      <w:r>
        <w:t xml:space="preserve"> </w:t>
      </w:r>
      <w:r w:rsidRPr="0055587D">
        <w:fldChar w:fldCharType="begin" w:fldLock="1"/>
      </w:r>
      <w:r w:rsidR="00AF0B7D">
        <w:instrText>ADDIN CSL_CITATION { "citationItems" : [ { "id" : "ITEM-1", "itemData" : { "DOI" : "10.1128/JB.00228-08", "ISSN" : "1098-5530", "PMID" : "18502865", "abstract" : "In serine cycle methylotrophs, methylene tetrahydrofolate (H4F) is the entry point of reduced one-carbon compounds into the serine cycle for carbon assimilation during methylotrophic metabolism. In these bacteria, two routes are possible for generating methylene H4F from formaldehyde during methylotrophic growth: one involving the reaction of formaldehyde with H4F to generate methylene H4F and the other involving conversion of formaldehyde to formate via methylene tetrahydromethanopterin-dependent enzymes and conversion of formate to methylene H4F via H4F-dependent enzymes. Evidence has suggested that the direct condensation reaction is the main source of methylene H4F during methylotrophic metabolism. However, mutants lacking enzymes that interconvert methylene H4F and formate are unable to grow on methanol, suggesting that this route for methylene H4F synthesis should have a significant role in biomass production during methylotrophic metabolism. This problem was investigated in Methylobacterium extorquens AM1. Evidence was obtained suggesting that the existing deuterium assay might overestimate the flux through the direct condensation reaction. To test this possibility, it was shown that only minor assimilation into biomass occurred in mutants lacking the methylene H4F synthesis pathway through formate. These results suggested that the methylene H4F synthesis pathway through formate dominates assimilatory flux. A revised kinetic model was used to validate this possibility, showing that physiologically plausible parameters in this model can account for the metabolic fluxes observed in vivo. These results all support the suggestion that formate, not formaldehyde, is the main branch point for methylotrophic metabolism in M. extorquens AM1.", "author" : [ { "dropping-particle" : "", "family" : "Crowther", "given" : "Gregory J", "non-dropping-particle" : "", "parse-names" : false, "suffix" : "" }, { "dropping-particle" : "", "family" : "Kos\u00e1ly", "given" : "George", "non-dropping-particle" : "", "parse-names" : false, "suffix" : "" }, { "dropping-particle" : "", "family" : "Lidstrom", "given" : "Mary E", "non-dropping-particle" : "", "parse-names" : false, "suffix" : "" } ], "container-title" : "Journal of bacteriology", "id" : "ITEM-1", "issue" : "14", "issued" : { "date-parts" : [ [ "2008", "7", "15" ] ] }, "note" : "branch point for methylotrophic metabolism as formate", "page" : "5057-62", "title" : "Formate as the main branch point for methylotrophic metabolism in Methylobacterium extorquens AM1.", "type" : "article-journal", "volume" : "190" }, "uris" : [ "http://www.mendeley.com/documents/?uuid=64b774e5-5eb6-4a5e-92c7-e4d688128668" ] } ], "mendeley" : { "formattedCitation" : "[17]", "plainTextFormattedCitation" : "[17]", "previouslyFormattedCitation" : "[17]" }, "properties" : { "noteIndex" : 0 }, "schema" : "https://github.com/citation-style-language/schema/raw/master/csl-citation.json" }</w:instrText>
      </w:r>
      <w:r w:rsidRPr="0055587D">
        <w:fldChar w:fldCharType="separate"/>
      </w:r>
      <w:r w:rsidR="00300EB6" w:rsidRPr="00300EB6">
        <w:rPr>
          <w:noProof/>
        </w:rPr>
        <w:t>[17]</w:t>
      </w:r>
      <w:r w:rsidRPr="0055587D">
        <w:fldChar w:fldCharType="end"/>
      </w:r>
      <w:r w:rsidRPr="0023217E">
        <w:fldChar w:fldCharType="begin" w:fldLock="1"/>
      </w:r>
      <w:r w:rsidR="008C0508">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"issued" : { "date-parts" : [ [ "2011", "1" ] ] }, "page" : "189", "title" : "Genome-scale reconstruction and system level investigation of the metabolic network of Methylobacterium extorquens AM1.", "type" : "article-journal", "volume" : "5" }, "uris" : [ "http://www.mendeley.com/documents/?uuid=f35472c0-7a8f-4132-9431-66d7874ec47d" ] } ], "mendeley" : { "formattedCitation" : "[51]", "plainTextFormattedCitation" : "[51]", "previouslyFormattedCitation" : "[51]" }, "properties" : { "noteIndex" : 0 }, "schema" : "https://github.com/citation-style-language/schema/raw/master/csl-citation.json" }</w:instrText>
      </w:r>
      <w:r w:rsidRPr="0023217E">
        <w:fldChar w:fldCharType="separate"/>
      </w:r>
      <w:r w:rsidR="0005386F" w:rsidRPr="0005386F">
        <w:rPr>
          <w:noProof/>
        </w:rPr>
        <w:t>[51]</w:t>
      </w:r>
      <w:r w:rsidRPr="0023217E">
        <w:fldChar w:fldCharType="end"/>
      </w:r>
      <w:r w:rsidRPr="0055587D">
        <w:t>, which could be</w:t>
      </w:r>
      <w:r w:rsidRPr="0023217E">
        <w:t xml:space="preserve"> </w:t>
      </w:r>
      <w:r>
        <w:t>ascribed</w:t>
      </w:r>
      <w:r w:rsidRPr="0023217E">
        <w:t xml:space="preserve"> to </w:t>
      </w:r>
      <w:r w:rsidRPr="004D2514">
        <w:t xml:space="preserve">a combination of </w:t>
      </w:r>
      <w:r w:rsidRPr="00211610">
        <w:t xml:space="preserve">culturing environment and unintended domestication of the </w:t>
      </w:r>
      <w:r w:rsidRPr="00211610">
        <w:rPr>
          <w:i/>
        </w:rPr>
        <w:t xml:space="preserve">M. </w:t>
      </w:r>
      <w:proofErr w:type="spellStart"/>
      <w:r w:rsidRPr="00211610">
        <w:rPr>
          <w:i/>
        </w:rPr>
        <w:t>e</w:t>
      </w:r>
      <w:r w:rsidRPr="0055587D">
        <w:rPr>
          <w:i/>
        </w:rPr>
        <w:t>xtorquens</w:t>
      </w:r>
      <w:proofErr w:type="spellEnd"/>
      <w:r w:rsidRPr="0055587D">
        <w:rPr>
          <w:i/>
        </w:rPr>
        <w:t xml:space="preserve"> </w:t>
      </w:r>
      <w:r w:rsidRPr="0055587D">
        <w:t>AM1 strain</w:t>
      </w:r>
      <w:r>
        <w:t>, but the basis for this difference is not known</w:t>
      </w:r>
      <w:r w:rsidRPr="0055587D">
        <w:t xml:space="preserve">. </w:t>
      </w:r>
    </w:p>
    <w:p w14:paraId="30EA722A" w14:textId="3CE1FAA6" w:rsidR="009855DF" w:rsidRPr="0055587D" w:rsidRDefault="009855DF" w:rsidP="00C41689">
      <w:pPr>
        <w:divId w:val="1326516459"/>
      </w:pPr>
      <w:r>
        <w:t>It has been well-documented that</w:t>
      </w:r>
      <w:r w:rsidRPr="0055587D">
        <w:t xml:space="preserve"> a trade-off </w:t>
      </w:r>
      <w:r>
        <w:t xml:space="preserve">exists </w:t>
      </w:r>
      <w:r w:rsidRPr="0055587D">
        <w:t>between rate and yield for heterotrophic organism</w:t>
      </w:r>
      <w:r>
        <w:t>s in which growth rate is predicted to be limited by ATP</w:t>
      </w:r>
      <w:r w:rsidRPr="0055587D">
        <w:t xml:space="preserve"> </w:t>
      </w:r>
      <w:r>
        <w:fldChar w:fldCharType="begin" w:fldLock="1"/>
      </w:r>
      <w:r w:rsidR="008C0508">
        <w:instrText>ADDIN CSL_CITATION { "citationItems" : [ { "id" : "ITEM-1", "itemData" : { "DOI" : "10.1086/506527", "ISSN" : "1537-5323", "PMID" : "16874633", "abstract" : "Theoretical studies have predicted a trade-off between growth rate and yield in heterotrophic organisms. Here we test for the existence of this trade-off by analyzing the growth characteristics of 12 E. coli B populations that evolved for 20,000 generations under a constant selection regime. We performed three different tests. First, we analyzed changes in growth rate and yield over evolutionary time for each population. Second, we tested for a negative correlation between rate and yield across the 12 populations. Finally, we isolated clones from four selected populations and tested for a negative correlation between rate and yield within these populations. We did not find evidence for a trade-off based on the first two tests. However, we did observe a trade-off based on the within-population correlation of yield and rate. Our results indicate that, at least for the populations studied here, an analysis of the within-population diversity might be the most sensitive test for the existence of a trade-off. The observation of a trade-off within, but not between, populations suggests that the populations evolved different genetic solutions for growth in the selective environment, which in turn led to different physiological constraints.", "author" : [ { "dropping-particle" : "", "family" : "Novak", "given" : "Maja", "non-dropping-particle" : "", "parse-names" : false, "suffix" : "" }, { "dropping-particle" : "", "family" : "Pfeiffer", "given" : "Thomas", "non-dropping-particle" : "", "parse-names" : false, "suffix" : "" }, { "dropping-particle" : "", "family" : "Lenski", "given" : "Richard E", "non-dropping-particle" : "", "parse-names" : false, "suffix" : "" }, { "dropping-particle" : "", "family" : "Sauer", "given" : "Uwe", "non-dropping-particle" : "", "parse-names" : false, "suffix" : "" }, { "dropping-particle" : "", "family" : "Bonhoeffer", "given" : "Sebastian", "non-dropping-particle" : "", "parse-names" : false, "suffix" : "" } ], "container-title" : "The American naturalist", "id" : "ITEM-1", "issue" : "2", "issued" : { "date-parts" : [ [ "2006", "8" ] ] }, "page" : "242-51", "title" : "Experimental tests for an evolutionary trade-off between growth rate and yield in E. coli.", "type" : "article-journal", "volume" : "168" }, "uris" : [ "http://www.mendeley.com/documents/?uuid=a3f638c3-99aa-41f0-b2e9-0f7cdd8c5d9a" ] }, { "id" : "ITEM-2", "itemData" : { "author" : [ { "dropping-particle" : "", "family" : "Russell", "given" : "James B", "non-dropping-particle" : "", "parse-names" : false, "suffix" : "" } ], "id" : "ITEM-2", "issue" : "1", "issued" : { "date-parts" : [ [ "1995" ] ] }, "title" : "Energetics of bacterial growth : balance of anabolic and catabolic reactions . Energetics of Bacterial Growth : Balance of Anabolic and Catabolic Reactions", "type" : "article-journal", "volume" : "59" }, "uris" : [ "http://www.mendeley.com/documents/?uuid=e97d1d9a-519b-41a2-9025-b703d0317cdc" ] } ], "mendeley" : { "formattedCitation" : "[52, 53]", "plainTextFormattedCitation" : "[52, 53]", "previouslyFormattedCitation" : "[52, 53]" }, "properties" : { "noteIndex" : 0 }, "schema" : "https://github.com/citation-style-language/schema/raw/master/csl-citation.json" }</w:instrText>
      </w:r>
      <w:r>
        <w:fldChar w:fldCharType="separate"/>
      </w:r>
      <w:r w:rsidR="0005386F" w:rsidRPr="0005386F">
        <w:rPr>
          <w:noProof/>
        </w:rPr>
        <w:t>[52, 53]</w:t>
      </w:r>
      <w:r>
        <w:fldChar w:fldCharType="end"/>
      </w:r>
      <w:r w:rsidRPr="0055587D">
        <w:t xml:space="preserve">. </w:t>
      </w:r>
      <w:r>
        <w:t xml:space="preserve">However, it was not known whether such a tradeoff occurs in </w:t>
      </w:r>
      <w:r w:rsidRPr="00721400">
        <w:t xml:space="preserve">the </w:t>
      </w:r>
      <w:r w:rsidRPr="00721400">
        <w:rPr>
          <w:i/>
        </w:rPr>
        <w:t xml:space="preserve">M. </w:t>
      </w:r>
      <w:proofErr w:type="spellStart"/>
      <w:r w:rsidRPr="00721400">
        <w:rPr>
          <w:i/>
        </w:rPr>
        <w:t>extorquens</w:t>
      </w:r>
      <w:proofErr w:type="spellEnd"/>
      <w:r w:rsidRPr="00721400">
        <w:t xml:space="preserve"> AM1 strain variants</w:t>
      </w:r>
      <w:r>
        <w:t xml:space="preserve">. In </w:t>
      </w:r>
      <w:r>
        <w:rPr>
          <w:i/>
        </w:rPr>
        <w:t xml:space="preserve">M. </w:t>
      </w:r>
      <w:proofErr w:type="spellStart"/>
      <w:r>
        <w:rPr>
          <w:i/>
        </w:rPr>
        <w:t>extorquens</w:t>
      </w:r>
      <w:proofErr w:type="spellEnd"/>
      <w:r>
        <w:rPr>
          <w:i/>
        </w:rPr>
        <w:t xml:space="preserve"> </w:t>
      </w:r>
      <w:r>
        <w:t>AM1</w:t>
      </w:r>
      <w:r w:rsidRPr="00721400">
        <w:t xml:space="preserve">, the cell growth </w:t>
      </w:r>
      <w:r>
        <w:t>is predicted to be</w:t>
      </w:r>
      <w:r w:rsidRPr="00721400">
        <w:t xml:space="preserve"> limited by reducing power instead of ATP</w:t>
      </w:r>
      <w:r>
        <w:t xml:space="preserve"> [13], making the metabolic basis for such tradeoffs unclear. The availability of two strain variants with differences in growth rate and possibly in biomass yield offers an opportunity to decipher system-wide metabolic responses in </w:t>
      </w:r>
      <w:r w:rsidRPr="00721400">
        <w:rPr>
          <w:i/>
        </w:rPr>
        <w:t xml:space="preserve">M. </w:t>
      </w:r>
      <w:proofErr w:type="spellStart"/>
      <w:r w:rsidRPr="00721400">
        <w:rPr>
          <w:i/>
        </w:rPr>
        <w:t>extorquens</w:t>
      </w:r>
      <w:proofErr w:type="spellEnd"/>
      <w:r w:rsidRPr="00721400">
        <w:t xml:space="preserve"> AM</w:t>
      </w:r>
      <w:r>
        <w:t>1, including the possible trade-off between growth rate and biomass yield</w:t>
      </w:r>
      <w:r w:rsidRPr="00721400">
        <w:t>.</w:t>
      </w:r>
    </w:p>
    <w:p w14:paraId="2D2A7E77" w14:textId="1A79F82A" w:rsidR="009855DF" w:rsidRPr="009A3621" w:rsidRDefault="009855DF" w:rsidP="00C41689">
      <w:pPr>
        <w:divId w:val="1326516459"/>
      </w:pPr>
      <w:r w:rsidRPr="00BB145A">
        <w:rPr>
          <w:vertAlign w:val="superscript"/>
        </w:rPr>
        <w:t>13</w:t>
      </w:r>
      <w:r w:rsidRPr="0055587D">
        <w:t xml:space="preserve">C metabolic flux analysis is a powerful tool, which combines both experimental and computational approaches to quantitatively understand the metabolic pathways in a living organism. It is based on a stoichiometric reaction model and extracellular consumption and secretion, along with </w:t>
      </w:r>
      <w:r w:rsidRPr="00BB145A">
        <w:rPr>
          <w:vertAlign w:val="superscript"/>
        </w:rPr>
        <w:t>13</w:t>
      </w:r>
      <w:r w:rsidRPr="0055587D">
        <w:t xml:space="preserve">C labeling information to calculate </w:t>
      </w:r>
      <w:r w:rsidRPr="0055587D">
        <w:rPr>
          <w:i/>
        </w:rPr>
        <w:t>in vivo</w:t>
      </w:r>
      <w:r w:rsidRPr="0055587D">
        <w:t xml:space="preserve"> reaction rates</w:t>
      </w:r>
      <w:r>
        <w:t xml:space="preserve"> </w:t>
      </w:r>
      <w:r w:rsidRPr="00E03A11">
        <w:fldChar w:fldCharType="begin" w:fldLock="1"/>
      </w:r>
      <w:r w:rsidR="008C0508">
        <w:instrText>ADDIN CSL_CITATION { "citationItems" : [ { "id" : "ITEM-1",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"ITEM-1", "issue" : "6", "issued" : { "date-parts" : [ [ "2009", "1" ] ] }, "note" : "figure about the flux ratio simulation", "page" : "878-92", "title" : "(13)C-based metabolic flux analysis.", "type" : "article-journal", "volume" : "4" }, "uris" : [ "http://www.mendeley.com/documents/?uuid=c4caf749-0b8c-4255-8c9f-7bb3774bdbc9" ] }, { "id" : "ITEM-2",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"ITEM-2", "issue" : "3", "issued" : { "date-parts" : [ [ "2001", "7" ] ] }, "page" : "195-206", "title" : "13C metabolic flux analysis.", "type" : "article-journal", "volume" : "3" }, "uris" : [ "http://www.mendeley.com/documents/?uuid=733a9315-9ef7-4a14-a866-d1e18c60b968" ] }, { "id" : "ITEM-3", "itemData" : { "DOI" : "10.1006/mben.2001.0188", "ISSN" : "1096-7176", "PMID" : "11461148", "abstract" : "A general methodology is presented for the modeling, simulation, design, evaluation, and statistical analysis of (13)C-labeling experiments for metabolic flux analysis. The universal software framework 13C-FLUX was implemented to support all steps of this process. Guided by the example of anaplerotic flux determination in Corynebacterium glutamicum, the technical details of the model setup, experimental design, and data evaluation are discussed. It is shown how the network structure, the input substrate composition, the assumptions about fluxes, and the measurement configuration are specified within 13C-FLUX. Based on the network model, different experimental designs are computed depending on the goal of the investigations. Finally, a specific experiment is evaluated and the various statistical methods used to analyze the results are briefly explained. The appendix gives some details about the software implementation and availability.", "author" : [ { "dropping-particle" : "", "family" : "Wiechert", "given" : "W", "non-dropping-particle" : "", "parse-names" : false, "suffix" : "" }, { "dropping-particle" : "", "family" : "M\u00f6llney", "given" : "M", "non-dropping-particle" : "", "parse-names" : false, "suffix" : "" }, { "dropping-particle" : "", "family" : "Petersen", "given" : "S", "non-dropping-particle" : "", "parse-names" : false, "suffix" : "" }, { "dropping-particle" : "", "family" : "Graaf", "given" : "A A", "non-dropping-particle" : "de", "parse-names" : false, "suffix" : "" } ], "container-title" : "Metabolic engineering", "id" : "ITEM-3", "issue" : "3", "issued" : { "date-parts" : [ [ "2001", "7" ] ] }, "page" : "265-83", "title" : "A universal framework for 13C metabolic flux analysis.", "type" : "article-journal", "volume" : "3" }, "uris" : [ "http://www.mendeley.com/documents/?uuid=d5c35e75-23cd-4477-8f03-fb6227c931f7" ] }, { "id" : "ITEM-4",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"ITEM-4", "issue" : "1", "issued" : { "date-parts" : [ [ "2007", "1" ] ] }, "page" : "6", "title" : "Fluxome analysis using GC-MS.", "type" : "article-journal", "volume" : "6" }, "uris" : [ "http://www.mendeley.com/documents/?uuid=cf1a0fda-e39a-4b18-8a70-caadbddc4b94" ] }, { "id" : "ITEM-5", "itemData" : { "ISSN" : "0724-6145", "PMID" : "8623613", "abstract" : "Stationary flux analysis is an invaluable tool for metabolic engineering. In the last years the metabolite balancing technique has become well established in the bioengineering community. On the other hand metabolic tracer experiments using 13C isotopes have long been used for intracellular flux determination. Only recently have both techniques been fully combined to form a considerably more powerful flux analysis method. This paper concentrates on modeling and data analysis for the evaluation of such stationary 13C labeling experiments. After reviewing recent experimental developments, the basic equations for modeling carbon labeling in metabolic systems, i.e. metabolite, carbon label and isotopomer balances, are introduced and discussed in some detail. Then the basics of flux estimation from measured extracellular fluxes combined with carbon labeling data are presented and, finally, this method is illustrated by using an example from C. glutamicum. The main emphasis is on the investigation of the extra information that can be obtained with tracer experiments compared with the metabolite balancing technique alone. As a principal result it is shown that the combined flux analysis method can dispense with some rather doubtful assumptions on energy balancing and that the forward and backward flux rates of bidirectional reaction steps can be simultaneously determined in certain situations. Finally, it is demonstrated that the variant of fractional isotopomer measurement is even more powerful than fractional labeling measurement but requires much higher numerical effort to solve the balance equations.", "author" : [ { "dropping-particle" : "", "family" : "Wiechert", "given" : "W", "non-dropping-particle" : "", "parse-names" : false, "suffix" : "" }, { "dropping-particle" : "", "family" : "Graaf", "given" : "A A", "non-dropping-particle" : "de", "parse-names" : false, "suffix" : "" } ], "container-title" : "Advances in biochemical engineering/biotechnology", "id" : "ITEM-5", "issued" : { "date-parts" : [ [ "1996", "1" ] ] }, "page" : "109-54", "title" : "In vivo stationary flux analysis by 13C labeling experiments.", "type" : "article-journal", "volume" : "54" }, "uris" : [ "http://www.mendeley.com/documents/?uuid=9c9dcaa9-7d50-40b2-aae6-c1f669192d3c" ] } ], "mendeley" : { "formattedCitation" : "[30\u201332, 35, 54]", "plainTextFormattedCitation" : "[30\u201332, 35, 54]", "previouslyFormattedCitation" : "[30\u201332, 35, 54]" }, "properties" : { "noteIndex" : 0 }, "schema" : "https://github.com/citation-style-language/schema/raw/master/csl-citation.json" }</w:instrText>
      </w:r>
      <w:r w:rsidRPr="00E03A11">
        <w:fldChar w:fldCharType="separate"/>
      </w:r>
      <w:r w:rsidR="0005386F" w:rsidRPr="0005386F">
        <w:rPr>
          <w:noProof/>
        </w:rPr>
        <w:t>[30–32, 35, 54]</w:t>
      </w:r>
      <w:r w:rsidRPr="00E03A11">
        <w:fldChar w:fldCharType="end"/>
      </w:r>
      <w:r w:rsidRPr="0055587D">
        <w:t xml:space="preserve">. It generates both flux maps with absolute </w:t>
      </w:r>
      <w:r w:rsidRPr="0055587D">
        <w:lastRenderedPageBreak/>
        <w:t xml:space="preserve">values as well as flux distribution normalized to specific substrate uptake rate, offering insights into cell behavior at the metabolic activity level. </w:t>
      </w:r>
      <w:r>
        <w:t xml:space="preserve">This technique provides an approach to address the metabolic changes underlying the physiological differences observed in the two </w:t>
      </w:r>
      <w:r>
        <w:rPr>
          <w:i/>
        </w:rPr>
        <w:t xml:space="preserve">M. </w:t>
      </w:r>
      <w:proofErr w:type="spellStart"/>
      <w:r>
        <w:rPr>
          <w:i/>
        </w:rPr>
        <w:t>extorquens</w:t>
      </w:r>
      <w:proofErr w:type="spellEnd"/>
      <w:r>
        <w:rPr>
          <w:i/>
        </w:rPr>
        <w:t xml:space="preserve"> </w:t>
      </w:r>
      <w:r>
        <w:t>strain variants noted above.</w:t>
      </w:r>
    </w:p>
    <w:p w14:paraId="52426077" w14:textId="77777777" w:rsidR="009855DF" w:rsidRPr="00C82733" w:rsidRDefault="009855DF" w:rsidP="00C41689">
      <w:pPr>
        <w:divId w:val="1326516459"/>
      </w:pPr>
      <w:r w:rsidRPr="0055587D">
        <w:t>In this study,</w:t>
      </w:r>
      <w:r>
        <w:t xml:space="preserve"> it was established that a tradeoff exists between growth rate and biomass yield in these two </w:t>
      </w:r>
      <w:r>
        <w:rPr>
          <w:i/>
        </w:rPr>
        <w:t xml:space="preserve">M. </w:t>
      </w:r>
      <w:proofErr w:type="spellStart"/>
      <w:r>
        <w:rPr>
          <w:i/>
        </w:rPr>
        <w:t>extorquens</w:t>
      </w:r>
      <w:proofErr w:type="spellEnd"/>
      <w:r>
        <w:rPr>
          <w:i/>
        </w:rPr>
        <w:t xml:space="preserve"> </w:t>
      </w:r>
      <w:r>
        <w:t>AM1 strain variants, and</w:t>
      </w:r>
      <w:r w:rsidRPr="0055587D">
        <w:t xml:space="preserve"> </w:t>
      </w:r>
      <w:r w:rsidRPr="00C82733">
        <w:rPr>
          <w:vertAlign w:val="superscript"/>
        </w:rPr>
        <w:t>13</w:t>
      </w:r>
      <w:r w:rsidRPr="0055587D">
        <w:t xml:space="preserve">C metabolic flux analysis (MFA) was applied to both </w:t>
      </w:r>
      <w:r>
        <w:t xml:space="preserve">strain </w:t>
      </w:r>
      <w:r w:rsidRPr="0055587D">
        <w:t>variants in order to assess the metabolic differences underlying the trade-off</w:t>
      </w:r>
      <w:r>
        <w:t xml:space="preserve">. </w:t>
      </w:r>
      <w:r w:rsidRPr="0055587D">
        <w:t xml:space="preserve">In addition, MFA was applied to the same strain with different cobalt </w:t>
      </w:r>
      <w:r>
        <w:t>supplements</w:t>
      </w:r>
      <w:r w:rsidRPr="0055587D">
        <w:t xml:space="preserve"> to assess the </w:t>
      </w:r>
      <w:r>
        <w:t xml:space="preserve">effect of </w:t>
      </w:r>
      <w:r w:rsidRPr="0055587D">
        <w:t xml:space="preserve">cobalt on overall central carbon metabolism </w:t>
      </w:r>
      <w:r w:rsidRPr="009D4AEA">
        <w:t xml:space="preserve">and its contribution </w:t>
      </w:r>
      <w:r w:rsidRPr="0023217E">
        <w:t xml:space="preserve">to the trade-off. </w:t>
      </w:r>
    </w:p>
    <w:p w14:paraId="577B88C6" w14:textId="77777777" w:rsidR="009855DF" w:rsidRPr="0055587D" w:rsidRDefault="009855DF" w:rsidP="00C41689">
      <w:pPr>
        <w:pStyle w:val="Heading2"/>
        <w:divId w:val="1326516459"/>
      </w:pPr>
      <w:bookmarkStart w:id="41" w:name="_Toc468311710"/>
      <w:r w:rsidRPr="0055587D">
        <w:t>Results</w:t>
      </w:r>
      <w:bookmarkEnd w:id="41"/>
      <w:r w:rsidRPr="0055587D">
        <w:t xml:space="preserve"> </w:t>
      </w:r>
    </w:p>
    <w:p w14:paraId="393B0213" w14:textId="4328FBBE" w:rsidR="009855DF" w:rsidRPr="0055587D" w:rsidRDefault="000B1DE3" w:rsidP="00C41689">
      <w:pPr>
        <w:pStyle w:val="Heading3"/>
        <w:divId w:val="1326516459"/>
        <w:rPr>
          <w:b w:val="0"/>
        </w:rPr>
      </w:pPr>
      <w:bookmarkStart w:id="42" w:name="_Toc468311711"/>
      <w:r>
        <w:t xml:space="preserve">2.1 </w:t>
      </w:r>
      <w:r w:rsidR="009855DF" w:rsidRPr="0055587D">
        <w:t xml:space="preserve">Tradeoff between growth rate and biomass yield exists in </w:t>
      </w:r>
      <w:r w:rsidR="009855DF" w:rsidRPr="0055587D">
        <w:rPr>
          <w:i/>
        </w:rPr>
        <w:t xml:space="preserve">M. </w:t>
      </w:r>
      <w:proofErr w:type="spellStart"/>
      <w:r w:rsidR="009855DF" w:rsidRPr="0055587D">
        <w:rPr>
          <w:i/>
        </w:rPr>
        <w:t>extorquens</w:t>
      </w:r>
      <w:proofErr w:type="spellEnd"/>
      <w:r w:rsidR="009855DF" w:rsidRPr="0055587D">
        <w:rPr>
          <w:i/>
        </w:rPr>
        <w:t xml:space="preserve"> </w:t>
      </w:r>
      <w:r w:rsidR="009855DF" w:rsidRPr="0055587D">
        <w:t>AM1 for two</w:t>
      </w:r>
      <w:r w:rsidR="009855DF">
        <w:t xml:space="preserve"> strain</w:t>
      </w:r>
      <w:r w:rsidR="009855DF" w:rsidRPr="0055587D">
        <w:t xml:space="preserve"> variants as well as two cobalt levels</w:t>
      </w:r>
      <w:bookmarkEnd w:id="42"/>
    </w:p>
    <w:p w14:paraId="27CB6D31" w14:textId="722A49E8" w:rsidR="009855DF" w:rsidRDefault="009855DF" w:rsidP="00C41689">
      <w:pPr>
        <w:divId w:val="1326516459"/>
      </w:pPr>
      <w:r>
        <w:t>Observations of growth rate differences prompted a more in-depth study of t</w:t>
      </w:r>
      <w:r w:rsidRPr="0055587D">
        <w:t xml:space="preserve">wo </w:t>
      </w:r>
      <w:r w:rsidRPr="0055587D">
        <w:rPr>
          <w:i/>
        </w:rPr>
        <w:t xml:space="preserve">M. </w:t>
      </w:r>
      <w:proofErr w:type="spellStart"/>
      <w:r w:rsidRPr="0055587D">
        <w:rPr>
          <w:i/>
        </w:rPr>
        <w:t>extorquens</w:t>
      </w:r>
      <w:proofErr w:type="spellEnd"/>
      <w:r w:rsidRPr="0055587D">
        <w:rPr>
          <w:i/>
        </w:rPr>
        <w:t xml:space="preserve"> </w:t>
      </w:r>
      <w:r w:rsidRPr="0055587D">
        <w:t xml:space="preserve">AM1 strains, </w:t>
      </w:r>
      <w:r>
        <w:t xml:space="preserve">a parent </w:t>
      </w:r>
      <w:r w:rsidRPr="0055587D">
        <w:t xml:space="preserve">strain from the laboratory of Mary </w:t>
      </w:r>
      <w:proofErr w:type="spellStart"/>
      <w:r w:rsidRPr="0055587D">
        <w:t>Lidstrom</w:t>
      </w:r>
      <w:proofErr w:type="spellEnd"/>
      <w:r w:rsidRPr="0055587D">
        <w:t xml:space="preserve"> (LL</w:t>
      </w:r>
      <w:r>
        <w:t xml:space="preserve"> strain</w:t>
      </w:r>
      <w:r w:rsidRPr="0055587D">
        <w:t xml:space="preserve">), and a strain that originated from the </w:t>
      </w:r>
      <w:proofErr w:type="spellStart"/>
      <w:r w:rsidRPr="0055587D">
        <w:t>Lidstrom</w:t>
      </w:r>
      <w:proofErr w:type="spellEnd"/>
      <w:r w:rsidRPr="0055587D">
        <w:t xml:space="preserve"> laboratory, but was carried in the laboratory of Julia </w:t>
      </w:r>
      <w:proofErr w:type="spellStart"/>
      <w:r w:rsidRPr="0055587D">
        <w:t>Vorholt</w:t>
      </w:r>
      <w:proofErr w:type="spellEnd"/>
      <w:r w:rsidRPr="0055587D">
        <w:t xml:space="preserve"> </w:t>
      </w:r>
      <w:r>
        <w:t xml:space="preserve">(VL strain) </w:t>
      </w:r>
      <w:r w:rsidRPr="0055587D">
        <w:t xml:space="preserve">since 2001. </w:t>
      </w:r>
      <w:r>
        <w:t xml:space="preserve">Both genomes of the two variants were sequenced in this study. A small number of genomic differences were detected between three different </w:t>
      </w:r>
      <w:r w:rsidRPr="0055587D">
        <w:rPr>
          <w:i/>
        </w:rPr>
        <w:t xml:space="preserve">M. </w:t>
      </w:r>
      <w:proofErr w:type="spellStart"/>
      <w:r w:rsidRPr="0055587D">
        <w:rPr>
          <w:i/>
        </w:rPr>
        <w:t>extorquens</w:t>
      </w:r>
      <w:proofErr w:type="spellEnd"/>
      <w:r>
        <w:t xml:space="preserve"> strains (VL, LL and Chris Marx modern strain</w:t>
      </w:r>
      <w:r>
        <w:fldChar w:fldCharType="begin" w:fldLock="1"/>
      </w:r>
      <w:r w:rsidR="008C0508">
        <w:instrText>ADDIN CSL_CITATION { "citationItems" : [ { "id" : "ITEM-1", "itemData" : { "DOI" : "10.1126/science.1203799", "ISSN" : "1095-9203", "PMID" : "21636771", "abstract" : "Epistasis has substantial impacts on evolution, in particular, the rate of adaptation. We generated combinations of beneficial mutations that arose in a lineage during rapid adaptation of a bacterium whose growth depended on a newly introduced metabolic pathway. The proportional selective benefit for three of the four loci consistently decreased when they were introduced onto more fit backgrounds. These three alleles all reduced morphological defects caused by expression of the foreign pathway. A simple theoretical model segregating the apparent contribution of individual alleles to benefits and costs effectively predicted the interactions between them. These results provide the first evidence that patterns of epistasis may differ for within- and between-gene interactions during adaptation and that diminishing returns epistasis contributes to the consistent observation of decelerating fitness gains during adaptation.", "author" : [ { "dropping-particle" : "", "family" : "Chou", "given" : "Hsin-Hung", "non-dropping-particle" : "", "parse-names" : false, "suffix" : "" }, { "dropping-particle" : "", "family" : "Chiu", "given" : "Hsuan-Chao", "non-dropping-particle" : "", "parse-names" : false, "suffix" : "" }, { "dropping-particle" : "", "family" : "Delaney", "given" : "Nigel F", "non-dropping-particle" : "", "parse-names" : false, "suffix" : "" }, { "dropping-particle" : "", "family" : "Segr\u00e8", "given" : "Daniel", "non-dropping-particle" : "", "parse-names" : false, "suffix" : "" }, { "dropping-particle" : "", "family" : "Marx", "given" : "Christopher J", "non-dropping-particle" : "", "parse-names" : false, "suffix" : "" } ], "container-title" : "Science (New York, N.Y.)", "id" : "ITEM-1", "issue" : "6034", "issued" : { "date-parts" : [ [ "2011", "6", "3" ] ] }, "page" : "1190-2", "title" : "Diminishing returns epistasis among beneficial mutations decelerates adaptation.", "type" : "article-journal", "volume" : "332" }, "uris" : [ "http://www.mendeley.com/documents/?uuid=cc1c31a6-4a7a-4bc2-9980-d33950f88c5d" ] } ], "mendeley" : { "formattedCitation" : "[55]", "plainTextFormattedCitation" : "[55]", "previouslyFormattedCitation" : "[55]" }, "properties" : { "noteIndex" : 0 }, "schema" : "https://github.com/citation-style-language/schema/raw/master/csl-citation.json" }</w:instrText>
      </w:r>
      <w:r>
        <w:fldChar w:fldCharType="separate"/>
      </w:r>
      <w:r w:rsidR="0005386F" w:rsidRPr="0005386F">
        <w:rPr>
          <w:noProof/>
        </w:rPr>
        <w:t>[55]</w:t>
      </w:r>
      <w:r>
        <w:fldChar w:fldCharType="end"/>
      </w:r>
      <w:r>
        <w:t>) (</w:t>
      </w:r>
      <w:r w:rsidR="00B859B2">
        <w:t>see supporting material table S</w:t>
      </w:r>
      <w:r w:rsidR="00D30A50">
        <w:t>2</w:t>
      </w:r>
      <w:r w:rsidR="00B859B2">
        <w:t>_</w:t>
      </w:r>
      <w:r>
        <w:t xml:space="preserve">1). However, these differences did not provide an obvious solution to the trade-off or suggest how the divergence in genome sequence affects growth rate. </w:t>
      </w:r>
      <w:r w:rsidRPr="0055587D">
        <w:t xml:space="preserve">Growth experiments were conducted for the two strains with </w:t>
      </w:r>
      <w:r w:rsidRPr="006C322C">
        <w:rPr>
          <w:rFonts w:eastAsia="SimSun"/>
          <w:lang w:eastAsia="zh-CN"/>
        </w:rPr>
        <w:t xml:space="preserve">methanol as </w:t>
      </w:r>
      <w:r w:rsidRPr="0055587D">
        <w:rPr>
          <w:rFonts w:eastAsia="SimSun"/>
          <w:lang w:eastAsia="zh-CN"/>
        </w:rPr>
        <w:t xml:space="preserve">the </w:t>
      </w:r>
      <w:r w:rsidRPr="006C322C">
        <w:rPr>
          <w:rFonts w:eastAsia="SimSun"/>
          <w:lang w:eastAsia="zh-CN"/>
        </w:rPr>
        <w:t>sole carbon substrate</w:t>
      </w:r>
      <w:r w:rsidRPr="0055587D">
        <w:t xml:space="preserve">. A minimal medium from the </w:t>
      </w:r>
      <w:proofErr w:type="spellStart"/>
      <w:r w:rsidRPr="0055587D">
        <w:t>Lidstrom</w:t>
      </w:r>
      <w:proofErr w:type="spellEnd"/>
      <w:r w:rsidRPr="0055587D">
        <w:t xml:space="preserve"> laboratory </w:t>
      </w:r>
      <w:r>
        <w:t xml:space="preserve">(called </w:t>
      </w:r>
      <w:proofErr w:type="spellStart"/>
      <w:r>
        <w:t>hypho</w:t>
      </w:r>
      <w:proofErr w:type="spellEnd"/>
      <w:r>
        <w:t xml:space="preserve"> medium, HY) </w:t>
      </w:r>
      <w:r w:rsidRPr="0055587D">
        <w:t xml:space="preserve">was used to be consistent with previous work done in the </w:t>
      </w:r>
      <w:proofErr w:type="spellStart"/>
      <w:r w:rsidRPr="0055587D">
        <w:t>Lidstrom</w:t>
      </w:r>
      <w:proofErr w:type="spellEnd"/>
      <w:r w:rsidRPr="0055587D">
        <w:t xml:space="preserve"> laboratory. </w:t>
      </w:r>
      <w:r>
        <w:t xml:space="preserve">In addition, since levels of cobalt in the medium also affect growth rate of </w:t>
      </w:r>
      <w:r>
        <w:rPr>
          <w:i/>
        </w:rPr>
        <w:t xml:space="preserve">M. </w:t>
      </w:r>
      <w:proofErr w:type="spellStart"/>
      <w:r>
        <w:rPr>
          <w:i/>
        </w:rPr>
        <w:t>extorquens</w:t>
      </w:r>
      <w:proofErr w:type="spellEnd"/>
      <w:r>
        <w:rPr>
          <w:i/>
        </w:rPr>
        <w:t xml:space="preserve"> </w:t>
      </w:r>
      <w:r>
        <w:t xml:space="preserve">AM1 strains [8, 9] but the effect on biomass yield is unknown, this factor was also studied. Three different levels of cobalt were tested for growth rate experiments (data not shown). For both strains, the most dramatic differences were between </w:t>
      </w:r>
      <w:r w:rsidRPr="0062201A">
        <w:rPr>
          <w:rFonts w:eastAsia="Times New Roman"/>
          <w:lang w:val="en-GB"/>
        </w:rPr>
        <w:t>1.35</w:t>
      </w:r>
      <w:r>
        <w:rPr>
          <w:rFonts w:eastAsia="Times New Roman"/>
          <w:lang w:val="en-GB"/>
        </w:rPr>
        <w:t xml:space="preserve"> </w:t>
      </w:r>
      <w:proofErr w:type="spellStart"/>
      <w:r w:rsidRPr="0062201A">
        <w:rPr>
          <w:rFonts w:eastAsia="Times New Roman"/>
          <w:lang w:val="en-GB"/>
        </w:rPr>
        <w:t>μM</w:t>
      </w:r>
      <w:proofErr w:type="spellEnd"/>
      <w:r w:rsidRPr="0062201A">
        <w:rPr>
          <w:rFonts w:eastAsia="Times New Roman"/>
          <w:lang w:val="en-GB"/>
        </w:rPr>
        <w:t xml:space="preserve"> and 6.31</w:t>
      </w:r>
      <w:r>
        <w:rPr>
          <w:rFonts w:eastAsia="Times New Roman"/>
          <w:lang w:val="en-GB"/>
        </w:rPr>
        <w:t xml:space="preserve"> </w:t>
      </w:r>
      <w:proofErr w:type="spellStart"/>
      <w:r w:rsidRPr="0062201A">
        <w:rPr>
          <w:rFonts w:eastAsia="Times New Roman"/>
          <w:lang w:val="en-GB"/>
        </w:rPr>
        <w:t>μM</w:t>
      </w:r>
      <w:proofErr w:type="spellEnd"/>
      <w:r>
        <w:rPr>
          <w:rFonts w:eastAsia="Times New Roman"/>
          <w:lang w:val="en-GB"/>
        </w:rPr>
        <w:t>.</w:t>
      </w:r>
      <w:r>
        <w:t xml:space="preserve"> These two concentrations </w:t>
      </w:r>
      <w:r w:rsidRPr="006C322C">
        <w:t>were</w:t>
      </w:r>
      <w:r w:rsidRPr="0055587D">
        <w:t xml:space="preserve"> </w:t>
      </w:r>
      <w:r>
        <w:t xml:space="preserve">then </w:t>
      </w:r>
      <w:r>
        <w:rPr>
          <w:rFonts w:eastAsia="SimSun"/>
          <w:lang w:eastAsia="zh-CN"/>
        </w:rPr>
        <w:t>chosen</w:t>
      </w:r>
      <w:r w:rsidRPr="0055587D">
        <w:t xml:space="preserve"> to test the effect of cobalt supplementation</w:t>
      </w:r>
      <w:r>
        <w:t xml:space="preserve">. </w:t>
      </w:r>
    </w:p>
    <w:p w14:paraId="4228C5EB" w14:textId="30003A59" w:rsidR="009855DF" w:rsidRDefault="009855DF" w:rsidP="00C41689">
      <w:pPr>
        <w:divId w:val="1326516459"/>
      </w:pPr>
      <w:r w:rsidRPr="0055587D">
        <w:lastRenderedPageBreak/>
        <w:t xml:space="preserve">Biomass yield </w:t>
      </w:r>
      <w:r>
        <w:t xml:space="preserve">on methanol, which was defined as g cell dry weight generated per </w:t>
      </w:r>
      <w:proofErr w:type="spellStart"/>
      <w:r>
        <w:t>mol</w:t>
      </w:r>
      <w:proofErr w:type="spellEnd"/>
      <w:r>
        <w:t xml:space="preserve"> methanol consumption, </w:t>
      </w:r>
      <w:r w:rsidRPr="0055587D">
        <w:t xml:space="preserve">was monitored by measuring methanol </w:t>
      </w:r>
      <w:r>
        <w:t xml:space="preserve">concentration in supernatant and biomass concentration </w:t>
      </w:r>
      <w:r w:rsidRPr="0055587D">
        <w:t>during log phase</w:t>
      </w:r>
      <w:r>
        <w:t xml:space="preserve"> (at least two time points were taken during log phase). Excretion products were tested in culture supernatant and were found to be negligible. A n</w:t>
      </w:r>
      <w:r w:rsidRPr="0055587D">
        <w:t xml:space="preserve">egative correlation between growth rate and biomass yield was observed, </w:t>
      </w:r>
      <w:r>
        <w:t xml:space="preserve">with </w:t>
      </w:r>
      <w:r w:rsidRPr="0055587D">
        <w:t>both strain difference and cobalt level play</w:t>
      </w:r>
      <w:r>
        <w:t>ing</w:t>
      </w:r>
      <w:r w:rsidRPr="0055587D">
        <w:t xml:space="preserve"> a role in the trade-off.  As shown in Figure </w:t>
      </w:r>
      <w:r w:rsidR="00E27F30">
        <w:t>2</w:t>
      </w:r>
      <w:r w:rsidR="00F114EF">
        <w:t>.</w:t>
      </w:r>
      <w:r>
        <w:t>2</w:t>
      </w:r>
      <w:r w:rsidRPr="0055587D">
        <w:t xml:space="preserve">, </w:t>
      </w:r>
      <w:r>
        <w:t xml:space="preserve">the </w:t>
      </w:r>
      <w:r w:rsidRPr="0055587D">
        <w:t xml:space="preserve">VL </w:t>
      </w:r>
      <w:r>
        <w:t xml:space="preserve">strain </w:t>
      </w:r>
      <w:r w:rsidRPr="0055587D">
        <w:t xml:space="preserve">grew </w:t>
      </w:r>
      <w:r>
        <w:t xml:space="preserve">22% </w:t>
      </w:r>
      <w:r w:rsidRPr="0055587D">
        <w:t xml:space="preserve">faster than </w:t>
      </w:r>
      <w:r>
        <w:t xml:space="preserve">the </w:t>
      </w:r>
      <w:r w:rsidRPr="0055587D">
        <w:t xml:space="preserve">LL </w:t>
      </w:r>
      <w:r>
        <w:t xml:space="preserve">strain in the presence of </w:t>
      </w:r>
      <w:r w:rsidRPr="00D1551E">
        <w:rPr>
          <w:rFonts w:eastAsia="Times New Roman"/>
          <w:lang w:val="en-GB"/>
        </w:rPr>
        <w:t>1.35μM</w:t>
      </w:r>
      <w:r w:rsidRPr="0055587D">
        <w:t xml:space="preserve"> cobalt (</w:t>
      </w:r>
      <w:r>
        <w:t>normal</w:t>
      </w:r>
      <w:r w:rsidRPr="0055587D">
        <w:t xml:space="preserve"> HY</w:t>
      </w:r>
      <w:r>
        <w:t xml:space="preserve"> medium</w:t>
      </w:r>
      <w:r w:rsidRPr="0055587D">
        <w:t xml:space="preserve">), </w:t>
      </w:r>
      <w:r>
        <w:t xml:space="preserve">and similarly, </w:t>
      </w:r>
      <w:r w:rsidRPr="0055587D">
        <w:t xml:space="preserve">21% </w:t>
      </w:r>
      <w:r>
        <w:t>faster i</w:t>
      </w:r>
      <w:r w:rsidRPr="0055587D">
        <w:t xml:space="preserve">n </w:t>
      </w:r>
      <w:r>
        <w:t>medium</w:t>
      </w:r>
      <w:r w:rsidRPr="0055587D">
        <w:t xml:space="preserve"> with</w:t>
      </w:r>
      <w:r w:rsidRPr="00F7622F">
        <w:rPr>
          <w:rFonts w:eastAsia="Times New Roman"/>
          <w:lang w:val="en-GB"/>
        </w:rPr>
        <w:t xml:space="preserve"> 6.31μM cobalt (</w:t>
      </w:r>
      <w:r>
        <w:rPr>
          <w:rFonts w:eastAsia="Times New Roman"/>
          <w:lang w:val="en-GB"/>
        </w:rPr>
        <w:t>termed</w:t>
      </w:r>
      <w:r w:rsidRPr="00F7622F">
        <w:rPr>
          <w:rFonts w:eastAsia="Times New Roman"/>
          <w:lang w:val="en-GB"/>
        </w:rPr>
        <w:t xml:space="preserve"> </w:t>
      </w:r>
      <w:r>
        <w:rPr>
          <w:rFonts w:eastAsia="Times New Roman"/>
          <w:lang w:val="en-GB"/>
        </w:rPr>
        <w:t>HYC medium</w:t>
      </w:r>
      <w:r w:rsidRPr="00F7622F">
        <w:rPr>
          <w:rFonts w:eastAsia="Times New Roman"/>
          <w:lang w:val="en-GB"/>
        </w:rPr>
        <w:t>)</w:t>
      </w:r>
      <w:r w:rsidRPr="0055587D">
        <w:t xml:space="preserve">. However, biomass yield shows the opposite trend. </w:t>
      </w:r>
      <w:r>
        <w:t>The biomass yield of was</w:t>
      </w:r>
      <w:r w:rsidRPr="0055587D">
        <w:t xml:space="preserve"> 28% lower than </w:t>
      </w:r>
      <w:r>
        <w:t xml:space="preserve">that of the </w:t>
      </w:r>
      <w:r w:rsidRPr="0055587D">
        <w:t xml:space="preserve">LL </w:t>
      </w:r>
      <w:r>
        <w:t xml:space="preserve">strain </w:t>
      </w:r>
      <w:r w:rsidRPr="0055587D">
        <w:t xml:space="preserve">in </w:t>
      </w:r>
      <w:r>
        <w:t xml:space="preserve">both </w:t>
      </w:r>
      <w:r w:rsidRPr="0055587D">
        <w:t>HY</w:t>
      </w:r>
      <w:r>
        <w:t xml:space="preserve"> and HYC.</w:t>
      </w:r>
      <w:r w:rsidRPr="0055587D">
        <w:t xml:space="preserve"> </w:t>
      </w:r>
      <w:r>
        <w:t>A similar</w:t>
      </w:r>
      <w:r w:rsidRPr="0055587D">
        <w:t xml:space="preserve"> trade-off was also observed for the same strain </w:t>
      </w:r>
      <w:r>
        <w:t xml:space="preserve">growing in </w:t>
      </w:r>
      <w:r w:rsidRPr="0055587D">
        <w:t>medium with different cobalt level</w:t>
      </w:r>
      <w:r>
        <w:t>s</w:t>
      </w:r>
      <w:r w:rsidRPr="0055587D">
        <w:t xml:space="preserve">. </w:t>
      </w:r>
      <w:r>
        <w:t xml:space="preserve">The </w:t>
      </w:r>
      <w:r w:rsidRPr="0055587D">
        <w:t>LL strain</w:t>
      </w:r>
      <w:r>
        <w:t xml:space="preserve"> grew 26% faster</w:t>
      </w:r>
      <w:r w:rsidRPr="0055587D">
        <w:t xml:space="preserve"> </w:t>
      </w:r>
      <w:r>
        <w:t xml:space="preserve">but with 32% lower biomass yield </w:t>
      </w:r>
      <w:r w:rsidRPr="0055587D">
        <w:t>in HY</w:t>
      </w:r>
      <w:r>
        <w:t xml:space="preserve">C medium </w:t>
      </w:r>
      <w:r w:rsidRPr="0055587D">
        <w:t>than in HY</w:t>
      </w:r>
      <w:r>
        <w:t xml:space="preserve"> medium</w:t>
      </w:r>
      <w:r w:rsidRPr="0055587D">
        <w:t xml:space="preserve">, while </w:t>
      </w:r>
      <w:r>
        <w:t>the</w:t>
      </w:r>
      <w:r w:rsidRPr="0055587D">
        <w:t xml:space="preserve"> VL</w:t>
      </w:r>
      <w:r>
        <w:t xml:space="preserve"> strain</w:t>
      </w:r>
      <w:r w:rsidRPr="0055587D">
        <w:t xml:space="preserve"> grew </w:t>
      </w:r>
      <w:r>
        <w:t xml:space="preserve">25% </w:t>
      </w:r>
      <w:r w:rsidRPr="0055587D">
        <w:t>faster</w:t>
      </w:r>
      <w:r>
        <w:t xml:space="preserve"> with 28% lower biomass yield in HYC </w:t>
      </w:r>
      <w:r w:rsidRPr="000B387D">
        <w:rPr>
          <w:rFonts w:hint="eastAsia"/>
        </w:rPr>
        <w:t>than</w:t>
      </w:r>
      <w:r>
        <w:rPr>
          <w:rFonts w:ascii="SimSun" w:eastAsia="SimSun" w:hAnsi="SimSun" w:cs="SimSun" w:hint="eastAsia"/>
          <w:lang w:eastAsia="zh-CN"/>
        </w:rPr>
        <w:t xml:space="preserve"> </w:t>
      </w:r>
      <w:r>
        <w:t>HY.</w:t>
      </w:r>
    </w:p>
    <w:p w14:paraId="313DAF66" w14:textId="77777777" w:rsidR="009855DF" w:rsidRPr="0055587D" w:rsidRDefault="009855DF" w:rsidP="00C41689">
      <w:pPr>
        <w:divId w:val="1326516459"/>
      </w:pPr>
      <w:r>
        <w:t>In summary, within the four conditions tested in this study, LL in HY medium has the slowest growth rate but highest biomass yield while VL in HYC medium has the fastest growth rate but lowest biomass yield. Since both strain difference and cobalt level were taken into account in this set of comparisons, analysis of the metabolic response to the trade-off includes both factors.</w:t>
      </w:r>
    </w:p>
    <w:p w14:paraId="267EAC88" w14:textId="604E5C5D" w:rsidR="009855DF" w:rsidRPr="00706E2E" w:rsidRDefault="000B1DE3" w:rsidP="00C41689">
      <w:pPr>
        <w:pStyle w:val="Heading3"/>
        <w:divId w:val="1326516459"/>
      </w:pPr>
      <w:bookmarkStart w:id="43" w:name="_Toc468311712"/>
      <w:r>
        <w:t xml:space="preserve">2.2 </w:t>
      </w:r>
      <w:r w:rsidR="009855DF" w:rsidRPr="004D2514">
        <w:t xml:space="preserve">Flux distribution reveals different </w:t>
      </w:r>
      <w:r w:rsidR="009855DF">
        <w:t xml:space="preserve">metabolic </w:t>
      </w:r>
      <w:r w:rsidR="009855DF" w:rsidRPr="004D2514">
        <w:t>strategies in C</w:t>
      </w:r>
      <w:r w:rsidR="009855DF" w:rsidRPr="004D2514">
        <w:rPr>
          <w:vertAlign w:val="subscript"/>
        </w:rPr>
        <w:t>3</w:t>
      </w:r>
      <w:r w:rsidR="009855DF" w:rsidRPr="004D2514">
        <w:t>-C</w:t>
      </w:r>
      <w:r w:rsidR="009855DF" w:rsidRPr="004D2514">
        <w:rPr>
          <w:vertAlign w:val="subscript"/>
        </w:rPr>
        <w:t>4</w:t>
      </w:r>
      <w:r w:rsidR="009855DF" w:rsidRPr="004D2514">
        <w:t xml:space="preserve"> interconversion</w:t>
      </w:r>
      <w:r w:rsidR="009855DF">
        <w:t>s</w:t>
      </w:r>
      <w:r w:rsidR="009855DF" w:rsidRPr="004D2514">
        <w:t xml:space="preserve"> and </w:t>
      </w:r>
      <w:r w:rsidR="009855DF">
        <w:t xml:space="preserve">the </w:t>
      </w:r>
      <w:proofErr w:type="spellStart"/>
      <w:r w:rsidR="009855DF" w:rsidRPr="004D2514">
        <w:t>formate</w:t>
      </w:r>
      <w:proofErr w:type="spellEnd"/>
      <w:r w:rsidR="009855DF" w:rsidRPr="004D2514">
        <w:t xml:space="preserve"> </w:t>
      </w:r>
      <w:r w:rsidR="009855DF" w:rsidRPr="00706E2E">
        <w:t>branch node</w:t>
      </w:r>
      <w:bookmarkEnd w:id="43"/>
    </w:p>
    <w:p w14:paraId="64AD9407" w14:textId="52FF8883" w:rsidR="009855DF" w:rsidRDefault="009855DF" w:rsidP="00654CDF">
      <w:pPr>
        <w:divId w:val="1326516459"/>
      </w:pPr>
      <w:r>
        <w:t>In order to assess metabolic differences between the two strains, d</w:t>
      </w:r>
      <w:r w:rsidRPr="003F5526">
        <w:t xml:space="preserve">etailed central carbon flux maps were generated </w:t>
      </w:r>
      <w:r>
        <w:t xml:space="preserve">for each strain </w:t>
      </w:r>
      <w:r w:rsidRPr="003F5526">
        <w:t xml:space="preserve">to provide a quantitative description for </w:t>
      </w:r>
      <w:r>
        <w:t>the two growth</w:t>
      </w:r>
      <w:r w:rsidRPr="003F5526">
        <w:t xml:space="preserve"> condition</w:t>
      </w:r>
      <w:r>
        <w:t>s</w:t>
      </w:r>
      <w:r w:rsidRPr="003F5526">
        <w:t xml:space="preserve"> using </w:t>
      </w:r>
      <w:r w:rsidRPr="003F5526">
        <w:rPr>
          <w:vertAlign w:val="superscript"/>
        </w:rPr>
        <w:t>13</w:t>
      </w:r>
      <w:r w:rsidRPr="003F5526">
        <w:t>C metabolic flux analysis (</w:t>
      </w:r>
      <w:r w:rsidRPr="003F5526">
        <w:rPr>
          <w:vertAlign w:val="superscript"/>
        </w:rPr>
        <w:t>13</w:t>
      </w:r>
      <w:r w:rsidRPr="003F5526">
        <w:t>C-MFA).</w:t>
      </w:r>
      <w:r>
        <w:t xml:space="preserve"> The published flux balance model and biomass composition for the VL strain [13] was used as a basis for a model developed in </w:t>
      </w:r>
      <w:proofErr w:type="spellStart"/>
      <w:r>
        <w:t>Influx_s</w:t>
      </w:r>
      <w:proofErr w:type="spellEnd"/>
      <w:r>
        <w:t xml:space="preserve">. The specific </w:t>
      </w:r>
      <w:r w:rsidRPr="003F5526">
        <w:t xml:space="preserve">methanol uptake rate </w:t>
      </w:r>
      <w:r>
        <w:t xml:space="preserve">of cells </w:t>
      </w:r>
      <w:r w:rsidRPr="003F5526">
        <w:t>was measured</w:t>
      </w:r>
      <w:r>
        <w:t xml:space="preserve"> in exponential phase</w:t>
      </w:r>
      <w:r w:rsidRPr="003F5526">
        <w:t xml:space="preserve">, and </w:t>
      </w:r>
      <w:r>
        <w:t xml:space="preserve">an analysis </w:t>
      </w:r>
      <w:r w:rsidRPr="003F5526">
        <w:t xml:space="preserve">of extracellular metabolites </w:t>
      </w:r>
      <w:r>
        <w:t>for cells grown in the same way showed</w:t>
      </w:r>
      <w:r w:rsidRPr="003F5526">
        <w:t xml:space="preserve"> negligible</w:t>
      </w:r>
      <w:r>
        <w:t xml:space="preserve"> amounts</w:t>
      </w:r>
      <w:r w:rsidRPr="003F5526">
        <w:t xml:space="preserve">. </w:t>
      </w:r>
      <w:r w:rsidRPr="0055587D">
        <w:t xml:space="preserve">The model consists of 114 reactions </w:t>
      </w:r>
      <w:r>
        <w:t>including</w:t>
      </w:r>
      <w:r w:rsidRPr="0055587D">
        <w:t xml:space="preserve"> 9 reversible reactions and 2 scrambl</w:t>
      </w:r>
      <w:r>
        <w:t>ing</w:t>
      </w:r>
      <w:r w:rsidRPr="0055587D">
        <w:t xml:space="preserve"> reactions. </w:t>
      </w:r>
      <w:r>
        <w:t>A</w:t>
      </w:r>
      <w:r w:rsidRPr="0055587D">
        <w:t xml:space="preserve"> total </w:t>
      </w:r>
      <w:r>
        <w:t xml:space="preserve">of </w:t>
      </w:r>
      <w:r w:rsidRPr="0055587D">
        <w:t xml:space="preserve">149 MS measurements were used for model fitting with 12 calculated label </w:t>
      </w:r>
      <w:r w:rsidRPr="004D2514">
        <w:t>measurements</w:t>
      </w:r>
      <w:r w:rsidRPr="00F708A8">
        <w:t xml:space="preserve">. The </w:t>
      </w:r>
      <w:r w:rsidRPr="00706E2E">
        <w:t xml:space="preserve">simulated flux data were then normalized to </w:t>
      </w:r>
      <w:r>
        <w:t xml:space="preserve">a </w:t>
      </w:r>
      <w:r w:rsidRPr="00706E2E">
        <w:t xml:space="preserve">specific methanol uptake rate to generate the flux distribution map for each condition. </w:t>
      </w:r>
      <w:r>
        <w:t>The f</w:t>
      </w:r>
      <w:r w:rsidRPr="003F5526">
        <w:t xml:space="preserve">lux distribution comparison shown in </w:t>
      </w:r>
      <w:r>
        <w:t>F</w:t>
      </w:r>
      <w:r w:rsidRPr="003F5526">
        <w:t xml:space="preserve">igure </w:t>
      </w:r>
      <w:r w:rsidR="00B86C97">
        <w:t>2.</w:t>
      </w:r>
      <w:r>
        <w:t>3</w:t>
      </w:r>
      <w:r w:rsidRPr="003F5526">
        <w:t xml:space="preserve"> indicates the major differences were in </w:t>
      </w:r>
      <w:r>
        <w:t xml:space="preserve">the </w:t>
      </w:r>
      <w:proofErr w:type="spellStart"/>
      <w:r w:rsidRPr="003F5526">
        <w:t>formate</w:t>
      </w:r>
      <w:proofErr w:type="spellEnd"/>
      <w:r w:rsidRPr="003F5526">
        <w:t xml:space="preserve"> branch point and </w:t>
      </w:r>
      <w:r>
        <w:t xml:space="preserve">in </w:t>
      </w:r>
      <w:r w:rsidRPr="003F5526">
        <w:t xml:space="preserve">C3-C4 </w:t>
      </w:r>
      <w:r w:rsidRPr="003F5526">
        <w:lastRenderedPageBreak/>
        <w:t>interconversion pathway</w:t>
      </w:r>
      <w:r>
        <w:t>s</w:t>
      </w:r>
      <w:r w:rsidRPr="003F5526">
        <w:t xml:space="preserve">. As shown in the central carbon metabolism map, </w:t>
      </w:r>
      <w:proofErr w:type="spellStart"/>
      <w:r w:rsidRPr="003F5526">
        <w:t>formate</w:t>
      </w:r>
      <w:proofErr w:type="spellEnd"/>
      <w:r w:rsidRPr="003F5526">
        <w:t xml:space="preserve"> c</w:t>
      </w:r>
      <w:r>
        <w:t>ould</w:t>
      </w:r>
      <w:r w:rsidRPr="003F5526">
        <w:t xml:space="preserve"> either be oxidized to CO</w:t>
      </w:r>
      <w:r w:rsidRPr="003F5526">
        <w:rPr>
          <w:vertAlign w:val="subscript"/>
        </w:rPr>
        <w:t>2</w:t>
      </w:r>
      <w:r w:rsidRPr="003F5526">
        <w:t xml:space="preserve"> by </w:t>
      </w:r>
      <w:proofErr w:type="spellStart"/>
      <w:r w:rsidRPr="003F5526">
        <w:t>form</w:t>
      </w:r>
      <w:r>
        <w:t>at</w:t>
      </w:r>
      <w:r w:rsidRPr="003F5526">
        <w:t>e</w:t>
      </w:r>
      <w:proofErr w:type="spellEnd"/>
      <w:r w:rsidRPr="003F5526">
        <w:t xml:space="preserve"> dehydrogenase (F</w:t>
      </w:r>
      <w:r w:rsidRPr="00160E5D">
        <w:t>DH) or be converted into formyl-H</w:t>
      </w:r>
      <w:r w:rsidRPr="00F7622F">
        <w:rPr>
          <w:vertAlign w:val="subscript"/>
        </w:rPr>
        <w:t>4</w:t>
      </w:r>
      <w:r w:rsidRPr="00160E5D">
        <w:t xml:space="preserve">F by </w:t>
      </w:r>
      <w:proofErr w:type="spellStart"/>
      <w:r w:rsidRPr="00160E5D">
        <w:t>formyltetrahydrofolate</w:t>
      </w:r>
      <w:proofErr w:type="spellEnd"/>
      <w:r w:rsidRPr="00160E5D">
        <w:t xml:space="preserve"> ligase (FTHFL). </w:t>
      </w:r>
      <w:r>
        <w:t xml:space="preserve">As expected by the growth rate difference, the absolute methanol uptake rate and flux through </w:t>
      </w:r>
      <w:proofErr w:type="spellStart"/>
      <w:r>
        <w:t>formate</w:t>
      </w:r>
      <w:proofErr w:type="spellEnd"/>
      <w:r>
        <w:t xml:space="preserve"> to both branches was higher for the VL strain than the LL</w:t>
      </w:r>
      <w:r w:rsidR="004D0318">
        <w:t xml:space="preserve"> strain (see supporting file 2_3</w:t>
      </w:r>
      <w:r>
        <w:t>).  However, the f</w:t>
      </w:r>
      <w:r w:rsidRPr="00410453">
        <w:t>lux distribution</w:t>
      </w:r>
      <w:r>
        <w:t xml:space="preserve"> across the branch point, which</w:t>
      </w:r>
      <w:r w:rsidRPr="00410453">
        <w:t xml:space="preserve"> </w:t>
      </w:r>
      <w:r>
        <w:t xml:space="preserve">is normalized to the methanol uptake rate, </w:t>
      </w:r>
      <w:r w:rsidRPr="00410453">
        <w:t xml:space="preserve">shows </w:t>
      </w:r>
      <w:r>
        <w:t xml:space="preserve">a strain-specific </w:t>
      </w:r>
      <w:r w:rsidRPr="00410453">
        <w:t>difference</w:t>
      </w:r>
      <w:r>
        <w:t xml:space="preserve"> in keeping with the higher biomass yield for the LL strain</w:t>
      </w:r>
      <w:r w:rsidRPr="00410453">
        <w:t xml:space="preserve">. </w:t>
      </w:r>
      <w:r>
        <w:t xml:space="preserve">For the </w:t>
      </w:r>
      <w:r w:rsidRPr="00410453">
        <w:t>LL</w:t>
      </w:r>
      <w:r>
        <w:t xml:space="preserve"> strain</w:t>
      </w:r>
      <w:r w:rsidRPr="00410453">
        <w:t xml:space="preserve">, FTHFL carries 36% more flux entering </w:t>
      </w:r>
      <w:r>
        <w:t xml:space="preserve">the </w:t>
      </w:r>
      <w:r w:rsidRPr="00410453">
        <w:t xml:space="preserve">assimilation pathway than </w:t>
      </w:r>
      <w:r>
        <w:t xml:space="preserve">the </w:t>
      </w:r>
      <w:r w:rsidRPr="00410453">
        <w:t xml:space="preserve">VL </w:t>
      </w:r>
      <w:r>
        <w:t xml:space="preserve">strain </w:t>
      </w:r>
      <w:r w:rsidRPr="00410453">
        <w:t>in HY, 28% more in</w:t>
      </w:r>
      <w:r>
        <w:t xml:space="preserve"> </w:t>
      </w:r>
      <w:r w:rsidRPr="00410453">
        <w:t>HY</w:t>
      </w:r>
      <w:r>
        <w:t>C</w:t>
      </w:r>
      <w:r w:rsidRPr="00410453">
        <w:t>.</w:t>
      </w:r>
    </w:p>
    <w:p w14:paraId="7214BA57" w14:textId="5C001811" w:rsidR="009855DF" w:rsidRPr="00654CDF" w:rsidRDefault="009855DF" w:rsidP="00654CDF">
      <w:pPr>
        <w:divId w:val="1326516459"/>
      </w:pPr>
      <w:r>
        <w:t>Likewise,</w:t>
      </w:r>
      <w:r w:rsidRPr="00160E5D">
        <w:t xml:space="preserve"> two routes </w:t>
      </w:r>
      <w:r>
        <w:t>exist</w:t>
      </w:r>
      <w:r w:rsidRPr="00160E5D">
        <w:t xml:space="preserve"> for conversion of phosphoenolpyruvate (PEP) into </w:t>
      </w:r>
      <w:proofErr w:type="gramStart"/>
      <w:r w:rsidRPr="00160E5D">
        <w:t>acetyl</w:t>
      </w:r>
      <w:proofErr w:type="gramEnd"/>
      <w:r w:rsidRPr="00160E5D">
        <w:t>-CoA (</w:t>
      </w:r>
      <w:proofErr w:type="spellStart"/>
      <w:r w:rsidRPr="00160E5D">
        <w:t>AcCoA</w:t>
      </w:r>
      <w:proofErr w:type="spellEnd"/>
      <w:r w:rsidRPr="00160E5D">
        <w:t xml:space="preserve">). </w:t>
      </w:r>
      <w:r>
        <w:t xml:space="preserve">In the first route, the classic serine cycle involves conversion of </w:t>
      </w:r>
      <w:r w:rsidRPr="00160E5D">
        <w:t xml:space="preserve">PEP into oxaloacetate (OAA) through </w:t>
      </w:r>
      <w:r>
        <w:t xml:space="preserve">a </w:t>
      </w:r>
      <w:r w:rsidRPr="00160E5D">
        <w:t>carboxylation pathway</w:t>
      </w:r>
      <w:r w:rsidRPr="00572AA5">
        <w:t xml:space="preserve"> </w:t>
      </w:r>
      <w:r>
        <w:t>involving</w:t>
      </w:r>
      <w:r w:rsidRPr="00572AA5">
        <w:t xml:space="preserve"> PEP carboxylase (PEPCL), and then conver</w:t>
      </w:r>
      <w:r>
        <w:t>sion of OAA</w:t>
      </w:r>
      <w:r w:rsidRPr="00572AA5">
        <w:t xml:space="preserve"> into malate (MAL) by malate dehydrogenase (MDH), which </w:t>
      </w:r>
      <w:r>
        <w:t>is then</w:t>
      </w:r>
      <w:r w:rsidRPr="00572AA5">
        <w:t xml:space="preserve"> further </w:t>
      </w:r>
      <w:r>
        <w:t>converted</w:t>
      </w:r>
      <w:r w:rsidRPr="00572AA5">
        <w:t xml:space="preserve"> into </w:t>
      </w:r>
      <w:proofErr w:type="spellStart"/>
      <w:r w:rsidRPr="00572AA5">
        <w:t>glyoxylate</w:t>
      </w:r>
      <w:proofErr w:type="spellEnd"/>
      <w:r w:rsidRPr="00572AA5">
        <w:t xml:space="preserve"> and </w:t>
      </w:r>
      <w:proofErr w:type="spellStart"/>
      <w:r w:rsidRPr="00572AA5">
        <w:t>AcCoA</w:t>
      </w:r>
      <w:proofErr w:type="spellEnd"/>
      <w:r w:rsidRPr="00572AA5">
        <w:t xml:space="preserve"> by </w:t>
      </w:r>
      <w:proofErr w:type="spellStart"/>
      <w:r w:rsidRPr="00572AA5">
        <w:t>malyl-coA</w:t>
      </w:r>
      <w:proofErr w:type="spellEnd"/>
      <w:r w:rsidRPr="00572AA5">
        <w:t xml:space="preserve"> </w:t>
      </w:r>
      <w:proofErr w:type="spellStart"/>
      <w:r w:rsidRPr="00572AA5">
        <w:t>lyase</w:t>
      </w:r>
      <w:proofErr w:type="spellEnd"/>
      <w:r w:rsidRPr="00572AA5">
        <w:t xml:space="preserve"> (MCL). </w:t>
      </w:r>
      <w:r>
        <w:t xml:space="preserve">A reaction also exists to </w:t>
      </w:r>
      <w:proofErr w:type="spellStart"/>
      <w:r>
        <w:t>decarboxylate</w:t>
      </w:r>
      <w:proofErr w:type="spellEnd"/>
      <w:r w:rsidRPr="00572AA5">
        <w:t xml:space="preserve"> OAA back to PEP by </w:t>
      </w:r>
      <w:r w:rsidRPr="00654CDF">
        <w:t xml:space="preserve">phosphoenolpyruvate </w:t>
      </w:r>
      <w:proofErr w:type="spellStart"/>
      <w:r w:rsidRPr="00654CDF">
        <w:t>carboxykinase</w:t>
      </w:r>
      <w:proofErr w:type="spellEnd"/>
      <w:r w:rsidRPr="00654CDF">
        <w:t xml:space="preserve"> (PEPCK). An alternative route utilizes PEP to synthesize pyruvate through pyruvate kinase (PK), and then pyruvate is </w:t>
      </w:r>
      <w:proofErr w:type="spellStart"/>
      <w:r w:rsidRPr="00654CDF">
        <w:t>decarboxylated</w:t>
      </w:r>
      <w:proofErr w:type="spellEnd"/>
      <w:r w:rsidRPr="00654CDF">
        <w:t xml:space="preserve"> by pyruvate dehydrogenase (PYRDH) to produce </w:t>
      </w:r>
      <w:proofErr w:type="spellStart"/>
      <w:r w:rsidRPr="00654CDF">
        <w:t>AcCoA</w:t>
      </w:r>
      <w:proofErr w:type="spellEnd"/>
      <w:r w:rsidRPr="00654CDF">
        <w:t>. Pyruvate could also be produced from decarboxylation of malate through malic enzyme (ME). The flux distribution shows that PEPCL had a higher normalized flux in the LL strain than the VL strain by 91% in HY and by 55% in HYC. For each strain grown at d</w:t>
      </w:r>
      <w:r w:rsidR="009C1242">
        <w:t xml:space="preserve">ifferent cobalt concentrations, </w:t>
      </w:r>
      <w:r w:rsidRPr="00654CDF">
        <w:t>the normalized PEPCL flux decreased by 53% at the higher cobalt concentration in HYC for the LL strain and 42% for the VL strain. PEPCK is active for the LL strain in HY, but is negligible for the LL strain in HYC.  For the VL strain, PEPCK is negligible regardless of the level of cobalt. For the malic enzyme pathway (ME), the LL strain has 97% higher flux than the VL strain in HY, but the difference became smaller in HYC, with the higher cobalt concentration. PK in the LL strain is 49% lower than VL in HY with the lower cobalt level, 25% in HYC. A similar trend was observed for PYRDH for both conditions but to different extents, 67% and 61% respectively.</w:t>
      </w:r>
    </w:p>
    <w:p w14:paraId="203D87BB" w14:textId="3E74FF73" w:rsidR="009855DF" w:rsidRPr="0055587D" w:rsidRDefault="000B1DE3" w:rsidP="00654CDF">
      <w:pPr>
        <w:pStyle w:val="Heading3"/>
        <w:divId w:val="1326516459"/>
      </w:pPr>
      <w:bookmarkStart w:id="44" w:name="_Toc468311713"/>
      <w:r>
        <w:lastRenderedPageBreak/>
        <w:t xml:space="preserve">2.3 </w:t>
      </w:r>
      <w:r w:rsidR="009855DF" w:rsidRPr="0055587D">
        <w:t>Ph</w:t>
      </w:r>
      <w:r w:rsidR="009855DF">
        <w:t>e</w:t>
      </w:r>
      <w:r w:rsidR="009855DF" w:rsidRPr="0055587D">
        <w:t>notypic difference</w:t>
      </w:r>
      <w:r w:rsidR="009855DF">
        <w:t>s</w:t>
      </w:r>
      <w:r w:rsidR="009855DF" w:rsidRPr="0055587D">
        <w:t xml:space="preserve"> o</w:t>
      </w:r>
      <w:r w:rsidR="009855DF">
        <w:t>f</w:t>
      </w:r>
      <w:r w:rsidR="009855DF" w:rsidRPr="0055587D">
        <w:t xml:space="preserve"> mutants</w:t>
      </w:r>
      <w:bookmarkEnd w:id="44"/>
    </w:p>
    <w:p w14:paraId="738CC89A" w14:textId="09019060" w:rsidR="009855DF" w:rsidRDefault="009855DF" w:rsidP="00654CDF">
      <w:pPr>
        <w:divId w:val="1326516459"/>
      </w:pPr>
      <w:r w:rsidRPr="004D2514">
        <w:t xml:space="preserve">Based on </w:t>
      </w:r>
      <w:r>
        <w:t>the flux</w:t>
      </w:r>
      <w:r w:rsidRPr="004D2514">
        <w:t xml:space="preserve"> analysis result</w:t>
      </w:r>
      <w:r w:rsidRPr="00F708A8">
        <w:t xml:space="preserve">s, </w:t>
      </w:r>
      <w:r w:rsidRPr="00706E2E">
        <w:t xml:space="preserve">three </w:t>
      </w:r>
      <w:r>
        <w:t xml:space="preserve">genes were targeted for mutation </w:t>
      </w:r>
      <w:r w:rsidRPr="003F5526">
        <w:t>(</w:t>
      </w:r>
      <w:proofErr w:type="spellStart"/>
      <w:r w:rsidRPr="003F5526">
        <w:rPr>
          <w:i/>
        </w:rPr>
        <w:t>dme</w:t>
      </w:r>
      <w:proofErr w:type="spellEnd"/>
      <w:r w:rsidRPr="003F5526">
        <w:t xml:space="preserve"> encoding </w:t>
      </w:r>
      <w:r>
        <w:t>ME</w:t>
      </w:r>
      <w:r w:rsidRPr="003F5526">
        <w:rPr>
          <w:i/>
        </w:rPr>
        <w:t xml:space="preserve">, </w:t>
      </w:r>
      <w:proofErr w:type="spellStart"/>
      <w:r w:rsidRPr="003F5526">
        <w:rPr>
          <w:i/>
        </w:rPr>
        <w:t>pck</w:t>
      </w:r>
      <w:proofErr w:type="spellEnd"/>
      <w:r w:rsidRPr="003F5526">
        <w:t xml:space="preserve"> encoding </w:t>
      </w:r>
      <w:r>
        <w:t>PEPCK</w:t>
      </w:r>
      <w:r w:rsidRPr="003F5526">
        <w:t xml:space="preserve"> and</w:t>
      </w:r>
      <w:r w:rsidRPr="003F5526">
        <w:rPr>
          <w:i/>
        </w:rPr>
        <w:t xml:space="preserve"> </w:t>
      </w:r>
      <w:proofErr w:type="spellStart"/>
      <w:r w:rsidRPr="003F5526">
        <w:rPr>
          <w:i/>
        </w:rPr>
        <w:t>pyk</w:t>
      </w:r>
      <w:proofErr w:type="spellEnd"/>
      <w:r w:rsidRPr="003F5526">
        <w:rPr>
          <w:i/>
        </w:rPr>
        <w:t xml:space="preserve"> </w:t>
      </w:r>
      <w:r w:rsidRPr="003F5526">
        <w:t xml:space="preserve">encoding </w:t>
      </w:r>
      <w:r>
        <w:t>PK</w:t>
      </w:r>
      <w:r w:rsidRPr="003F5526">
        <w:t>)</w:t>
      </w:r>
      <w:r>
        <w:t>, to assess mutant</w:t>
      </w:r>
      <w:r w:rsidRPr="003F5526">
        <w:rPr>
          <w:i/>
        </w:rPr>
        <w:t xml:space="preserve"> </w:t>
      </w:r>
      <w:r w:rsidRPr="00160E5D">
        <w:t>phenotype</w:t>
      </w:r>
      <w:r>
        <w:t>s</w:t>
      </w:r>
      <w:r w:rsidRPr="00160E5D">
        <w:t xml:space="preserve"> </w:t>
      </w:r>
      <w:r>
        <w:t>in the two strains</w:t>
      </w:r>
      <w:r w:rsidRPr="00572AA5">
        <w:t>.</w:t>
      </w:r>
      <w:r w:rsidRPr="000B2495">
        <w:t xml:space="preserve"> </w:t>
      </w:r>
      <w:r>
        <w:t xml:space="preserve">It is known that PEPCL, MCL, and MDH are required for growth on methanol </w:t>
      </w:r>
      <w:r>
        <w:fldChar w:fldCharType="begin" w:fldLock="1"/>
      </w:r>
      <w:r w:rsidR="008C0508">
        <w:instrText>ADDIN CSL_CITATION { "citationItems" : [ { "id" : "ITEM-1", "itemData" : { "DOI" : "10.1099/mic.0.25955-0", "ISSN" : "1350-0872", "abstract" : "The growth of Methylobacterium extorquens AM1 on C1 compounds has been well-studied, but little is known about how this methylotroph grows on multicarbon compounds. A Tn5 transposon mutagenesis procedure was performed to identify genes involved in the growth of M. extorquens AM1 on succinate and pyruvate. Of the 15 000 insertion colonies screened, 71 mutants were found that grew on methanol but either grew slowly or were unable to grow on one or both of the multicarbon substrates. For each of these mutants, the chromosomal region adjacent to the insertion site was sequenced, and 55 different genes were identified and assigned putative functions. These genes fell into a number of predicted categories, including central carbon metabolism, carbohydrate metabolism, regulation, transport and non-essential housekeeping functions. This study focused on genes predicted to encode enzymes of central heterotrophic metabolism: 2-oxoglutarate dehydrogenase, pyruvate dehydrogenase and NADH : ubiquinone oxidoreductase. In each case, the mutants showed normal growth on methanol and impaired growth on pyruvate and succinate, consistent with a role specific to heterotrophic metabolism. For the first two cases, no detectable activity of the corresponding enzyme was found in the mutant, verifying the predictions. The results of this study were used to reconstruct multicarbon metabolism of M. extorquens AM1 during growth on methanol, succinate and pyruvate.", "author" : [ { "dropping-particle" : "", "family" : "Dien", "given" : "S. J.", "non-dropping-particle" : "Van", "parse-names" : false, "suffix" : "" } ], "container-title" : "Microbiology", "id" : "ITEM-1", "issue" : "3", "issued" : { "date-parts" : [ [ "2003", "3", "1" ] ] }, "page" : "601-609", "title" : "Reconstruction of C3 and C4 metabolism in Methylobacterium extorquens AM1 using transposon mutagenesis", "type" : "article-journal", "volume" : "149" }, "uris" : [ "http://www.mendeley.com/documents/?uuid=9d902f24-c3c9-4028-a1c1-c685481536cd" ] } ], "mendeley" : { "formattedCitation" : "[56]", "plainTextFormattedCitation" : "[56]", "previouslyFormattedCitation" : "[56]" }, "properties" : { "noteIndex" : 0 }, "schema" : "https://github.com/citation-style-language/schema/raw/master/csl-citation.json" }</w:instrText>
      </w:r>
      <w:r>
        <w:fldChar w:fldCharType="separate"/>
      </w:r>
      <w:r w:rsidR="0005386F" w:rsidRPr="0005386F">
        <w:rPr>
          <w:noProof/>
        </w:rPr>
        <w:t>[56]</w:t>
      </w:r>
      <w:r>
        <w:fldChar w:fldCharType="end"/>
      </w:r>
      <w:r>
        <w:t xml:space="preserve"> so those mutants were not generated. </w:t>
      </w:r>
    </w:p>
    <w:p w14:paraId="7AF8BA92" w14:textId="35340B15" w:rsidR="009855DF" w:rsidRPr="00E77CD4" w:rsidRDefault="009855DF" w:rsidP="00654CDF">
      <w:pPr>
        <w:divId w:val="1326516459"/>
      </w:pPr>
      <w:r>
        <w:t xml:space="preserve">From the metabolic flux distribution result, the following phenotypes were predicted. The growth rate was associated with the PYK pathway encoded by </w:t>
      </w:r>
      <w:proofErr w:type="spellStart"/>
      <w:r>
        <w:rPr>
          <w:i/>
        </w:rPr>
        <w:t>pyk</w:t>
      </w:r>
      <w:proofErr w:type="spellEnd"/>
      <w:r>
        <w:t xml:space="preserve">. Conditions with faster growth have higher flux through PYK. The </w:t>
      </w:r>
      <w:proofErr w:type="spellStart"/>
      <w:r>
        <w:rPr>
          <w:i/>
        </w:rPr>
        <w:t>pyk</w:t>
      </w:r>
      <w:proofErr w:type="spellEnd"/>
      <w:r>
        <w:t xml:space="preserve"> mutant</w:t>
      </w:r>
      <w:r>
        <w:rPr>
          <w:i/>
        </w:rPr>
        <w:t xml:space="preserve"> </w:t>
      </w:r>
      <w:r>
        <w:t>should</w:t>
      </w:r>
      <w:r w:rsidRPr="0054274B">
        <w:t xml:space="preserve"> have higher negative impact on</w:t>
      </w:r>
      <w:r>
        <w:t xml:space="preserve"> growth rate for</w:t>
      </w:r>
      <w:r w:rsidRPr="0054274B">
        <w:t xml:space="preserve"> </w:t>
      </w:r>
      <w:r>
        <w:t xml:space="preserve">the </w:t>
      </w:r>
      <w:r w:rsidRPr="0054274B">
        <w:t>VL strain</w:t>
      </w:r>
      <w:r>
        <w:t xml:space="preserve"> under both medium conditions, while for the LL strain the impact should be minor. The growth rate experiments on </w:t>
      </w:r>
      <w:proofErr w:type="spellStart"/>
      <w:r>
        <w:rPr>
          <w:i/>
        </w:rPr>
        <w:t>pyk</w:t>
      </w:r>
      <w:proofErr w:type="spellEnd"/>
      <w:r>
        <w:rPr>
          <w:i/>
        </w:rPr>
        <w:t xml:space="preserve"> </w:t>
      </w:r>
      <w:r>
        <w:t xml:space="preserve">mutants agree with this prediction. </w:t>
      </w:r>
      <w:r w:rsidRPr="00636C04">
        <w:t>As</w:t>
      </w:r>
      <w:r>
        <w:t xml:space="preserve"> shown in Table </w:t>
      </w:r>
      <w:r w:rsidR="003F7FB1">
        <w:t>2</w:t>
      </w:r>
      <w:r w:rsidR="00A2399D">
        <w:t>.</w:t>
      </w:r>
      <w:r>
        <w:t xml:space="preserve">1, for HY medium, </w:t>
      </w:r>
      <w:proofErr w:type="spellStart"/>
      <w:proofErr w:type="gramStart"/>
      <w:r w:rsidRPr="00E34F3D">
        <w:t>LL</w:t>
      </w:r>
      <w:r w:rsidRPr="00E82BAD">
        <w:t>:Δ</w:t>
      </w:r>
      <w:proofErr w:type="gramEnd"/>
      <w:r>
        <w:rPr>
          <w:i/>
        </w:rPr>
        <w:t>pyk</w:t>
      </w:r>
      <w:proofErr w:type="spellEnd"/>
      <w:r>
        <w:t xml:space="preserve"> shows similar growth as LL, while </w:t>
      </w:r>
      <w:proofErr w:type="spellStart"/>
      <w:r>
        <w:t>V</w:t>
      </w:r>
      <w:r w:rsidRPr="00E34F3D">
        <w:t>L</w:t>
      </w:r>
      <w:r w:rsidRPr="00E82BAD">
        <w:t>:Δ</w:t>
      </w:r>
      <w:r>
        <w:rPr>
          <w:i/>
        </w:rPr>
        <w:t>pyk</w:t>
      </w:r>
      <w:proofErr w:type="spellEnd"/>
      <w:r>
        <w:t xml:space="preserve"> has 56% slower growth rate than VL. For HYC medium, </w:t>
      </w:r>
      <w:proofErr w:type="spellStart"/>
      <w:proofErr w:type="gramStart"/>
      <w:r w:rsidRPr="00E34F3D">
        <w:t>LL</w:t>
      </w:r>
      <w:r w:rsidRPr="00E82BAD">
        <w:t>:Δ</w:t>
      </w:r>
      <w:proofErr w:type="gramEnd"/>
      <w:r>
        <w:rPr>
          <w:i/>
        </w:rPr>
        <w:t>pyk</w:t>
      </w:r>
      <w:proofErr w:type="spellEnd"/>
      <w:r>
        <w:t xml:space="preserve"> shows a 13% growth defect compared to LL under the same condition, while </w:t>
      </w:r>
      <w:proofErr w:type="spellStart"/>
      <w:r>
        <w:t>V</w:t>
      </w:r>
      <w:r w:rsidRPr="00E34F3D">
        <w:t>L</w:t>
      </w:r>
      <w:r w:rsidRPr="00E82BAD">
        <w:t>:Δ</w:t>
      </w:r>
      <w:r>
        <w:rPr>
          <w:i/>
        </w:rPr>
        <w:t>pyk</w:t>
      </w:r>
      <w:proofErr w:type="spellEnd"/>
      <w:r>
        <w:t xml:space="preserve"> has a 36% slower growth rate than VL under the same condition. The metabolic flux distributions can only predict the impact of this mutation on growth rate, but it is also of interest to assess impact on yield.  The biomass yield of </w:t>
      </w:r>
      <w:proofErr w:type="spellStart"/>
      <w:proofErr w:type="gramStart"/>
      <w:r w:rsidRPr="00E34F3D">
        <w:t>LL</w:t>
      </w:r>
      <w:r w:rsidRPr="00E82BAD">
        <w:t>:Δ</w:t>
      </w:r>
      <w:proofErr w:type="gramEnd"/>
      <w:r>
        <w:rPr>
          <w:i/>
        </w:rPr>
        <w:t>pyk</w:t>
      </w:r>
      <w:proofErr w:type="spellEnd"/>
      <w:r>
        <w:t xml:space="preserve"> and </w:t>
      </w:r>
      <w:proofErr w:type="spellStart"/>
      <w:r>
        <w:t>V</w:t>
      </w:r>
      <w:r w:rsidRPr="00E34F3D">
        <w:t>L</w:t>
      </w:r>
      <w:r w:rsidRPr="00E82BAD">
        <w:t>:Δ</w:t>
      </w:r>
      <w:r>
        <w:rPr>
          <w:i/>
        </w:rPr>
        <w:t>pyk</w:t>
      </w:r>
      <w:proofErr w:type="spellEnd"/>
      <w:r>
        <w:t xml:space="preserve"> showed minor changes in HY medium, while in HYC medium, biomass yield increased slightly for both strains. This suggests that in the </w:t>
      </w:r>
      <w:proofErr w:type="spellStart"/>
      <w:r w:rsidRPr="00E82BAD">
        <w:t>Δ</w:t>
      </w:r>
      <w:r>
        <w:rPr>
          <w:i/>
        </w:rPr>
        <w:t>pyk</w:t>
      </w:r>
      <w:proofErr w:type="spellEnd"/>
      <w:r>
        <w:rPr>
          <w:i/>
        </w:rPr>
        <w:t xml:space="preserve"> </w:t>
      </w:r>
      <w:r>
        <w:t xml:space="preserve">mutant, the route of the standard serine cycle with PEPCL, MDH and ME carries more flux than in the original strain, which can lead to higher biomass yield. </w:t>
      </w:r>
    </w:p>
    <w:p w14:paraId="331A7232" w14:textId="7BA10197" w:rsidR="009855DF" w:rsidRPr="00675CD9" w:rsidRDefault="009855DF" w:rsidP="00654CDF">
      <w:pPr>
        <w:divId w:val="1326516459"/>
      </w:pPr>
      <w:r>
        <w:t xml:space="preserve">Secondly, metabolic flux map results also indicate that the non-essential pathways associated with biomass yield were ME encoded by </w:t>
      </w:r>
      <w:proofErr w:type="spellStart"/>
      <w:r>
        <w:rPr>
          <w:i/>
        </w:rPr>
        <w:t>dme</w:t>
      </w:r>
      <w:proofErr w:type="spellEnd"/>
      <w:r>
        <w:rPr>
          <w:i/>
        </w:rPr>
        <w:t xml:space="preserve"> </w:t>
      </w:r>
      <w:r>
        <w:t xml:space="preserve">and PEPCK encoded by </w:t>
      </w:r>
      <w:proofErr w:type="spellStart"/>
      <w:r>
        <w:rPr>
          <w:i/>
        </w:rPr>
        <w:t>pck</w:t>
      </w:r>
      <w:proofErr w:type="spellEnd"/>
      <w:r>
        <w:t>. The higher biomass yield conditions have higher carbon flux through both ME and PEPCK. This predicts that both of these mutants should have a more negative impact on conditions with higher biomass yield. The experimental results on biomass yield for these two mutants agree with</w:t>
      </w:r>
      <w:r w:rsidR="004D289E">
        <w:t xml:space="preserve"> the prediction shown in Table 2</w:t>
      </w:r>
      <w:r w:rsidR="00847ACD">
        <w:t>.1</w:t>
      </w:r>
      <w:r w:rsidR="004D289E">
        <w:t>. As shown in Table 2</w:t>
      </w:r>
      <w:r w:rsidR="00847ACD">
        <w:t>.1</w:t>
      </w:r>
      <w:r w:rsidRPr="00C64723">
        <w:t xml:space="preserve">, the </w:t>
      </w:r>
      <w:proofErr w:type="spellStart"/>
      <w:r w:rsidRPr="00C64723">
        <w:rPr>
          <w:i/>
        </w:rPr>
        <w:t>dme</w:t>
      </w:r>
      <w:proofErr w:type="spellEnd"/>
      <w:r w:rsidRPr="00C64723">
        <w:t xml:space="preserve"> mutation had a negative </w:t>
      </w:r>
      <w:r>
        <w:t>effect</w:t>
      </w:r>
      <w:r w:rsidRPr="00C64723">
        <w:t xml:space="preserve"> on biomass yield in the LL strain in HY medium (</w:t>
      </w:r>
      <w:r>
        <w:t>54</w:t>
      </w:r>
      <w:r w:rsidRPr="00C64723">
        <w:t>% decrease) compared to wild type LL</w:t>
      </w:r>
      <w:r>
        <w:t xml:space="preserve">. </w:t>
      </w:r>
      <w:r w:rsidRPr="008669CC">
        <w:t xml:space="preserve">A smaller decrease in </w:t>
      </w:r>
      <w:r>
        <w:t>biomass yield</w:t>
      </w:r>
      <w:r w:rsidRPr="008669CC">
        <w:t xml:space="preserve"> </w:t>
      </w:r>
      <w:r>
        <w:t xml:space="preserve">(28%) </w:t>
      </w:r>
      <w:r w:rsidRPr="008669CC">
        <w:t>occur</w:t>
      </w:r>
      <w:r>
        <w:t>red</w:t>
      </w:r>
      <w:r w:rsidRPr="008669CC">
        <w:t xml:space="preserve"> in </w:t>
      </w:r>
      <w:proofErr w:type="spellStart"/>
      <w:proofErr w:type="gramStart"/>
      <w:r>
        <w:t>V</w:t>
      </w:r>
      <w:r w:rsidRPr="00F00F1A">
        <w:t>L</w:t>
      </w:r>
      <w:r w:rsidRPr="00E82BAD">
        <w:t>:Δ</w:t>
      </w:r>
      <w:proofErr w:type="gramEnd"/>
      <w:r>
        <w:rPr>
          <w:i/>
        </w:rPr>
        <w:t>dme</w:t>
      </w:r>
      <w:proofErr w:type="spellEnd"/>
      <w:r>
        <w:t xml:space="preserve">. Likewise, the </w:t>
      </w:r>
      <w:proofErr w:type="spellStart"/>
      <w:r>
        <w:rPr>
          <w:i/>
        </w:rPr>
        <w:t>pck</w:t>
      </w:r>
      <w:proofErr w:type="spellEnd"/>
      <w:r>
        <w:rPr>
          <w:i/>
        </w:rPr>
        <w:t xml:space="preserve"> </w:t>
      </w:r>
      <w:r>
        <w:t xml:space="preserve">mutation also had a negative impact on biomass yield in the LL strain (46% decrease compared to wild type LL), while for </w:t>
      </w:r>
      <w:proofErr w:type="spellStart"/>
      <w:proofErr w:type="gramStart"/>
      <w:r>
        <w:t>V</w:t>
      </w:r>
      <w:r w:rsidRPr="00F00F1A">
        <w:t>L</w:t>
      </w:r>
      <w:r w:rsidRPr="00E82BAD">
        <w:t>:Δ</w:t>
      </w:r>
      <w:proofErr w:type="gramEnd"/>
      <w:r>
        <w:rPr>
          <w:i/>
        </w:rPr>
        <w:t>pck</w:t>
      </w:r>
      <w:proofErr w:type="spellEnd"/>
      <w:r w:rsidDel="00A7053F">
        <w:rPr>
          <w:i/>
        </w:rPr>
        <w:t xml:space="preserve"> </w:t>
      </w:r>
      <w:r>
        <w:t xml:space="preserve">in HY, it decreased by only 18%. The effect on biomass </w:t>
      </w:r>
      <w:r w:rsidRPr="008669CC">
        <w:t xml:space="preserve">yield for both strains </w:t>
      </w:r>
      <w:r>
        <w:t xml:space="preserve">was less </w:t>
      </w:r>
      <w:r w:rsidRPr="008669CC">
        <w:t xml:space="preserve">when the cells </w:t>
      </w:r>
      <w:r>
        <w:t>were</w:t>
      </w:r>
      <w:r w:rsidRPr="008669CC">
        <w:t xml:space="preserve"> grown </w:t>
      </w:r>
      <w:r>
        <w:t xml:space="preserve">with the higher level of cobalt. For both </w:t>
      </w:r>
      <w:proofErr w:type="spellStart"/>
      <w:proofErr w:type="gramStart"/>
      <w:r>
        <w:t>V</w:t>
      </w:r>
      <w:r w:rsidRPr="00F00F1A">
        <w:t>L</w:t>
      </w:r>
      <w:r w:rsidRPr="00E82BAD">
        <w:t>:Δ</w:t>
      </w:r>
      <w:proofErr w:type="gramEnd"/>
      <w:r>
        <w:rPr>
          <w:i/>
        </w:rPr>
        <w:t>dme</w:t>
      </w:r>
      <w:proofErr w:type="spellEnd"/>
      <w:r>
        <w:rPr>
          <w:i/>
        </w:rPr>
        <w:t xml:space="preserve"> </w:t>
      </w:r>
      <w:r>
        <w:t xml:space="preserve">and </w:t>
      </w:r>
      <w:proofErr w:type="spellStart"/>
      <w:r>
        <w:t>V</w:t>
      </w:r>
      <w:r w:rsidRPr="00F00F1A">
        <w:t>L</w:t>
      </w:r>
      <w:r w:rsidRPr="00E82BAD">
        <w:t>:Δ</w:t>
      </w:r>
      <w:r>
        <w:rPr>
          <w:i/>
        </w:rPr>
        <w:t>pck</w:t>
      </w:r>
      <w:proofErr w:type="spellEnd"/>
      <w:r>
        <w:t xml:space="preserve">, the biomass yield increased. Noticeably, the </w:t>
      </w:r>
      <w:proofErr w:type="spellStart"/>
      <w:r>
        <w:rPr>
          <w:i/>
        </w:rPr>
        <w:t>dme</w:t>
      </w:r>
      <w:proofErr w:type="spellEnd"/>
      <w:r>
        <w:t xml:space="preserve"> mutant in VL and LL strain had the same biomass yield in HYC when </w:t>
      </w:r>
      <w:r w:rsidRPr="00CF13B3">
        <w:t>extra</w:t>
      </w:r>
      <w:r>
        <w:t xml:space="preserve"> cobalt was supplied to the medium, while the difference was more </w:t>
      </w:r>
      <w:r>
        <w:lastRenderedPageBreak/>
        <w:t xml:space="preserve">pronounced in HY medium. The </w:t>
      </w:r>
      <w:proofErr w:type="spellStart"/>
      <w:r w:rsidRPr="00E82BAD">
        <w:t>Δ</w:t>
      </w:r>
      <w:r w:rsidRPr="00675CD9">
        <w:rPr>
          <w:i/>
        </w:rPr>
        <w:t>pck</w:t>
      </w:r>
      <w:proofErr w:type="spellEnd"/>
      <w:r w:rsidRPr="00675CD9">
        <w:rPr>
          <w:i/>
        </w:rPr>
        <w:t xml:space="preserve"> </w:t>
      </w:r>
      <w:r w:rsidRPr="00675CD9">
        <w:t xml:space="preserve">and </w:t>
      </w:r>
      <w:proofErr w:type="spellStart"/>
      <w:r w:rsidRPr="00E82BAD">
        <w:t>Δ</w:t>
      </w:r>
      <w:r w:rsidRPr="00675CD9">
        <w:rPr>
          <w:i/>
        </w:rPr>
        <w:t>dme</w:t>
      </w:r>
      <w:proofErr w:type="spellEnd"/>
      <w:r w:rsidRPr="00675CD9">
        <w:rPr>
          <w:i/>
        </w:rPr>
        <w:t xml:space="preserve"> </w:t>
      </w:r>
      <w:r w:rsidRPr="00B3268B">
        <w:t>strains</w:t>
      </w:r>
      <w:r>
        <w:t xml:space="preserve"> did not have large impacts on growth rate, but</w:t>
      </w:r>
      <w:r>
        <w:rPr>
          <w:i/>
        </w:rPr>
        <w:t xml:space="preserve"> </w:t>
      </w:r>
      <w:r w:rsidRPr="00675CD9">
        <w:t>showed dif</w:t>
      </w:r>
      <w:r>
        <w:t>ferent extents o</w:t>
      </w:r>
      <w:r w:rsidR="004D289E">
        <w:t>f growth defects (Table 2</w:t>
      </w:r>
      <w:r w:rsidR="00452CBA">
        <w:t>.1</w:t>
      </w:r>
      <w:r>
        <w:t xml:space="preserve">). These two pathways involve NADH and ATP consumption, respectively. </w:t>
      </w:r>
      <w:proofErr w:type="gramStart"/>
      <w:r>
        <w:t>Therefore</w:t>
      </w:r>
      <w:proofErr w:type="gramEnd"/>
      <w:r>
        <w:t xml:space="preserve"> these </w:t>
      </w:r>
      <w:r w:rsidRPr="00882AFF">
        <w:t xml:space="preserve">two mutants </w:t>
      </w:r>
      <w:r>
        <w:t xml:space="preserve">are expected to alter consumption of </w:t>
      </w:r>
      <w:r w:rsidRPr="00882AFF">
        <w:t xml:space="preserve">ATP </w:t>
      </w:r>
      <w:r>
        <w:t>and</w:t>
      </w:r>
      <w:r w:rsidRPr="00882AFF">
        <w:t xml:space="preserve"> NADH, which</w:t>
      </w:r>
      <w:r>
        <w:t xml:space="preserve"> might be expected to </w:t>
      </w:r>
      <w:r w:rsidRPr="00882AFF">
        <w:t>affect</w:t>
      </w:r>
      <w:r>
        <w:t xml:space="preserve"> </w:t>
      </w:r>
      <w:r w:rsidRPr="00882AFF">
        <w:t xml:space="preserve">growth rate. </w:t>
      </w:r>
    </w:p>
    <w:p w14:paraId="189BA515" w14:textId="77777777" w:rsidR="009855DF" w:rsidRPr="0055587D" w:rsidRDefault="009855DF" w:rsidP="00654CDF">
      <w:pPr>
        <w:pStyle w:val="Heading2"/>
        <w:divId w:val="1326516459"/>
      </w:pPr>
      <w:bookmarkStart w:id="45" w:name="_Toc468311714"/>
      <w:r w:rsidRPr="0055587D">
        <w:t>Discussion</w:t>
      </w:r>
      <w:bookmarkEnd w:id="45"/>
      <w:r>
        <w:t xml:space="preserve"> </w:t>
      </w:r>
    </w:p>
    <w:p w14:paraId="2618E3F5" w14:textId="77777777" w:rsidR="009855DF" w:rsidRDefault="009855DF" w:rsidP="00654CDF">
      <w:pPr>
        <w:divId w:val="1326516459"/>
      </w:pPr>
      <w:r w:rsidRPr="00D67BC3">
        <w:rPr>
          <w:lang w:eastAsia="zh-CN"/>
        </w:rPr>
        <w:t>This work generate</w:t>
      </w:r>
      <w:r>
        <w:rPr>
          <w:lang w:eastAsia="zh-CN"/>
        </w:rPr>
        <w:t>d</w:t>
      </w:r>
      <w:r w:rsidRPr="00D67BC3">
        <w:rPr>
          <w:lang w:eastAsia="zh-CN"/>
        </w:rPr>
        <w:t xml:space="preserve"> four detailed flux distribution map</w:t>
      </w:r>
      <w:r>
        <w:rPr>
          <w:lang w:eastAsia="zh-CN"/>
        </w:rPr>
        <w:t>s for</w:t>
      </w:r>
      <w:r w:rsidRPr="00D67BC3">
        <w:rPr>
          <w:lang w:eastAsia="zh-CN"/>
        </w:rPr>
        <w:t xml:space="preserve"> two </w:t>
      </w:r>
      <w:r>
        <w:rPr>
          <w:lang w:eastAsia="zh-CN"/>
        </w:rPr>
        <w:t xml:space="preserve">strain </w:t>
      </w:r>
      <w:r w:rsidRPr="00D67BC3">
        <w:rPr>
          <w:lang w:eastAsia="zh-CN"/>
        </w:rPr>
        <w:t xml:space="preserve">variants of </w:t>
      </w:r>
      <w:r>
        <w:rPr>
          <w:i/>
          <w:lang w:eastAsia="zh-CN"/>
        </w:rPr>
        <w:t xml:space="preserve">M. </w:t>
      </w:r>
      <w:proofErr w:type="spellStart"/>
      <w:r>
        <w:rPr>
          <w:i/>
          <w:lang w:eastAsia="zh-CN"/>
        </w:rPr>
        <w:t>extorquens</w:t>
      </w:r>
      <w:proofErr w:type="spellEnd"/>
      <w:r w:rsidRPr="007C01A8">
        <w:rPr>
          <w:lang w:eastAsia="zh-CN"/>
        </w:rPr>
        <w:t xml:space="preserve"> AM1 </w:t>
      </w:r>
      <w:r>
        <w:rPr>
          <w:lang w:eastAsia="zh-CN"/>
        </w:rPr>
        <w:t>(the LL and VL strains) grown</w:t>
      </w:r>
      <w:r w:rsidRPr="007C01A8">
        <w:rPr>
          <w:lang w:eastAsia="zh-CN"/>
        </w:rPr>
        <w:t xml:space="preserve"> with different cobalt level</w:t>
      </w:r>
      <w:r>
        <w:rPr>
          <w:lang w:eastAsia="zh-CN"/>
        </w:rPr>
        <w:t>s</w:t>
      </w:r>
      <w:r w:rsidRPr="007C01A8">
        <w:rPr>
          <w:lang w:eastAsia="zh-CN"/>
        </w:rPr>
        <w:t xml:space="preserve">. </w:t>
      </w:r>
      <w:r w:rsidRPr="003F5526">
        <w:rPr>
          <w:vertAlign w:val="superscript"/>
        </w:rPr>
        <w:t>13</w:t>
      </w:r>
      <w:r w:rsidRPr="003F5526">
        <w:t xml:space="preserve">C MFA has </w:t>
      </w:r>
      <w:r>
        <w:t>previously</w:t>
      </w:r>
      <w:r w:rsidRPr="003F5526">
        <w:t xml:space="preserve"> been applied to </w:t>
      </w:r>
      <w:r w:rsidRPr="00410453">
        <w:t>the VL strain</w:t>
      </w:r>
      <w:r w:rsidRPr="003F5526">
        <w:t xml:space="preserve"> during growth on methanol</w:t>
      </w:r>
      <w:r>
        <w:t xml:space="preserve"> at a higher cobalt level [13]. However, it is not possible to compare the flux maps directly, as in the previous study</w:t>
      </w:r>
      <w:r w:rsidRPr="003F5526">
        <w:t xml:space="preserve"> </w:t>
      </w:r>
      <w:r>
        <w:t xml:space="preserve">the culture </w:t>
      </w:r>
      <w:r w:rsidRPr="003F5526">
        <w:t xml:space="preserve">was </w:t>
      </w:r>
      <w:r>
        <w:t xml:space="preserve">grown with </w:t>
      </w:r>
      <w:r w:rsidRPr="003F5526">
        <w:t>5% CO</w:t>
      </w:r>
      <w:r w:rsidRPr="003F5526">
        <w:rPr>
          <w:vertAlign w:val="subscript"/>
        </w:rPr>
        <w:t>2</w:t>
      </w:r>
      <w:r w:rsidRPr="003F5526">
        <w:t xml:space="preserve"> purging the culture system. The influence of 5% CO</w:t>
      </w:r>
      <w:r w:rsidRPr="003F5526">
        <w:rPr>
          <w:vertAlign w:val="subscript"/>
        </w:rPr>
        <w:t>2</w:t>
      </w:r>
      <w:r w:rsidRPr="003F5526">
        <w:t xml:space="preserve"> on metabolism</w:t>
      </w:r>
      <w:r>
        <w:t xml:space="preserve"> in </w:t>
      </w:r>
      <w:r>
        <w:rPr>
          <w:i/>
        </w:rPr>
        <w:t xml:space="preserve">M. </w:t>
      </w:r>
      <w:proofErr w:type="spellStart"/>
      <w:r>
        <w:rPr>
          <w:i/>
        </w:rPr>
        <w:t>extorquens</w:t>
      </w:r>
      <w:proofErr w:type="spellEnd"/>
      <w:r>
        <w:rPr>
          <w:i/>
        </w:rPr>
        <w:t xml:space="preserve"> </w:t>
      </w:r>
      <w:r>
        <w:t>AM1</w:t>
      </w:r>
      <w:r w:rsidRPr="003F5526">
        <w:t xml:space="preserve"> is unknown</w:t>
      </w:r>
      <w:r>
        <w:t>, but given the number of carboxylation and decarboxylation reactions involved in growth on one-carbon compounds, it might alter fluxes</w:t>
      </w:r>
      <w:r w:rsidRPr="003F5526">
        <w:t xml:space="preserve">. </w:t>
      </w:r>
      <w:r>
        <w:t>In</w:t>
      </w:r>
      <w:r w:rsidRPr="003F5526">
        <w:t xml:space="preserve"> this study </w:t>
      </w:r>
      <w:r>
        <w:t>we used air (0.5% CO</w:t>
      </w:r>
      <w:r w:rsidRPr="007C01A8">
        <w:rPr>
          <w:vertAlign w:val="subscript"/>
        </w:rPr>
        <w:t>2</w:t>
      </w:r>
      <w:r>
        <w:t>) and also a slightly different medium recipe, to allow direct comparisons with previous metabolic studies of this bacterium carried out in this medium with 0.5% CO</w:t>
      </w:r>
      <w:r w:rsidRPr="007C01A8">
        <w:rPr>
          <w:vertAlign w:val="subscript"/>
        </w:rPr>
        <w:t>2</w:t>
      </w:r>
      <w:r>
        <w:t xml:space="preserve">. </w:t>
      </w:r>
    </w:p>
    <w:p w14:paraId="23EDF2DD" w14:textId="48E8AC1E" w:rsidR="009855DF" w:rsidRPr="001740A7" w:rsidRDefault="009855DF" w:rsidP="00654CDF">
      <w:pPr>
        <w:divId w:val="1326516459"/>
      </w:pPr>
      <w:r>
        <w:t>We have shown that</w:t>
      </w:r>
      <w:r w:rsidRPr="0055587D">
        <w:t xml:space="preserve"> </w:t>
      </w:r>
      <w:r>
        <w:t>the VL strain grew faster with lower biomass yield than the LL strain, regardless of the cobalt supplementation.</w:t>
      </w:r>
      <w:r w:rsidRPr="004D2514">
        <w:t xml:space="preserve"> </w:t>
      </w:r>
      <w:r>
        <w:t xml:space="preserve">From these results we conclude that a tradeoff exists between growth rate and biomass yield that is strain-specific. This suggests that these two strains are an example of unintended domestication, which has been reported previously for </w:t>
      </w:r>
      <w:r>
        <w:rPr>
          <w:i/>
        </w:rPr>
        <w:t xml:space="preserve">M. </w:t>
      </w:r>
      <w:proofErr w:type="spellStart"/>
      <w:r>
        <w:rPr>
          <w:i/>
        </w:rPr>
        <w:t>extorquens</w:t>
      </w:r>
      <w:proofErr w:type="spellEnd"/>
      <w:r>
        <w:rPr>
          <w:i/>
        </w:rPr>
        <w:t xml:space="preserve"> </w:t>
      </w:r>
      <w:r>
        <w:t xml:space="preserve">AM1 [12]. In addition, the cobalt level also affects growth rate and biomass yield in a manner that is not strain-specific. Improved growth rate and increased absolute fluxes through the EMC cycle in response to higher cobalt are in keeping with previous studies </w:t>
      </w:r>
      <w:r>
        <w:fldChar w:fldCharType="begin" w:fldLock="1"/>
      </w:r>
      <w:r w:rsidR="008C0508">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"id" : "ITEM-1", "issue" : "11", "issued" : { "date-parts" : [ [ "2009", "1" ] ] }, "page" : "e7831", "title" : "Metabolite profiling uncovers plasmid-induced cobalt limitation under methylotrophic growth conditions.", "type" : "article-journal", "volume" : "4" }, "uris" : [ "http://www.mendeley.com/documents/?uuid=65a840a9-37d0-4fe7-9da4-c3c318c7cc8b" ] } ], "mendeley" : { "formattedCitation" : "[57]", "plainTextFormattedCitation" : "[57]", "previouslyFormattedCitation" : "[57]" }, "properties" : { "noteIndex" : 0 }, "schema" : "https://github.com/citation-style-language/schema/raw/master/csl-citation.json" }</w:instrText>
      </w:r>
      <w:r>
        <w:fldChar w:fldCharType="separate"/>
      </w:r>
      <w:r w:rsidR="0005386F" w:rsidRPr="0005386F">
        <w:rPr>
          <w:noProof/>
        </w:rPr>
        <w:t>[57]</w:t>
      </w:r>
      <w:r>
        <w:fldChar w:fldCharType="end"/>
      </w:r>
      <w:r>
        <w:fldChar w:fldCharType="begin" w:fldLock="1"/>
      </w:r>
      <w:r w:rsidR="008C0508">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fldChar w:fldCharType="separate"/>
      </w:r>
      <w:r w:rsidR="0005386F" w:rsidRPr="0005386F">
        <w:rPr>
          <w:noProof/>
        </w:rPr>
        <w:t>[49]</w:t>
      </w:r>
      <w:r>
        <w:fldChar w:fldCharType="end"/>
      </w:r>
      <w:r>
        <w:t xml:space="preserve"> suggesting that the EMC pathway could be a potential bottleneck for methanol assimilation under cobalt limitation conditions. </w:t>
      </w:r>
    </w:p>
    <w:p w14:paraId="7A8ADF59" w14:textId="77777777" w:rsidR="009855DF" w:rsidRDefault="009855DF" w:rsidP="00654CDF">
      <w:pPr>
        <w:divId w:val="1326516459"/>
        <w:rPr>
          <w:lang w:eastAsia="zh-CN"/>
        </w:rPr>
      </w:pPr>
      <w:r>
        <w:t xml:space="preserve">The occurrence of natural strain variants with growth rate/biomass yield tradeoffs along with the cobalt affect provided the opportunity to determine features of metabolic network response underlying these major physiological attributes of growth rate and biomass yield. </w:t>
      </w:r>
      <w:r w:rsidRPr="007C01A8">
        <w:rPr>
          <w:vertAlign w:val="superscript"/>
        </w:rPr>
        <w:t>13</w:t>
      </w:r>
      <w:r>
        <w:t xml:space="preserve">C-flux labeling revealed that </w:t>
      </w:r>
      <w:r>
        <w:rPr>
          <w:lang w:eastAsia="zh-CN"/>
        </w:rPr>
        <w:t>FTHFL, the pathway involving the standard serine cycle (PEPCL, MDH, and MCL), and PEPCK and ME all had</w:t>
      </w:r>
      <w:r w:rsidRPr="00410453">
        <w:rPr>
          <w:lang w:eastAsia="zh-CN"/>
        </w:rPr>
        <w:t xml:space="preserve"> higher </w:t>
      </w:r>
      <w:r>
        <w:rPr>
          <w:lang w:eastAsia="zh-CN"/>
        </w:rPr>
        <w:t xml:space="preserve">relative </w:t>
      </w:r>
      <w:r w:rsidRPr="00410453">
        <w:rPr>
          <w:lang w:eastAsia="zh-CN"/>
        </w:rPr>
        <w:t xml:space="preserve">flux </w:t>
      </w:r>
      <w:r>
        <w:rPr>
          <w:lang w:eastAsia="zh-CN"/>
        </w:rPr>
        <w:t>in conditions when</w:t>
      </w:r>
      <w:r w:rsidRPr="00410453">
        <w:rPr>
          <w:lang w:eastAsia="zh-CN"/>
        </w:rPr>
        <w:t xml:space="preserve"> biomass yield</w:t>
      </w:r>
      <w:r>
        <w:rPr>
          <w:lang w:eastAsia="zh-CN"/>
        </w:rPr>
        <w:t xml:space="preserve"> was higher</w:t>
      </w:r>
      <w:r w:rsidRPr="00410453">
        <w:rPr>
          <w:lang w:eastAsia="zh-CN"/>
        </w:rPr>
        <w:t xml:space="preserve">, </w:t>
      </w:r>
      <w:r>
        <w:rPr>
          <w:lang w:eastAsia="zh-CN"/>
        </w:rPr>
        <w:t xml:space="preserve">while the alternate pathway to </w:t>
      </w:r>
      <w:proofErr w:type="spellStart"/>
      <w:r>
        <w:rPr>
          <w:lang w:eastAsia="zh-CN"/>
        </w:rPr>
        <w:t>AcCoA</w:t>
      </w:r>
      <w:proofErr w:type="spellEnd"/>
      <w:r>
        <w:rPr>
          <w:lang w:eastAsia="zh-CN"/>
        </w:rPr>
        <w:t xml:space="preserve"> </w:t>
      </w:r>
      <w:r>
        <w:rPr>
          <w:lang w:eastAsia="zh-CN"/>
        </w:rPr>
        <w:lastRenderedPageBreak/>
        <w:t>involving PK and PYRDH had</w:t>
      </w:r>
      <w:r w:rsidRPr="00410453">
        <w:rPr>
          <w:lang w:eastAsia="zh-CN"/>
        </w:rPr>
        <w:t xml:space="preserve"> higher </w:t>
      </w:r>
      <w:r>
        <w:rPr>
          <w:lang w:eastAsia="zh-CN"/>
        </w:rPr>
        <w:t xml:space="preserve">relative </w:t>
      </w:r>
      <w:r w:rsidRPr="00410453">
        <w:rPr>
          <w:lang w:eastAsia="zh-CN"/>
        </w:rPr>
        <w:t xml:space="preserve">flux </w:t>
      </w:r>
      <w:r>
        <w:rPr>
          <w:lang w:eastAsia="zh-CN"/>
        </w:rPr>
        <w:t>in</w:t>
      </w:r>
      <w:r w:rsidRPr="00410453">
        <w:rPr>
          <w:lang w:eastAsia="zh-CN"/>
        </w:rPr>
        <w:t xml:space="preserve"> condi</w:t>
      </w:r>
      <w:r>
        <w:rPr>
          <w:lang w:eastAsia="zh-CN"/>
        </w:rPr>
        <w:t xml:space="preserve">tions when </w:t>
      </w:r>
      <w:r w:rsidRPr="00410453">
        <w:rPr>
          <w:lang w:eastAsia="zh-CN"/>
        </w:rPr>
        <w:t>growth</w:t>
      </w:r>
      <w:r>
        <w:rPr>
          <w:lang w:eastAsia="zh-CN"/>
        </w:rPr>
        <w:t xml:space="preserve"> rate was faster. These differences were predicted to affect NADH and ATP usage. </w:t>
      </w:r>
      <w:r w:rsidRPr="00410453">
        <w:rPr>
          <w:lang w:eastAsia="zh-CN"/>
        </w:rPr>
        <w:t xml:space="preserve">PEPCK consumes one ATP, </w:t>
      </w:r>
      <w:r>
        <w:rPr>
          <w:lang w:eastAsia="zh-CN"/>
        </w:rPr>
        <w:t xml:space="preserve">while </w:t>
      </w:r>
      <w:r w:rsidRPr="00410453">
        <w:rPr>
          <w:lang w:eastAsia="zh-CN"/>
        </w:rPr>
        <w:t xml:space="preserve">PK and PYRDH produce one ATP and </w:t>
      </w:r>
      <w:r>
        <w:rPr>
          <w:lang w:eastAsia="zh-CN"/>
        </w:rPr>
        <w:t xml:space="preserve">one </w:t>
      </w:r>
      <w:r w:rsidRPr="00410453">
        <w:rPr>
          <w:lang w:eastAsia="zh-CN"/>
        </w:rPr>
        <w:t>NADH</w:t>
      </w:r>
      <w:r>
        <w:rPr>
          <w:lang w:eastAsia="zh-CN"/>
        </w:rPr>
        <w:t>,</w:t>
      </w:r>
      <w:r w:rsidRPr="00410453">
        <w:rPr>
          <w:lang w:eastAsia="zh-CN"/>
        </w:rPr>
        <w:t xml:space="preserve"> respectively. MDH and MCL consume NADH and ATP</w:t>
      </w:r>
      <w:r>
        <w:rPr>
          <w:lang w:eastAsia="zh-CN"/>
        </w:rPr>
        <w:t>,</w:t>
      </w:r>
      <w:r w:rsidRPr="00410453">
        <w:rPr>
          <w:lang w:eastAsia="zh-CN"/>
        </w:rPr>
        <w:t xml:space="preserve"> respectively. These results suggest that higher biomass yield</w:t>
      </w:r>
      <w:r>
        <w:rPr>
          <w:lang w:eastAsia="zh-CN"/>
        </w:rPr>
        <w:t xml:space="preserve"> is achieved under conditions that result in relatively </w:t>
      </w:r>
      <w:r w:rsidRPr="00410453">
        <w:rPr>
          <w:lang w:eastAsia="zh-CN"/>
        </w:rPr>
        <w:t xml:space="preserve">higher </w:t>
      </w:r>
      <w:r>
        <w:rPr>
          <w:lang w:eastAsia="zh-CN"/>
        </w:rPr>
        <w:t xml:space="preserve">relative </w:t>
      </w:r>
      <w:r w:rsidRPr="00410453">
        <w:rPr>
          <w:lang w:eastAsia="zh-CN"/>
        </w:rPr>
        <w:t xml:space="preserve">fluxes through </w:t>
      </w:r>
      <w:r>
        <w:rPr>
          <w:lang w:eastAsia="zh-CN"/>
        </w:rPr>
        <w:t xml:space="preserve">the standard serine cycle-based </w:t>
      </w:r>
      <w:r w:rsidRPr="00410453">
        <w:rPr>
          <w:lang w:eastAsia="zh-CN"/>
        </w:rPr>
        <w:t xml:space="preserve">carbon </w:t>
      </w:r>
      <w:r>
        <w:rPr>
          <w:lang w:eastAsia="zh-CN"/>
        </w:rPr>
        <w:t>assimilation</w:t>
      </w:r>
      <w:r w:rsidRPr="00410453">
        <w:rPr>
          <w:lang w:eastAsia="zh-CN"/>
        </w:rPr>
        <w:t xml:space="preserve"> pathway</w:t>
      </w:r>
      <w:r>
        <w:rPr>
          <w:lang w:eastAsia="zh-CN"/>
        </w:rPr>
        <w:t>s</w:t>
      </w:r>
      <w:r w:rsidRPr="00410453">
        <w:rPr>
          <w:lang w:eastAsia="zh-CN"/>
        </w:rPr>
        <w:t xml:space="preserve">, even though </w:t>
      </w:r>
      <w:r>
        <w:rPr>
          <w:lang w:eastAsia="zh-CN"/>
        </w:rPr>
        <w:t>this metabolic scheme</w:t>
      </w:r>
      <w:r w:rsidRPr="00410453">
        <w:rPr>
          <w:lang w:eastAsia="zh-CN"/>
        </w:rPr>
        <w:t xml:space="preserve"> consumes more NADH and ATP </w:t>
      </w:r>
      <w:r>
        <w:rPr>
          <w:lang w:eastAsia="zh-CN"/>
        </w:rPr>
        <w:t xml:space="preserve">than the one involving conversion of pyruvate to </w:t>
      </w:r>
      <w:proofErr w:type="spellStart"/>
      <w:r>
        <w:rPr>
          <w:lang w:eastAsia="zh-CN"/>
        </w:rPr>
        <w:t>AcCoA</w:t>
      </w:r>
      <w:proofErr w:type="spellEnd"/>
      <w:r>
        <w:rPr>
          <w:lang w:eastAsia="zh-CN"/>
        </w:rPr>
        <w:t>, at the expense of growth rate</w:t>
      </w:r>
      <w:r w:rsidRPr="00410453">
        <w:rPr>
          <w:lang w:eastAsia="zh-CN"/>
        </w:rPr>
        <w:t xml:space="preserve">. </w:t>
      </w:r>
      <w:r>
        <w:rPr>
          <w:lang w:eastAsia="zh-CN"/>
        </w:rPr>
        <w:t xml:space="preserve">Likewise, </w:t>
      </w:r>
      <w:r w:rsidRPr="00410453">
        <w:rPr>
          <w:lang w:eastAsia="zh-CN"/>
        </w:rPr>
        <w:t>higher growth rate</w:t>
      </w:r>
      <w:r>
        <w:rPr>
          <w:lang w:eastAsia="zh-CN"/>
        </w:rPr>
        <w:t xml:space="preserve"> is achieved by diverting carbon through </w:t>
      </w:r>
      <w:r w:rsidRPr="00410453">
        <w:rPr>
          <w:lang w:eastAsia="zh-CN"/>
        </w:rPr>
        <w:t>pathways with higher NADH and ATP production</w:t>
      </w:r>
      <w:r>
        <w:rPr>
          <w:lang w:eastAsia="zh-CN"/>
        </w:rPr>
        <w:t>, with concomitant decrease in biomass yield</w:t>
      </w:r>
      <w:r w:rsidRPr="00410453">
        <w:rPr>
          <w:lang w:eastAsia="zh-CN"/>
        </w:rPr>
        <w:t xml:space="preserve">. </w:t>
      </w:r>
    </w:p>
    <w:p w14:paraId="3CA75C15" w14:textId="77777777" w:rsidR="009855DF" w:rsidRDefault="009855DF" w:rsidP="00654CDF">
      <w:pPr>
        <w:divId w:val="1326516459"/>
        <w:rPr>
          <w:lang w:eastAsia="zh-CN"/>
        </w:rPr>
      </w:pPr>
      <w:r>
        <w:t>There must be a genetic explanation for the trade-off. However, genome sequence results did not provide a clear clue, since none of the genomic changes is predicted to directly impact any of the C3/C4 reactions that show altered flux. One of the possible explanations is that the mutants in the gene cluster with unknown functions lead to shifted flux through C3/C4 enzymes due to the change in small molecule pools, which in turn affects yield versus growth rate.</w:t>
      </w:r>
    </w:p>
    <w:p w14:paraId="7B846A1E" w14:textId="5CA8D0DD" w:rsidR="009855DF" w:rsidRDefault="009855DF" w:rsidP="00654CDF">
      <w:pPr>
        <w:divId w:val="1326516459"/>
        <w:rPr>
          <w:lang w:eastAsia="zh-CN"/>
        </w:rPr>
      </w:pPr>
      <w:r>
        <w:rPr>
          <w:lang w:eastAsia="zh-CN"/>
        </w:rPr>
        <w:t xml:space="preserve">The results of mutant phenotypes are consistent with these conclusions regarding metabolic network response, since loss of the biomass yield-related enzymes resulted in an impact on biomass yield, and loss of a growth-rate related enzyme resulted in an impact on growth rate. </w:t>
      </w:r>
      <w:r w:rsidRPr="00054ABE">
        <w:rPr>
          <w:lang w:eastAsia="zh-CN"/>
        </w:rPr>
        <w:t xml:space="preserve">It is more difficult to predict the impact of the </w:t>
      </w:r>
      <w:proofErr w:type="spellStart"/>
      <w:r w:rsidRPr="00054ABE">
        <w:rPr>
          <w:i/>
          <w:lang w:eastAsia="zh-CN"/>
        </w:rPr>
        <w:t>pyk</w:t>
      </w:r>
      <w:proofErr w:type="spellEnd"/>
      <w:r w:rsidRPr="00054ABE">
        <w:rPr>
          <w:lang w:eastAsia="zh-CN"/>
        </w:rPr>
        <w:t xml:space="preserve"> mutant on yield, and of the </w:t>
      </w:r>
      <w:proofErr w:type="spellStart"/>
      <w:r w:rsidRPr="00054ABE">
        <w:rPr>
          <w:i/>
          <w:lang w:eastAsia="zh-CN"/>
        </w:rPr>
        <w:t>dme</w:t>
      </w:r>
      <w:proofErr w:type="spellEnd"/>
      <w:r w:rsidRPr="00054ABE">
        <w:rPr>
          <w:lang w:eastAsia="zh-CN"/>
        </w:rPr>
        <w:t xml:space="preserve"> and </w:t>
      </w:r>
      <w:proofErr w:type="spellStart"/>
      <w:r w:rsidRPr="00054ABE">
        <w:rPr>
          <w:i/>
          <w:lang w:eastAsia="zh-CN"/>
        </w:rPr>
        <w:t>pck</w:t>
      </w:r>
      <w:proofErr w:type="spellEnd"/>
      <w:r w:rsidR="00C521AB">
        <w:rPr>
          <w:lang w:eastAsia="zh-CN"/>
        </w:rPr>
        <w:t xml:space="preserve"> mutants on growth rate. </w:t>
      </w:r>
      <w:r w:rsidRPr="00054ABE">
        <w:rPr>
          <w:lang w:eastAsia="zh-CN"/>
        </w:rPr>
        <w:t>C3-C4 interconversion pathways in this bacterium are flexible due to the fact that some of the enzymes are reversible (such as MDH, ME) as well as the fact that different enzymes are present that catalyze forward and reverse reactions (such as PK, PEP synthase, PEPCL and PEPCK). In the two strain variants, two C3/C4 pathways dominate</w:t>
      </w:r>
      <w:r>
        <w:rPr>
          <w:lang w:eastAsia="zh-CN"/>
        </w:rPr>
        <w:t xml:space="preserve"> but with different ratios</w:t>
      </w:r>
      <w:r w:rsidRPr="00054ABE">
        <w:rPr>
          <w:lang w:eastAsia="zh-CN"/>
        </w:rPr>
        <w:t xml:space="preserve">, as shown in Figure </w:t>
      </w:r>
      <w:r w:rsidR="002B016E">
        <w:rPr>
          <w:lang w:eastAsia="zh-CN"/>
        </w:rPr>
        <w:t>2.</w:t>
      </w:r>
      <w:r w:rsidRPr="00054ABE">
        <w:rPr>
          <w:lang w:eastAsia="zh-CN"/>
        </w:rPr>
        <w:t>3, but we do</w:t>
      </w:r>
      <w:r>
        <w:rPr>
          <w:lang w:eastAsia="zh-CN"/>
        </w:rPr>
        <w:t xml:space="preserve"> not</w:t>
      </w:r>
      <w:r w:rsidRPr="00054ABE">
        <w:rPr>
          <w:lang w:eastAsia="zh-CN"/>
        </w:rPr>
        <w:t xml:space="preserve"> know how the network will change in the mutants. Therefore, although we can predict that removing the optimal variant would decrease growth rate or yield, respectively, the mutation may or may not also affect the other parameter, depending on how the metabolic network rearranges</w:t>
      </w:r>
      <w:r>
        <w:rPr>
          <w:lang w:eastAsia="zh-CN"/>
        </w:rPr>
        <w:t xml:space="preserve">. </w:t>
      </w:r>
    </w:p>
    <w:p w14:paraId="21E7EE98" w14:textId="78FF3CEF" w:rsidR="009855DF" w:rsidRDefault="009855DF" w:rsidP="00654CDF">
      <w:pPr>
        <w:divId w:val="1326516459"/>
        <w:rPr>
          <w:lang w:eastAsia="zh-CN"/>
        </w:rPr>
      </w:pPr>
      <w:r>
        <w:rPr>
          <w:lang w:eastAsia="zh-CN"/>
        </w:rPr>
        <w:t>The cobalt concentration used in the growth medium also affected the fluxes and mutant phenotypes. In both strains, growth in higher cobalt resulted in higher growth rates and a correspondingly higher absolute flux through the assimilatory pathways. Since the EMC pathway contains two steps requiring B</w:t>
      </w:r>
      <w:r w:rsidRPr="000B0AF2">
        <w:rPr>
          <w:vertAlign w:val="subscript"/>
          <w:lang w:eastAsia="zh-CN"/>
        </w:rPr>
        <w:t>12</w:t>
      </w:r>
      <w:r>
        <w:rPr>
          <w:lang w:eastAsia="zh-CN"/>
        </w:rPr>
        <w:t xml:space="preserve">-utilizing </w:t>
      </w:r>
      <w:r>
        <w:rPr>
          <w:lang w:eastAsia="zh-CN"/>
        </w:rPr>
        <w:lastRenderedPageBreak/>
        <w:t>mutases (</w:t>
      </w:r>
      <w:proofErr w:type="spellStart"/>
      <w:r>
        <w:rPr>
          <w:lang w:eastAsia="zh-CN"/>
        </w:rPr>
        <w:t>ethylmalonyl</w:t>
      </w:r>
      <w:proofErr w:type="spellEnd"/>
      <w:r>
        <w:rPr>
          <w:lang w:eastAsia="zh-CN"/>
        </w:rPr>
        <w:t xml:space="preserve">-CoA mutase and </w:t>
      </w:r>
      <w:proofErr w:type="spellStart"/>
      <w:r>
        <w:rPr>
          <w:lang w:eastAsia="zh-CN"/>
        </w:rPr>
        <w:t>methylmalonyl</w:t>
      </w:r>
      <w:proofErr w:type="spellEnd"/>
      <w:r>
        <w:rPr>
          <w:lang w:eastAsia="zh-CN"/>
        </w:rPr>
        <w:t>-CoA mutase), it is expected that higher availability of cobalt would affect flux through the EMC shown by others</w:t>
      </w:r>
      <w:r>
        <w:rPr>
          <w:lang w:eastAsia="zh-CN"/>
        </w:rPr>
        <w:fldChar w:fldCharType="begin" w:fldLock="1"/>
      </w:r>
      <w:r w:rsidR="008C0508">
        <w:rPr>
          <w:lang w:eastAsia="zh-CN"/>
        </w:rPr>
        <w:instrText>ADDIN CSL_CITATION { "citationItems" : [ { "id" : "ITEM-1", "itemData" : { "DOI" : "10.1371/journal.pone.0007831", "ISSN" : "1932-6203", "PMID" : "19915676", "abstract" : "BACKGROUND: The introduction and maintenance of plasmids in cells is often associated with a reduction of growth rate. The reason for this growth reduction is unclear in many cases.\n\nMETHODOLOGY/PRINCIPAL FINDINGS: We observed a surprisingly large reduction in growth rate of about 50% of Methylobacterium extorquens AM1 during methylotrophic growth in the presence of a plasmid, pCM80 expressing the tetA gene, relative to the wild-type. A less pronounced growth delay during growth under non-methylotrophic growth conditions was observed; this suggested an inhibition of one-carbon metabolism rather than a general growth inhibition or metabolic burden. Metabolome analyses revealed an increase in pool sizes of ethylmalonyl-CoA and methylmalonyl-CoA of more than 6- and 35-fold, respectively, relative to wild type, suggesting a strongly reduced conversion of these central intermediates, which are essential for glyoxylate regeneration in this model methylotroph. Similar results were found for M. extorquens AM1 pCM160 which confers kanamycin resistance. These intermediates of the ethylmalonyl-CoA pathway have in common their conversion by coenzyme B(12)-dependent mutases, which have cobalt as a central ligand. The one-carbon metabolism-related growth delay was restored by providing higher cobalt concentrations, by heterologous expression of isocitrate lyase as an alternative path for glyoxylate regeneration, or by identification and overproduction of proteins involved in cobalt import.\n\nCONCLUSIONS/SIGNIFICANCE: This study demonstrates that the introduction of the plasmids leads to an apparent inhibition of the cobalt-dependent enzymes of the ethylmalonyl-CoA pathway. Possible explanations are presented and point to a limited cobalt concentration in the cell as a consequence of the antibiotic stress.", "author" : [ { "dropping-particle" : "", "family" : "Kiefer", "given" : "Patrick", "non-dropping-particle" : "", "parse-names" : false, "suffix" : "" }, { "dropping-particle" : "", "family" : "Buchhaupt", "given" : "Markus", "non-dropping-particle" : "", "parse-names" : false, "suffix" : "" }, { "dropping-particle" : "", "family" : "Christen", "given" : "Philipp", "non-dropping-particle" : "", "parse-names" : false, "suffix" : "" }, { "dropping-particle" : "", "family" : "Kaup", "given" : "Bj\u00f6rn", "non-dropping-particle" : "", "parse-names" : false, "suffix" : "" }, { "dropping-particle" : "", "family" : "Schrader", "given" : "Jens", "non-dropping-particle" : "", "parse-names" : false, "suffix" : "" }, { "dropping-particle" : "", "family" : "Vorholt", "given" : "Julia A", "non-dropping-particle" : "", "parse-names" : false, "suffix" : "" } ], "container-title" : "PloS one", "editor" : [ { "dropping-particle" : "", "family" : "Bruggemann", "given" : "Holger", "non-dropping-particle" : "", "parse-names" : false, "suffix" : "" } ], "id" : "ITEM-1", "issue" : "11", "issued" : { "date-parts" : [ [ "2009", "1" ] ] }, "page" : "e7831", "publisher" : "Public Library of Science", "title" : "Metabolite profiling uncovers plasmid-induced cobalt limitation under methylotrophic growth conditions.", "type" : "article-journal", "volume" : "4" }, "uris" : [ "http://www.mendeley.com/documents/?uuid=bf57882e-7677-47ef-b78c-a51865f6ac00" ] } ], "mendeley" : { "formattedCitation" : "[46]", "plainTextFormattedCitation" : "[46]", "previouslyFormattedCitation" : "[46]" }, "properties" : { "noteIndex" : 0 }, "schema" : "https://github.com/citation-style-language/schema/raw/master/csl-citation.json" }</w:instrText>
      </w:r>
      <w:r>
        <w:rPr>
          <w:lang w:eastAsia="zh-CN"/>
        </w:rPr>
        <w:fldChar w:fldCharType="separate"/>
      </w:r>
      <w:r w:rsidR="0005386F" w:rsidRPr="0005386F">
        <w:rPr>
          <w:noProof/>
          <w:lang w:eastAsia="zh-CN"/>
        </w:rPr>
        <w:t>[46]</w:t>
      </w:r>
      <w:r>
        <w:rPr>
          <w:lang w:eastAsia="zh-CN"/>
        </w:rPr>
        <w:fldChar w:fldCharType="end"/>
      </w:r>
      <w:r>
        <w:rPr>
          <w:lang w:eastAsia="zh-CN"/>
        </w:rPr>
        <w:fldChar w:fldCharType="begin" w:fldLock="1"/>
      </w:r>
      <w:r w:rsidR="008C0508">
        <w:rPr>
          <w:lang w:eastAsia="zh-CN"/>
        </w:rPr>
        <w:instrText>ADDIN CSL_CITATION { "citationItems" : [ { "id" : "ITEM-1", "itemData" : { "DOI" : "10.1371/journal.pgen.1000652", "ISBN" : "1553-7404 (Electronic)\\r1553-7390 (Linking)", "ISSN" : "15537390", "PMID" : "19763169", "abstract" : "Understanding the evolution of biological systems requires untangling the molecular mechanisms that connect genetic and environmental variations to their physiological consequences. Metal limitation across many environments, ranging from pathogens in the human body to phytoplankton in the oceans, imposes strong selection for improved metal acquisition systems. In this study, we uncovered the genetic and physiological basis of adaptation to metal limitation using experimental populations of Methylobacterium extorquens AM1 evolved in metal-deficient growth media. We identified a transposition mutation arising recurrently in 30 of 32 independent populations that utilized methanol as a carbon source, but not in any of the 8 that utilized only succinate. These parallel insertion events increased expression of a novel transporter system that enhanced cobalt uptake. Such ability ensured the production of vitamin B(12), a cobalt-containing cofactor, to sustain two vitamin B(12)-dependent enzymatic reactions essential to methanol, but not succinate, metabolism. Interestingly, this mutation provided higher selective advantages under genetic backgrounds or incubation temperatures that permit faster growth, indicating growth-rate-dependent epistatic and genotype-by-environment interactions. Our results link beneficial mutations emerging in a metal-limiting environment to their physiological basis in carbon metabolism, suggest that certain molecular features may promote the emergence of parallel mutations, and indicate that the selective advantages of some mutations depend generically upon changes in growth rate that can stem from either genetic or environmental influences.", "author" : [ { "dropping-particle" : "", "family" : "Chou", "given" : "Hsin Hung", "non-dropping-particle" : "", "parse-names" : false, "suffix" : "" }, { "dropping-particle" : "", "family" : "Berthet", "given" : "Julia", "non-dropping-particle" : "", "parse-names" : false, "suffix" : "" }, { "dropping-particle" : "", "family" : "Marx", "given" : "Christopher J.", "non-dropping-particle" : "", "parse-names" : false, "suffix" : "" } ], "container-title" : "PLoS Genetics", "id" : "ITEM-1", "issue" : "9", "issued" : { "date-parts" : [ [ "2009" ] ] }, "title" : "Fast growth increases the selective advantage of a mutation arising recurrently during evolution under metal limitation", "type" : "article-journal", "volume" : "5" }, "uris" : [ "http://www.mendeley.com/documents/?uuid=cbbd581a-c441-444a-ae56-67111645e173" ] } ], "mendeley" : { "formattedCitation" : "[49]", "plainTextFormattedCitation" : "[49]", "previouslyFormattedCitation" : "[49]" }, "properties" : { "noteIndex" : 0 }, "schema" : "https://github.com/citation-style-language/schema/raw/master/csl-citation.json" }</w:instrText>
      </w:r>
      <w:r>
        <w:rPr>
          <w:lang w:eastAsia="zh-CN"/>
        </w:rPr>
        <w:fldChar w:fldCharType="separate"/>
      </w:r>
      <w:r w:rsidR="0005386F" w:rsidRPr="0005386F">
        <w:rPr>
          <w:noProof/>
          <w:lang w:eastAsia="zh-CN"/>
        </w:rPr>
        <w:t>[49]</w:t>
      </w:r>
      <w:r>
        <w:rPr>
          <w:lang w:eastAsia="zh-CN"/>
        </w:rPr>
        <w:fldChar w:fldCharType="end"/>
      </w:r>
      <w:r>
        <w:rPr>
          <w:lang w:eastAsia="zh-CN"/>
        </w:rPr>
        <w:t xml:space="preserve">. The increased absolute flux through the EMC suggests that a cobalt-related component of one or both of these enzymes might limit flux under the lower cobalt growth condition. However, although the absolute flux increased through all of the central assimilatory pathways with increased cobalt, the flux distribution (normalized to the </w:t>
      </w:r>
      <w:r w:rsidR="001E6B88">
        <w:rPr>
          <w:lang w:eastAsia="zh-CN"/>
        </w:rPr>
        <w:t xml:space="preserve">methanol uptake rate) did not. </w:t>
      </w:r>
      <w:r>
        <w:rPr>
          <w:lang w:eastAsia="zh-CN"/>
        </w:rPr>
        <w:t>The flux distribution through the EMC was essentially the same for both the hi</w:t>
      </w:r>
      <w:r w:rsidR="001E6B88">
        <w:rPr>
          <w:lang w:eastAsia="zh-CN"/>
        </w:rPr>
        <w:t xml:space="preserve">gh and low cobalt conditions. </w:t>
      </w:r>
      <w:r>
        <w:rPr>
          <w:lang w:eastAsia="zh-CN"/>
        </w:rPr>
        <w:t xml:space="preserve">This result suggests that the assimilatory flux is well balanced with both the methanol uptake rate and the </w:t>
      </w:r>
      <w:proofErr w:type="spellStart"/>
      <w:r>
        <w:rPr>
          <w:lang w:eastAsia="zh-CN"/>
        </w:rPr>
        <w:t>formate</w:t>
      </w:r>
      <w:proofErr w:type="spellEnd"/>
      <w:r>
        <w:rPr>
          <w:lang w:eastAsia="zh-CN"/>
        </w:rPr>
        <w:t xml:space="preserve"> branch</w:t>
      </w:r>
      <w:r w:rsidR="00F57981">
        <w:rPr>
          <w:lang w:eastAsia="zh-CN"/>
        </w:rPr>
        <w:t xml:space="preserve"> </w:t>
      </w:r>
      <w:r>
        <w:rPr>
          <w:lang w:eastAsia="zh-CN"/>
        </w:rPr>
        <w:t>point distribution, and that the metabolic network has the capacity to increase flux to this level.  The significant changes in the flux distribution that occur in response to cobalt are not in the EMC pathway, but instead, are in the nexus between the serine cycle, the partial TCA cycle, the pentose-phosphate</w:t>
      </w:r>
      <w:r w:rsidR="00F57981">
        <w:rPr>
          <w:lang w:eastAsia="zh-CN"/>
        </w:rPr>
        <w:t xml:space="preserve"> pathway, and the EMC pathway. </w:t>
      </w:r>
      <w:r>
        <w:rPr>
          <w:lang w:eastAsia="zh-CN"/>
        </w:rPr>
        <w:t>It seems likely that this redundancy in C3-C4 interconversions at this metabolic intersection provides robustn</w:t>
      </w:r>
      <w:r w:rsidR="00F57981">
        <w:rPr>
          <w:lang w:eastAsia="zh-CN"/>
        </w:rPr>
        <w:t xml:space="preserve">ess for the metabolic network. </w:t>
      </w:r>
      <w:r>
        <w:rPr>
          <w:lang w:eastAsia="zh-CN"/>
        </w:rPr>
        <w:t>The mechanism(s) for these changes are not yet known, but could occur at the transcriptional or post-transcriptional level.</w:t>
      </w:r>
    </w:p>
    <w:p w14:paraId="59B9140F" w14:textId="72FF5419" w:rsidR="009855DF" w:rsidRPr="007C01A8" w:rsidRDefault="009855DF" w:rsidP="00654CDF">
      <w:pPr>
        <w:divId w:val="1326516459"/>
        <w:rPr>
          <w:lang w:eastAsia="zh-CN"/>
        </w:rPr>
      </w:pPr>
      <w:r w:rsidRPr="007C01A8">
        <w:rPr>
          <w:lang w:eastAsia="zh-CN"/>
        </w:rPr>
        <w:t>The flux distribution map</w:t>
      </w:r>
      <w:r>
        <w:rPr>
          <w:lang w:eastAsia="zh-CN"/>
        </w:rPr>
        <w:t>s presented here</w:t>
      </w:r>
      <w:r w:rsidRPr="007C01A8">
        <w:rPr>
          <w:lang w:eastAsia="zh-CN"/>
        </w:rPr>
        <w:t xml:space="preserve"> </w:t>
      </w:r>
      <w:r>
        <w:rPr>
          <w:lang w:eastAsia="zh-CN"/>
        </w:rPr>
        <w:t>provide information that is potentially useful in</w:t>
      </w:r>
      <w:r w:rsidRPr="007C01A8">
        <w:rPr>
          <w:lang w:eastAsia="zh-CN"/>
        </w:rPr>
        <w:t xml:space="preserve"> guid</w:t>
      </w:r>
      <w:r>
        <w:rPr>
          <w:lang w:eastAsia="zh-CN"/>
        </w:rPr>
        <w:t>ing</w:t>
      </w:r>
      <w:r w:rsidRPr="007C01A8">
        <w:rPr>
          <w:lang w:eastAsia="zh-CN"/>
        </w:rPr>
        <w:t xml:space="preserve"> strain development</w:t>
      </w:r>
      <w:r>
        <w:rPr>
          <w:lang w:eastAsia="zh-CN"/>
        </w:rPr>
        <w:t xml:space="preserve"> for </w:t>
      </w:r>
      <w:r w:rsidRPr="007C01A8">
        <w:rPr>
          <w:lang w:eastAsia="zh-CN"/>
        </w:rPr>
        <w:t>biotechnical application</w:t>
      </w:r>
      <w:r w:rsidR="001948E4">
        <w:rPr>
          <w:lang w:eastAsia="zh-CN"/>
        </w:rPr>
        <w:t xml:space="preserve">s. </w:t>
      </w:r>
      <w:r>
        <w:rPr>
          <w:lang w:eastAsia="zh-CN"/>
        </w:rPr>
        <w:t xml:space="preserve">For applications in which </w:t>
      </w:r>
      <w:r w:rsidRPr="004F6866">
        <w:rPr>
          <w:lang w:eastAsia="zh-CN"/>
        </w:rPr>
        <w:t xml:space="preserve">faster strain growth is favored to </w:t>
      </w:r>
      <w:r>
        <w:rPr>
          <w:lang w:eastAsia="zh-CN"/>
        </w:rPr>
        <w:t>create optimal economic conditions for a product (for instance, when a biomass product is the target)</w:t>
      </w:r>
      <w:r w:rsidRPr="004F6866">
        <w:rPr>
          <w:lang w:eastAsia="zh-CN"/>
        </w:rPr>
        <w:t xml:space="preserve">, reactions identified in this study associated </w:t>
      </w:r>
      <w:r>
        <w:rPr>
          <w:lang w:eastAsia="zh-CN"/>
        </w:rPr>
        <w:t>with</w:t>
      </w:r>
      <w:r w:rsidRPr="004F6866">
        <w:rPr>
          <w:lang w:eastAsia="zh-CN"/>
        </w:rPr>
        <w:t xml:space="preserve"> faster growth </w:t>
      </w:r>
      <w:r>
        <w:rPr>
          <w:lang w:eastAsia="zh-CN"/>
        </w:rPr>
        <w:t>are targets for manipulation</w:t>
      </w:r>
      <w:r w:rsidRPr="007C01A8">
        <w:rPr>
          <w:lang w:eastAsia="zh-CN"/>
        </w:rPr>
        <w:t>. Similarly, if instead higher biomass</w:t>
      </w:r>
      <w:r>
        <w:rPr>
          <w:lang w:eastAsia="zh-CN"/>
        </w:rPr>
        <w:t xml:space="preserve"> </w:t>
      </w:r>
      <w:r w:rsidRPr="007C01A8">
        <w:rPr>
          <w:lang w:eastAsia="zh-CN"/>
        </w:rPr>
        <w:t xml:space="preserve">yield is favored, </w:t>
      </w:r>
      <w:r>
        <w:rPr>
          <w:lang w:eastAsia="zh-CN"/>
        </w:rPr>
        <w:t>for instance</w:t>
      </w:r>
      <w:r w:rsidR="001948E4">
        <w:rPr>
          <w:lang w:eastAsia="zh-CN"/>
        </w:rPr>
        <w:t>,</w:t>
      </w:r>
      <w:r>
        <w:rPr>
          <w:lang w:eastAsia="zh-CN"/>
        </w:rPr>
        <w:t xml:space="preserve"> with an excreted product, the </w:t>
      </w:r>
      <w:r w:rsidRPr="007C01A8">
        <w:rPr>
          <w:lang w:eastAsia="zh-CN"/>
        </w:rPr>
        <w:t>reaction</w:t>
      </w:r>
      <w:r>
        <w:rPr>
          <w:lang w:eastAsia="zh-CN"/>
        </w:rPr>
        <w:t>s</w:t>
      </w:r>
      <w:r w:rsidRPr="007C01A8">
        <w:rPr>
          <w:lang w:eastAsia="zh-CN"/>
        </w:rPr>
        <w:t xml:space="preserve"> associated with higher biomass yield could be </w:t>
      </w:r>
      <w:r>
        <w:rPr>
          <w:lang w:eastAsia="zh-CN"/>
        </w:rPr>
        <w:t>manipulation targets</w:t>
      </w:r>
      <w:r w:rsidRPr="007C01A8">
        <w:rPr>
          <w:lang w:eastAsia="zh-CN"/>
        </w:rPr>
        <w:t xml:space="preserve">. </w:t>
      </w:r>
      <w:r>
        <w:rPr>
          <w:lang w:eastAsia="zh-CN"/>
        </w:rPr>
        <w:t>It should also be noted that a</w:t>
      </w:r>
      <w:r w:rsidRPr="007C01A8">
        <w:rPr>
          <w:lang w:eastAsia="zh-CN"/>
        </w:rPr>
        <w:t xml:space="preserve">s shown in this study, </w:t>
      </w:r>
      <w:r>
        <w:rPr>
          <w:lang w:eastAsia="zh-CN"/>
        </w:rPr>
        <w:t>a</w:t>
      </w:r>
      <w:r w:rsidRPr="007C01A8">
        <w:rPr>
          <w:lang w:eastAsia="zh-CN"/>
        </w:rPr>
        <w:t xml:space="preserve"> single trace mineral change in </w:t>
      </w:r>
      <w:r>
        <w:rPr>
          <w:lang w:eastAsia="zh-CN"/>
        </w:rPr>
        <w:t xml:space="preserve">the </w:t>
      </w:r>
      <w:r w:rsidRPr="007C01A8">
        <w:rPr>
          <w:lang w:eastAsia="zh-CN"/>
        </w:rPr>
        <w:t>medium change</w:t>
      </w:r>
      <w:r>
        <w:rPr>
          <w:lang w:eastAsia="zh-CN"/>
        </w:rPr>
        <w:t>s</w:t>
      </w:r>
      <w:r w:rsidRPr="007C01A8">
        <w:rPr>
          <w:lang w:eastAsia="zh-CN"/>
        </w:rPr>
        <w:t xml:space="preserve"> the </w:t>
      </w:r>
      <w:r>
        <w:rPr>
          <w:lang w:eastAsia="zh-CN"/>
        </w:rPr>
        <w:t>flux distribution</w:t>
      </w:r>
      <w:r w:rsidRPr="007C01A8">
        <w:rPr>
          <w:lang w:eastAsia="zh-CN"/>
        </w:rPr>
        <w:t xml:space="preserve">, </w:t>
      </w:r>
      <w:r>
        <w:rPr>
          <w:lang w:eastAsia="zh-CN"/>
        </w:rPr>
        <w:t>pointing out the importance of flux analysis in assessing metabolic dynamics and growth conditions</w:t>
      </w:r>
      <w:r w:rsidRPr="007C01A8">
        <w:rPr>
          <w:lang w:eastAsia="zh-CN"/>
        </w:rPr>
        <w:t>.</w:t>
      </w:r>
    </w:p>
    <w:p w14:paraId="2C43714C" w14:textId="77777777" w:rsidR="009855DF" w:rsidRPr="007C01A8" w:rsidRDefault="009855DF" w:rsidP="00654CDF">
      <w:pPr>
        <w:pStyle w:val="Heading3"/>
        <w:divId w:val="1326516459"/>
        <w:rPr>
          <w:rFonts w:eastAsia="SimSun"/>
          <w:lang w:eastAsia="zh-CN"/>
        </w:rPr>
      </w:pPr>
      <w:bookmarkStart w:id="46" w:name="_Toc468311715"/>
      <w:r w:rsidRPr="0055587D">
        <w:t>Conclusion</w:t>
      </w:r>
      <w:bookmarkEnd w:id="46"/>
    </w:p>
    <w:p w14:paraId="325E2F07" w14:textId="77777777" w:rsidR="009855DF" w:rsidRDefault="009855DF" w:rsidP="00654CDF">
      <w:pPr>
        <w:divId w:val="1326516459"/>
      </w:pPr>
      <w:r w:rsidRPr="0055587D">
        <w:t>Growth rate and biomass yield measurement</w:t>
      </w:r>
      <w:r>
        <w:t>s</w:t>
      </w:r>
      <w:r w:rsidRPr="0055587D">
        <w:t xml:space="preserve"> for </w:t>
      </w:r>
      <w:r>
        <w:t>two</w:t>
      </w:r>
      <w:r w:rsidRPr="0055587D">
        <w:t xml:space="preserve"> culture conditions with two strain</w:t>
      </w:r>
      <w:r>
        <w:t xml:space="preserve"> variants</w:t>
      </w:r>
      <w:r w:rsidRPr="0055587D">
        <w:t xml:space="preserve"> suggest trade-off</w:t>
      </w:r>
      <w:r>
        <w:t>s</w:t>
      </w:r>
      <w:r w:rsidRPr="0055587D">
        <w:t xml:space="preserve"> exist</w:t>
      </w:r>
      <w:r>
        <w:t xml:space="preserve"> between growth rate and biomass yield</w:t>
      </w:r>
      <w:r w:rsidRPr="0055587D">
        <w:t xml:space="preserve">. </w:t>
      </w:r>
      <w:r w:rsidRPr="0055587D">
        <w:rPr>
          <w:vertAlign w:val="superscript"/>
        </w:rPr>
        <w:t>13</w:t>
      </w:r>
      <w:r w:rsidRPr="0055587D">
        <w:t xml:space="preserve">C flux analysis was </w:t>
      </w:r>
      <w:r w:rsidRPr="00F708A8">
        <w:t xml:space="preserve">successfully applied to </w:t>
      </w:r>
      <w:r w:rsidRPr="00706E2E">
        <w:t xml:space="preserve">identify metabolic </w:t>
      </w:r>
      <w:r>
        <w:t>differences that could contribute</w:t>
      </w:r>
      <w:r w:rsidRPr="00706E2E">
        <w:t xml:space="preserve"> to the trade-off.  P</w:t>
      </w:r>
      <w:r w:rsidRPr="003F5526">
        <w:t xml:space="preserve">athways with different activities were identified, which </w:t>
      </w:r>
      <w:r>
        <w:t xml:space="preserve">were </w:t>
      </w:r>
      <w:r w:rsidRPr="003F5526">
        <w:t xml:space="preserve">used </w:t>
      </w:r>
      <w:r>
        <w:t>to generate a</w:t>
      </w:r>
      <w:r w:rsidRPr="003F5526">
        <w:t xml:space="preserve"> hypothesis of </w:t>
      </w:r>
      <w:r>
        <w:t xml:space="preserve">the </w:t>
      </w:r>
      <w:r w:rsidRPr="003F5526">
        <w:t>metabolic change</w:t>
      </w:r>
      <w:r>
        <w:t>s</w:t>
      </w:r>
      <w:r w:rsidRPr="003F5526">
        <w:t xml:space="preserve"> responding to the trade-off</w:t>
      </w:r>
      <w:r>
        <w:t xml:space="preserve">, focused on </w:t>
      </w:r>
      <w:r w:rsidRPr="000B2495">
        <w:t>C3-C4 inter-conversion strategies</w:t>
      </w:r>
      <w:r w:rsidRPr="00160E5D">
        <w:t xml:space="preserve">. </w:t>
      </w:r>
      <w:r>
        <w:t>The hypothesis was tested using m</w:t>
      </w:r>
      <w:r w:rsidRPr="00160E5D">
        <w:t>utants</w:t>
      </w:r>
      <w:r w:rsidRPr="000B2495">
        <w:t xml:space="preserve">, and </w:t>
      </w:r>
      <w:r>
        <w:t xml:space="preserve">their </w:t>
      </w:r>
      <w:r w:rsidRPr="000B2495">
        <w:lastRenderedPageBreak/>
        <w:t>phenotype</w:t>
      </w:r>
      <w:r>
        <w:t>s</w:t>
      </w:r>
      <w:r w:rsidRPr="000B2495">
        <w:t xml:space="preserve"> </w:t>
      </w:r>
      <w:r>
        <w:t>supported</w:t>
      </w:r>
      <w:r w:rsidRPr="000B2495">
        <w:t xml:space="preserve"> </w:t>
      </w:r>
      <w:r>
        <w:t>the</w:t>
      </w:r>
      <w:r w:rsidRPr="000B2495">
        <w:t xml:space="preserve"> </w:t>
      </w:r>
      <w:r>
        <w:t>conclusion</w:t>
      </w:r>
      <w:r w:rsidRPr="000B2495">
        <w:t xml:space="preserve"> </w:t>
      </w:r>
      <w:r>
        <w:t>that</w:t>
      </w:r>
      <w:r w:rsidRPr="000B2495">
        <w:t xml:space="preserve"> the flux difference mainly </w:t>
      </w:r>
      <w:r>
        <w:t>involves</w:t>
      </w:r>
      <w:r w:rsidRPr="000B2495">
        <w:t xml:space="preserve"> C3-C4 interconversion strategies.</w:t>
      </w:r>
    </w:p>
    <w:p w14:paraId="623EDEC8" w14:textId="77777777" w:rsidR="009855DF" w:rsidRPr="0055587D" w:rsidRDefault="009855DF" w:rsidP="00654CDF">
      <w:pPr>
        <w:pStyle w:val="Heading2"/>
        <w:divId w:val="1326516459"/>
      </w:pPr>
      <w:bookmarkStart w:id="47" w:name="_Toc468311716"/>
      <w:r w:rsidRPr="0055587D">
        <w:t>List of abbreviations</w:t>
      </w:r>
      <w:bookmarkEnd w:id="47"/>
    </w:p>
    <w:p w14:paraId="20F58430" w14:textId="77777777" w:rsidR="009855DF" w:rsidRDefault="009855DF" w:rsidP="00654CDF">
      <w:pPr>
        <w:divId w:val="1326516459"/>
        <w:rPr>
          <w:rFonts w:eastAsia="Times New Roman"/>
          <w:lang w:val="en-GB"/>
        </w:rPr>
      </w:pPr>
      <w:r w:rsidRPr="0055587D">
        <w:t xml:space="preserve">AM1: </w:t>
      </w:r>
      <w:r w:rsidRPr="0055587D">
        <w:rPr>
          <w:i/>
        </w:rPr>
        <w:t xml:space="preserve">Methylobacterium </w:t>
      </w:r>
      <w:proofErr w:type="spellStart"/>
      <w:r w:rsidRPr="0055587D">
        <w:rPr>
          <w:i/>
        </w:rPr>
        <w:t>extorquens</w:t>
      </w:r>
      <w:proofErr w:type="spellEnd"/>
      <w:r w:rsidRPr="0055587D">
        <w:rPr>
          <w:i/>
        </w:rPr>
        <w:t xml:space="preserve"> </w:t>
      </w:r>
      <w:r w:rsidRPr="0055587D">
        <w:t xml:space="preserve">AM1; HY: </w:t>
      </w:r>
      <w:proofErr w:type="spellStart"/>
      <w:r w:rsidRPr="0055587D">
        <w:t>hypho</w:t>
      </w:r>
      <w:proofErr w:type="spellEnd"/>
      <w:r w:rsidRPr="0055587D">
        <w:t xml:space="preserve"> medium with </w:t>
      </w:r>
      <w:r w:rsidRPr="00DE0ADC">
        <w:rPr>
          <w:rFonts w:eastAsia="Times New Roman"/>
          <w:lang w:val="en-GB"/>
        </w:rPr>
        <w:t>1.35μM cobalt; HY</w:t>
      </w:r>
      <w:r>
        <w:rPr>
          <w:rFonts w:eastAsia="Times New Roman"/>
          <w:lang w:val="en-GB"/>
        </w:rPr>
        <w:t>C</w:t>
      </w:r>
      <w:r w:rsidRPr="00DE0ADC">
        <w:rPr>
          <w:rFonts w:eastAsia="Times New Roman"/>
          <w:lang w:val="en-GB"/>
        </w:rPr>
        <w:t xml:space="preserve">: </w:t>
      </w:r>
      <w:proofErr w:type="spellStart"/>
      <w:r w:rsidRPr="00DE0ADC">
        <w:rPr>
          <w:rFonts w:eastAsia="Times New Roman"/>
          <w:lang w:val="en-GB"/>
        </w:rPr>
        <w:t>Hypho</w:t>
      </w:r>
      <w:proofErr w:type="spellEnd"/>
      <w:r w:rsidRPr="00DE0ADC">
        <w:rPr>
          <w:rFonts w:eastAsia="Times New Roman"/>
          <w:lang w:val="en-GB"/>
        </w:rPr>
        <w:t xml:space="preserve"> medium with 6.31μM </w:t>
      </w:r>
    </w:p>
    <w:p w14:paraId="5C21EA07" w14:textId="77777777" w:rsidR="009855DF" w:rsidRDefault="009855DF" w:rsidP="00654CDF">
      <w:pPr>
        <w:pStyle w:val="Heading2"/>
        <w:divId w:val="1326516459"/>
        <w:rPr>
          <w:rFonts w:eastAsia="Times New Roman"/>
          <w:lang w:val="en-GB"/>
        </w:rPr>
      </w:pPr>
      <w:bookmarkStart w:id="48" w:name="_Toc468311717"/>
      <w:r w:rsidRPr="00530454">
        <w:t>Methods</w:t>
      </w:r>
      <w:bookmarkEnd w:id="48"/>
    </w:p>
    <w:p w14:paraId="1C1C01EF" w14:textId="5A89C9F2" w:rsidR="009855DF" w:rsidRPr="00467B04" w:rsidRDefault="000B1DE3" w:rsidP="00654CDF">
      <w:pPr>
        <w:pStyle w:val="Heading3"/>
        <w:divId w:val="1326516459"/>
        <w:rPr>
          <w:rFonts w:eastAsia="Times New Roman"/>
          <w:lang w:val="en-GB"/>
        </w:rPr>
      </w:pPr>
      <w:bookmarkStart w:id="49" w:name="_Toc468311718"/>
      <w:r>
        <w:t xml:space="preserve">2.4 </w:t>
      </w:r>
      <w:r w:rsidR="009855DF" w:rsidRPr="0045431A">
        <w:t>Chemicals and medium composition</w:t>
      </w:r>
      <w:bookmarkEnd w:id="49"/>
    </w:p>
    <w:p w14:paraId="7982FD2C" w14:textId="11C247B7" w:rsidR="009855DF" w:rsidRPr="007C01A8" w:rsidRDefault="009855DF" w:rsidP="00654CDF">
      <w:pPr>
        <w:divId w:val="1326516459"/>
        <w:rPr>
          <w:lang w:val="en-GB"/>
        </w:rPr>
      </w:pPr>
      <w:r w:rsidRPr="007C01A8">
        <w:rPr>
          <w:vertAlign w:val="superscript"/>
          <w:lang w:val="en-GB"/>
        </w:rPr>
        <w:t>13</w:t>
      </w:r>
      <w:r w:rsidRPr="007C01A8">
        <w:rPr>
          <w:lang w:val="en-GB"/>
        </w:rPr>
        <w:t xml:space="preserve">C methanol of 99% purity was purchased from Cambridge Isotope Laboratories </w:t>
      </w:r>
      <w:r w:rsidRPr="00CD224E">
        <w:rPr>
          <w:lang w:val="en-GB"/>
        </w:rPr>
        <w:t>(</w:t>
      </w:r>
      <w:r w:rsidRPr="00CD224E">
        <w:rPr>
          <w:color w:val="262626"/>
        </w:rPr>
        <w:t>Tewksbury, MA</w:t>
      </w:r>
      <w:r w:rsidRPr="007C01A8">
        <w:rPr>
          <w:color w:val="262626"/>
        </w:rPr>
        <w:t>)</w:t>
      </w:r>
      <w:r>
        <w:rPr>
          <w:lang w:val="en-GB"/>
        </w:rPr>
        <w:t xml:space="preserve">. </w:t>
      </w:r>
      <w:r w:rsidRPr="00A84BCB">
        <w:rPr>
          <w:lang w:val="en-GB"/>
        </w:rPr>
        <w:t xml:space="preserve">All other chemicals including metabolite standards were purchased from Sigma-Aldrich (St. Louis, MO). </w:t>
      </w:r>
      <w:proofErr w:type="spellStart"/>
      <w:r w:rsidRPr="00A84BCB">
        <w:rPr>
          <w:lang w:val="en-GB"/>
        </w:rPr>
        <w:t>Phusion</w:t>
      </w:r>
      <w:proofErr w:type="spellEnd"/>
      <w:r w:rsidRPr="00A84BCB">
        <w:rPr>
          <w:lang w:val="en-GB"/>
        </w:rPr>
        <w:t xml:space="preserve"> DNA polymerase, dNTP, buffer, ligases, </w:t>
      </w:r>
      <w:proofErr w:type="spellStart"/>
      <w:r w:rsidRPr="00A84BCB">
        <w:rPr>
          <w:lang w:val="en-GB"/>
        </w:rPr>
        <w:t>OneTaq</w:t>
      </w:r>
      <w:proofErr w:type="spellEnd"/>
      <w:r w:rsidRPr="00A84BCB">
        <w:rPr>
          <w:lang w:val="en-GB"/>
        </w:rPr>
        <w:t xml:space="preserve"> Quick-Load 2X Master Mix and the Gibson Assembly Master Mix kits used in this study were from New England </w:t>
      </w:r>
      <w:proofErr w:type="spellStart"/>
      <w:r w:rsidRPr="00A84BCB">
        <w:rPr>
          <w:lang w:val="en-GB"/>
        </w:rPr>
        <w:t>Biolabs</w:t>
      </w:r>
      <w:proofErr w:type="spellEnd"/>
      <w:r w:rsidRPr="00A84BCB">
        <w:rPr>
          <w:lang w:val="en-GB"/>
        </w:rPr>
        <w:t xml:space="preserve"> (Ipswich, MA). Primers, the sequences of which are shown in Table </w:t>
      </w:r>
      <w:r w:rsidR="00733D80">
        <w:rPr>
          <w:lang w:val="en-GB"/>
        </w:rPr>
        <w:t>2.</w:t>
      </w:r>
      <w:r w:rsidRPr="00A84BCB">
        <w:rPr>
          <w:lang w:val="en-GB"/>
        </w:rPr>
        <w:t xml:space="preserve">1, were obtained from Invitrogen </w:t>
      </w:r>
      <w:r w:rsidRPr="007C01A8">
        <w:rPr>
          <w:lang w:val="en-GB"/>
        </w:rPr>
        <w:t>(</w:t>
      </w:r>
      <w:r w:rsidRPr="007C01A8">
        <w:rPr>
          <w:color w:val="262626"/>
        </w:rPr>
        <w:t>Grand Island, NY</w:t>
      </w:r>
      <w:r w:rsidRPr="007C01A8">
        <w:rPr>
          <w:lang w:val="en-GB"/>
        </w:rPr>
        <w:t>) and IDT (</w:t>
      </w:r>
      <w:r w:rsidRPr="007C01A8">
        <w:rPr>
          <w:color w:val="262626"/>
        </w:rPr>
        <w:t>Coralville, I</w:t>
      </w:r>
      <w:r w:rsidRPr="00A84BCB">
        <w:rPr>
          <w:color w:val="262626"/>
        </w:rPr>
        <w:t>A</w:t>
      </w:r>
      <w:r w:rsidRPr="007C01A8">
        <w:rPr>
          <w:lang w:val="en-GB"/>
        </w:rPr>
        <w:t>). Acetonitrile and water used as UPLC solvents were UPLC</w:t>
      </w:r>
      <w:r>
        <w:rPr>
          <w:lang w:val="en-GB"/>
        </w:rPr>
        <w:t>-MS</w:t>
      </w:r>
      <w:r w:rsidRPr="007C01A8">
        <w:rPr>
          <w:lang w:val="en-GB"/>
        </w:rPr>
        <w:t xml:space="preserve"> grade. </w:t>
      </w:r>
      <w:proofErr w:type="spellStart"/>
      <w:r w:rsidRPr="007C01A8">
        <w:rPr>
          <w:lang w:val="en-GB"/>
        </w:rPr>
        <w:t>Hypho</w:t>
      </w:r>
      <w:proofErr w:type="spellEnd"/>
      <w:r w:rsidRPr="007C01A8">
        <w:rPr>
          <w:lang w:val="en-GB"/>
        </w:rPr>
        <w:t xml:space="preserve"> minimal medium as previously described </w:t>
      </w:r>
      <w:r w:rsidRPr="007C01A8">
        <w:rPr>
          <w:lang w:val="en-GB"/>
        </w:rPr>
        <w:fldChar w:fldCharType="begin" w:fldLock="1"/>
      </w:r>
      <w:r w:rsidR="008C0508">
        <w:rPr>
          <w:lang w:val="en-GB"/>
        </w:rPr>
        <w:instrText>ADDIN CSL_CITATION { "citationItems" : [ { "id" : "ITEM-1", "itemData" : { "DOI" : "10.1089/omi.2007.0027", "ISSN" : "1536-2310", "PMID" : "18092906", "abstract" : "Microarrays are an important tool for understanding global gene expression changes, and the resulting data sets can be used to direct physiologic and metabolic studies. To take advantage of this technology, 60-mer oligonucleotide microarrays were designed for Methylobacterium extorquens AM1 to study gene expression changes that occur under differing physiological conditions. The carbon utilization pathways for methanol and succinate have been well characterized, and growth with these substrates was chosen as the condition used to validate the microarray data. The data were analyzed using two different methods and compared to previously obtained experimental data. The array data processed using the Significance Analysis of Microarrays followed by p-value assessment, correlated best to the experimental data. In addition to validating the microarrays, these studies uncovered possible connections between methylotrophy, iron, and sulfur homeostasis, bacteriochlorophyll production and polyketide synthesis, and will likely aid in uncovering further metabolic networks and genes required for methylotrophy.", "author" : [ { "dropping-particle" : "", "family" : "Okubo", "given" : "Yoko", "non-dropping-particle" : "", "parse-names" : false, "suffix" : "" }, { "dropping-particle" : "", "family" : "Skovran", "given" : "Elizabeth", "non-dropping-particle" : "", "parse-names" : false, "suffix" : "" }, { "dropping-particle" : "", "family" : "Guo", "given" : "Xiaofeng", "non-dropping-particle" : "", "parse-names" : false, "suffix" : "" }, { "dropping-particle" : "", "family" : "Sivam", "given" : "Dhileep", "non-dropping-particle" : "", "parse-names" : false, "suffix" : "" }, { "dropping-particle" : "", "family" : "Lidstrom", "given" : "Mary E", "non-dropping-particle" : "", "parse-names" : false, "suffix" : "" } ], "container-title" : "Omics : a journal of integrative biology", "id" : "ITEM-1", "issue" : "4", "issued" : { "date-parts" : [ [ "2007", "1", "19" ] ] }, "language" : "en", "page" : "325-40", "publisher" : "Mary Ann Liebert, Inc.  2 Madison Avenue Larchmont, NY 10538 USA", "title" : "Implementation of microarrays for Methylobacterium extorquens AM1.", "type" : "article-journal", "volume" : "11" }, "uris" : [ "http://www.mendeley.com/documents/?uuid=aa2a72e7-c268-47d1-baff-87021e251e94" ] } ], "mendeley" : { "formattedCitation" : "[58]", "plainTextFormattedCitation" : "[58]", "previouslyFormattedCitation" : "[58]" }, "properties" : { "noteIndex" : 0 }, "schema" : "https://github.com/citation-style-language/schema/raw/master/csl-citation.json" }</w:instrText>
      </w:r>
      <w:r w:rsidRPr="007C01A8">
        <w:rPr>
          <w:lang w:val="en-GB"/>
        </w:rPr>
        <w:fldChar w:fldCharType="separate"/>
      </w:r>
      <w:r w:rsidR="0005386F" w:rsidRPr="0005386F">
        <w:rPr>
          <w:noProof/>
          <w:lang w:val="en-GB"/>
        </w:rPr>
        <w:t>[58]</w:t>
      </w:r>
      <w:r w:rsidRPr="007C01A8">
        <w:rPr>
          <w:lang w:val="en-GB"/>
        </w:rPr>
        <w:fldChar w:fldCharType="end"/>
      </w:r>
      <w:r w:rsidRPr="007C01A8">
        <w:rPr>
          <w:lang w:val="en-GB"/>
        </w:rPr>
        <w:t xml:space="preserve"> was used for </w:t>
      </w:r>
      <w:r w:rsidRPr="007C01A8">
        <w:rPr>
          <w:vertAlign w:val="superscript"/>
          <w:lang w:val="en-GB"/>
        </w:rPr>
        <w:t>13</w:t>
      </w:r>
      <w:r w:rsidRPr="007C01A8">
        <w:rPr>
          <w:lang w:val="en-GB"/>
        </w:rPr>
        <w:t xml:space="preserve">C flux analysis cell culture and growth rate determination, involving two different concentrations of cobalt (1.35μM and 6.31μM respectively). </w:t>
      </w:r>
    </w:p>
    <w:p w14:paraId="31376889" w14:textId="410B9B36" w:rsidR="009855DF" w:rsidRPr="007C01A8" w:rsidRDefault="000B1DE3" w:rsidP="00654CDF">
      <w:pPr>
        <w:pStyle w:val="Heading3"/>
        <w:divId w:val="1326516459"/>
        <w:rPr>
          <w:rFonts w:eastAsia="Times New Roman"/>
          <w:lang w:val="en-GB"/>
        </w:rPr>
      </w:pPr>
      <w:bookmarkStart w:id="50" w:name="_Toc468311719"/>
      <w:r>
        <w:t xml:space="preserve">2.5 </w:t>
      </w:r>
      <w:r w:rsidR="009855DF" w:rsidRPr="007C01A8">
        <w:t xml:space="preserve">Bacterial </w:t>
      </w:r>
      <w:r w:rsidR="009855DF" w:rsidRPr="0055587D">
        <w:t>strains, plasmid and growth condition</w:t>
      </w:r>
      <w:bookmarkEnd w:id="50"/>
    </w:p>
    <w:p w14:paraId="35B22AA9" w14:textId="484A3A11" w:rsidR="009855DF" w:rsidRPr="007C01A8" w:rsidRDefault="009855DF" w:rsidP="00654CDF">
      <w:pPr>
        <w:divId w:val="1326516459"/>
        <w:rPr>
          <w:lang w:val="en-GB"/>
        </w:rPr>
      </w:pPr>
      <w:r w:rsidRPr="007C01A8">
        <w:rPr>
          <w:lang w:val="en-GB"/>
        </w:rPr>
        <w:t xml:space="preserve">Strains used in this study are listed in Table </w:t>
      </w:r>
      <w:r w:rsidR="007F5E03">
        <w:rPr>
          <w:lang w:val="en-GB"/>
        </w:rPr>
        <w:t>2.</w:t>
      </w:r>
      <w:r w:rsidRPr="007C01A8">
        <w:rPr>
          <w:lang w:val="en-GB"/>
        </w:rPr>
        <w:t xml:space="preserve">1. </w:t>
      </w:r>
      <w:r w:rsidRPr="007C01A8">
        <w:rPr>
          <w:i/>
          <w:lang w:val="en-GB"/>
        </w:rPr>
        <w:t>Escherichia coli</w:t>
      </w:r>
      <w:r w:rsidRPr="007C01A8">
        <w:rPr>
          <w:lang w:val="en-GB"/>
        </w:rPr>
        <w:t xml:space="preserve"> strains Top 10 and S17-1 were cultivated at 37ºC in Luria-</w:t>
      </w:r>
      <w:proofErr w:type="spellStart"/>
      <w:r w:rsidRPr="007C01A8">
        <w:rPr>
          <w:lang w:val="en-GB"/>
        </w:rPr>
        <w:t>Bertani</w:t>
      </w:r>
      <w:proofErr w:type="spellEnd"/>
      <w:r w:rsidRPr="007C01A8">
        <w:rPr>
          <w:lang w:val="en-GB"/>
        </w:rPr>
        <w:t xml:space="preserve"> medium. Two wild type </w:t>
      </w:r>
      <w:r w:rsidRPr="007C01A8">
        <w:rPr>
          <w:i/>
          <w:lang w:val="en-GB"/>
        </w:rPr>
        <w:t xml:space="preserve">M. </w:t>
      </w:r>
      <w:proofErr w:type="spellStart"/>
      <w:r w:rsidRPr="007C01A8">
        <w:rPr>
          <w:i/>
          <w:lang w:val="en-GB"/>
        </w:rPr>
        <w:t>extorquens</w:t>
      </w:r>
      <w:proofErr w:type="spellEnd"/>
      <w:r w:rsidRPr="007C01A8">
        <w:rPr>
          <w:lang w:val="en-GB"/>
        </w:rPr>
        <w:t xml:space="preserve"> AM1 strain</w:t>
      </w:r>
      <w:r w:rsidR="001948E4">
        <w:rPr>
          <w:lang w:val="en-GB"/>
        </w:rPr>
        <w:t>s</w:t>
      </w:r>
      <w:r w:rsidRPr="007C01A8">
        <w:rPr>
          <w:lang w:val="en-GB"/>
        </w:rPr>
        <w:t xml:space="preserve"> </w:t>
      </w:r>
      <w:r>
        <w:rPr>
          <w:lang w:val="en-GB"/>
        </w:rPr>
        <w:t>were</w:t>
      </w:r>
      <w:r w:rsidRPr="007C01A8">
        <w:rPr>
          <w:lang w:val="en-GB"/>
        </w:rPr>
        <w:t xml:space="preserve"> used, in which VL is from the Julia </w:t>
      </w:r>
      <w:proofErr w:type="spellStart"/>
      <w:r w:rsidRPr="007C01A8">
        <w:rPr>
          <w:lang w:val="en-GB"/>
        </w:rPr>
        <w:t>Vorholt</w:t>
      </w:r>
      <w:proofErr w:type="spellEnd"/>
      <w:r w:rsidRPr="007C01A8">
        <w:rPr>
          <w:lang w:val="en-GB"/>
        </w:rPr>
        <w:t xml:space="preserve"> lab and LL is from the Mary </w:t>
      </w:r>
      <w:proofErr w:type="spellStart"/>
      <w:r w:rsidRPr="007C01A8">
        <w:rPr>
          <w:lang w:val="en-GB"/>
        </w:rPr>
        <w:t>Lidstrom</w:t>
      </w:r>
      <w:proofErr w:type="spellEnd"/>
      <w:r w:rsidRPr="007C01A8">
        <w:rPr>
          <w:lang w:val="en-GB"/>
        </w:rPr>
        <w:t xml:space="preserve"> lab. Plasmid pCM184 was used as template for backbone and </w:t>
      </w:r>
      <w:proofErr w:type="spellStart"/>
      <w:r w:rsidRPr="007C01A8">
        <w:rPr>
          <w:i/>
          <w:lang w:val="en-GB"/>
        </w:rPr>
        <w:t>cre</w:t>
      </w:r>
      <w:r w:rsidRPr="007C01A8">
        <w:rPr>
          <w:lang w:val="en-GB"/>
        </w:rPr>
        <w:t>-</w:t>
      </w:r>
      <w:r w:rsidRPr="007C01A8">
        <w:rPr>
          <w:i/>
          <w:lang w:val="en-GB"/>
        </w:rPr>
        <w:t>kan</w:t>
      </w:r>
      <w:proofErr w:type="spellEnd"/>
      <w:r w:rsidRPr="007C01A8">
        <w:rPr>
          <w:lang w:val="en-GB"/>
        </w:rPr>
        <w:t xml:space="preserve"> amplification. A Gibson assembly kit (New England </w:t>
      </w:r>
      <w:proofErr w:type="spellStart"/>
      <w:r w:rsidRPr="007C01A8">
        <w:rPr>
          <w:lang w:val="en-GB"/>
        </w:rPr>
        <w:t>Biolabs</w:t>
      </w:r>
      <w:proofErr w:type="spellEnd"/>
      <w:r w:rsidRPr="007C01A8">
        <w:rPr>
          <w:lang w:val="en-GB"/>
        </w:rPr>
        <w:t xml:space="preserve">, Ipswich, MA) was used for plasmid construction to create knock out strains with a kanamycin marker </w:t>
      </w:r>
      <w:r>
        <w:rPr>
          <w:lang w:val="en-GB"/>
        </w:rPr>
        <w:t>F</w:t>
      </w:r>
      <w:r w:rsidRPr="007C01A8">
        <w:rPr>
          <w:lang w:val="en-GB"/>
        </w:rPr>
        <w:t xml:space="preserve">YF1, </w:t>
      </w:r>
      <w:r>
        <w:rPr>
          <w:lang w:val="en-GB"/>
        </w:rPr>
        <w:t>F</w:t>
      </w:r>
      <w:r w:rsidRPr="007C01A8">
        <w:rPr>
          <w:lang w:val="en-GB"/>
        </w:rPr>
        <w:t xml:space="preserve">YF2, </w:t>
      </w:r>
      <w:r>
        <w:rPr>
          <w:lang w:val="en-GB"/>
        </w:rPr>
        <w:t>F</w:t>
      </w:r>
      <w:r w:rsidRPr="007C01A8">
        <w:rPr>
          <w:lang w:val="en-GB"/>
        </w:rPr>
        <w:t xml:space="preserve">YF3 and </w:t>
      </w:r>
      <w:r>
        <w:rPr>
          <w:lang w:val="en-GB"/>
        </w:rPr>
        <w:t>F</w:t>
      </w:r>
      <w:r w:rsidRPr="007C01A8">
        <w:rPr>
          <w:lang w:val="en-GB"/>
        </w:rPr>
        <w:t>YF4, (primer sequences</w:t>
      </w:r>
      <w:r>
        <w:rPr>
          <w:lang w:val="en-GB"/>
        </w:rPr>
        <w:t xml:space="preserve"> shown in Table </w:t>
      </w:r>
      <w:r w:rsidR="00366DAD">
        <w:rPr>
          <w:lang w:val="en-GB"/>
        </w:rPr>
        <w:t>2.</w:t>
      </w:r>
      <w:r>
        <w:rPr>
          <w:lang w:val="en-GB"/>
        </w:rPr>
        <w:t>3</w:t>
      </w:r>
      <w:r w:rsidRPr="007C01A8">
        <w:rPr>
          <w:lang w:val="en-GB"/>
        </w:rPr>
        <w:t>).</w:t>
      </w:r>
      <w:r>
        <w:rPr>
          <w:lang w:val="en-GB"/>
        </w:rPr>
        <w:t xml:space="preserve"> Insertion mutants of </w:t>
      </w:r>
      <w:proofErr w:type="spellStart"/>
      <w:r w:rsidRPr="00DD2E48">
        <w:rPr>
          <w:i/>
          <w:lang w:val="en-GB"/>
        </w:rPr>
        <w:t>pyk</w:t>
      </w:r>
      <w:proofErr w:type="spellEnd"/>
      <w:r>
        <w:rPr>
          <w:lang w:val="en-GB"/>
        </w:rPr>
        <w:t xml:space="preserve"> were generated for both LL and VL variants as described earlier</w:t>
      </w:r>
      <w:r>
        <w:rPr>
          <w:lang w:val="en-GB"/>
        </w:rPr>
        <w:fldChar w:fldCharType="begin" w:fldLock="1"/>
      </w:r>
      <w:r w:rsidR="008C0508">
        <w:rPr>
          <w:lang w:val="en-GB"/>
        </w:rPr>
        <w:instrText>ADDIN CSL_CITATION { "citationItems" : [ { "id" : "ITEM-1", "itemData" : { "ISSN" : "00219193", "PMID" : "9244287", "abstract" : "A gene (gckA) responsible for the activity of glycerate kinase has been identified within a chromosomal fragment of the serine cycle methylotroph Methylobacterium extorquens AM1. A mutation in gckA leads to a specific C1-negative phenotype. The polypeptide sequence derived from gckA showed high similarity to a product of ttuD essential for tartrate metabolism in Agrobacterium vitis. Our data suggest that gckA and ttuD might be structural genes for glycerate kinase and that the serine cycle and the tartrate utilization pathway share a series of reactions.", "author" : [ { "dropping-particle" : "", "family" : "Chistoserdova", "given" : "L.", "non-dropping-particle" : "", "parse-names" : false, "suffix" : "" }, { "dropping-particle" : "", "family" : "Lidstrom", "given" : "M. E.", "non-dropping-particle" : "", "parse-names" : false, "suffix" : "" } ], "container-title" : "Journal of Bacteriology", "id" : "ITEM-1", "issue" : "15", "issued" : { "date-parts" : [ [ "1997" ] ] }, "page" : "4946-4948", "title" : "Identification and mutation of a gene required for glycerate kinase activity from a facultative methylotroph, Methylobacterium extorquens AM1", "type" : "article-journal", "volume" : "179" }, "uris" : [ "http://www.mendeley.com/documents/?uuid=9d270ae3-d25a-4420-95e1-07c305a7d1ea" ] } ], "mendeley" : { "formattedCitation" : "[59]", "plainTextFormattedCitation" : "[59]", "previouslyFormattedCitation" : "[59]" }, "properties" : { "noteIndex" : 0 }, "schema" : "https://github.com/citation-style-language/schema/raw/master/csl-citation.json" }</w:instrText>
      </w:r>
      <w:r>
        <w:rPr>
          <w:lang w:val="en-GB"/>
        </w:rPr>
        <w:fldChar w:fldCharType="separate"/>
      </w:r>
      <w:r w:rsidR="0005386F" w:rsidRPr="0005386F">
        <w:rPr>
          <w:noProof/>
          <w:lang w:val="en-GB"/>
        </w:rPr>
        <w:t>[59]</w:t>
      </w:r>
      <w:r>
        <w:rPr>
          <w:lang w:val="en-GB"/>
        </w:rPr>
        <w:fldChar w:fldCharType="end"/>
      </w:r>
      <w:r>
        <w:rPr>
          <w:lang w:val="en-GB"/>
        </w:rPr>
        <w:t xml:space="preserve"> because of our inability to obtain clean knockout using the method described in this study.</w:t>
      </w:r>
      <w:r w:rsidRPr="00731D04">
        <w:rPr>
          <w:lang w:val="en-GB"/>
        </w:rPr>
        <w:t xml:space="preserve"> </w:t>
      </w:r>
      <w:r w:rsidRPr="007C01A8">
        <w:rPr>
          <w:lang w:val="en-GB"/>
        </w:rPr>
        <w:t xml:space="preserve">125mM methanol was used as the sole carbon source for cell culture and growth curves. For </w:t>
      </w:r>
      <w:r w:rsidRPr="007C01A8">
        <w:rPr>
          <w:vertAlign w:val="superscript"/>
          <w:lang w:val="en-GB"/>
        </w:rPr>
        <w:t>13</w:t>
      </w:r>
      <w:r w:rsidRPr="007C01A8">
        <w:rPr>
          <w:lang w:val="en-GB"/>
        </w:rPr>
        <w:t xml:space="preserve">C flux analysis, </w:t>
      </w:r>
      <w:r w:rsidRPr="007C01A8">
        <w:rPr>
          <w:vertAlign w:val="superscript"/>
          <w:lang w:val="en-GB"/>
        </w:rPr>
        <w:t>13</w:t>
      </w:r>
      <w:r w:rsidRPr="007C01A8">
        <w:rPr>
          <w:lang w:val="en-GB"/>
        </w:rPr>
        <w:t xml:space="preserve">C methanol was introduced at the stage of 3 ml seed culture in tubes, and then inoculated into flasks with screw caps in a dilution ratio of 1:200 in triplicates. Cell culture </w:t>
      </w:r>
      <w:r w:rsidRPr="007C01A8">
        <w:rPr>
          <w:lang w:val="en-GB"/>
        </w:rPr>
        <w:lastRenderedPageBreak/>
        <w:t>was then quenched using fast filtration and liquid nitrogen after the cell reaches OD</w:t>
      </w:r>
      <w:r w:rsidRPr="007C01A8">
        <w:rPr>
          <w:vertAlign w:val="subscript"/>
          <w:lang w:val="en-GB"/>
        </w:rPr>
        <w:t>600</w:t>
      </w:r>
      <w:r w:rsidRPr="007C01A8">
        <w:rPr>
          <w:lang w:val="en-GB"/>
        </w:rPr>
        <w:t xml:space="preserve"> around 0.6-0.8 (7 generations). For normal growth curve cell culture, methanol was added as carbon source in 3 ml seed culture, and then inoculated into flasks with screw caps with the same dilution ratio.</w:t>
      </w:r>
    </w:p>
    <w:p w14:paraId="0F1B5589" w14:textId="5CEBCB42" w:rsidR="009855DF" w:rsidRPr="007C01A8" w:rsidRDefault="000B1DE3" w:rsidP="00654CDF">
      <w:pPr>
        <w:pStyle w:val="Heading3"/>
        <w:divId w:val="1326516459"/>
        <w:rPr>
          <w:lang w:val="en-GB"/>
        </w:rPr>
      </w:pPr>
      <w:bookmarkStart w:id="51" w:name="_Toc468311720"/>
      <w:r>
        <w:rPr>
          <w:lang w:val="en-GB"/>
        </w:rPr>
        <w:t xml:space="preserve">2.6 </w:t>
      </w:r>
      <w:r w:rsidR="009855DF" w:rsidRPr="007C01A8">
        <w:rPr>
          <w:lang w:val="en-GB"/>
        </w:rPr>
        <w:t>Methanol measurements in supernatant</w:t>
      </w:r>
      <w:bookmarkEnd w:id="51"/>
    </w:p>
    <w:p w14:paraId="26AD2ED4" w14:textId="14434434" w:rsidR="009855DF" w:rsidRPr="007708C9" w:rsidRDefault="009855DF" w:rsidP="00654CDF">
      <w:pPr>
        <w:divId w:val="1326516459"/>
        <w:rPr>
          <w:color w:val="222222"/>
          <w:shd w:val="clear" w:color="auto" w:fill="FFFFFF"/>
        </w:rPr>
      </w:pPr>
      <w:r w:rsidRPr="007C01A8">
        <w:rPr>
          <w:lang w:val="en-GB"/>
        </w:rPr>
        <w:t xml:space="preserve">Methanol consumption rates were determined by taking time course samples for supernatant methanol measurements.  At least </w:t>
      </w:r>
      <w:r>
        <w:rPr>
          <w:lang w:val="en-GB"/>
        </w:rPr>
        <w:t>2</w:t>
      </w:r>
      <w:r w:rsidRPr="007C01A8">
        <w:rPr>
          <w:lang w:val="en-GB"/>
        </w:rPr>
        <w:t xml:space="preserve"> points were taken during exponential phase growth. 750 </w:t>
      </w:r>
      <w:proofErr w:type="spellStart"/>
      <w:r w:rsidRPr="007C01A8">
        <w:rPr>
          <w:lang w:val="en-GB"/>
        </w:rPr>
        <w:t>ul</w:t>
      </w:r>
      <w:proofErr w:type="spellEnd"/>
      <w:r w:rsidRPr="007C01A8">
        <w:rPr>
          <w:lang w:val="en-GB"/>
        </w:rPr>
        <w:t xml:space="preserve"> of the supernatant sample were centrifuge filtered through 0.22μm centrifuge filters (</w:t>
      </w:r>
      <w:proofErr w:type="spellStart"/>
      <w:r w:rsidRPr="007C01A8">
        <w:rPr>
          <w:lang w:val="en-GB"/>
        </w:rPr>
        <w:t>Costar</w:t>
      </w:r>
      <w:proofErr w:type="spellEnd"/>
      <w:r w:rsidRPr="007C01A8">
        <w:rPr>
          <w:lang w:val="en-GB"/>
        </w:rPr>
        <w:t xml:space="preserve">® Spin-X® centrifuge tube filters, cellulose acetate membrane, pore size 0.22 </w:t>
      </w:r>
      <w:proofErr w:type="spellStart"/>
      <w:r w:rsidRPr="007C01A8">
        <w:rPr>
          <w:lang w:val="en-GB"/>
        </w:rPr>
        <w:t>μm</w:t>
      </w:r>
      <w:proofErr w:type="spellEnd"/>
      <w:r w:rsidRPr="007C01A8">
        <w:rPr>
          <w:lang w:val="en-GB"/>
        </w:rPr>
        <w:t>, non-sterile, Sigma-Aldrich, (St. Louis, MO) for 2 minutes at 14000 rpm. GC-FID</w:t>
      </w:r>
      <w:r>
        <w:rPr>
          <w:lang w:val="en-GB"/>
        </w:rPr>
        <w:t xml:space="preserve"> (</w:t>
      </w:r>
      <w:proofErr w:type="spellStart"/>
      <w:r w:rsidRPr="007E59F9">
        <w:rPr>
          <w:lang w:val="en-GB"/>
        </w:rPr>
        <w:t>Aglient</w:t>
      </w:r>
      <w:proofErr w:type="spellEnd"/>
      <w:r w:rsidRPr="007E59F9">
        <w:rPr>
          <w:lang w:val="en-GB"/>
        </w:rPr>
        <w:t xml:space="preserve">, </w:t>
      </w:r>
      <w:hyperlink r:id="rId11" w:history="1">
        <w:r w:rsidRPr="00541030">
          <w:t>Santa Clara</w:t>
        </w:r>
      </w:hyperlink>
      <w:r w:rsidRPr="001E793D">
        <w:t xml:space="preserve">, </w:t>
      </w:r>
      <w:hyperlink r:id="rId12" w:history="1">
        <w:r w:rsidRPr="001E793D">
          <w:t>CA</w:t>
        </w:r>
      </w:hyperlink>
      <w:r w:rsidRPr="00541030">
        <w:t>)</w:t>
      </w:r>
      <w:r w:rsidRPr="007C01A8">
        <w:rPr>
          <w:lang w:val="en-GB"/>
        </w:rPr>
        <w:t xml:space="preserve"> was used for methanol detection with a</w:t>
      </w:r>
      <w:r>
        <w:rPr>
          <w:lang w:val="en-GB"/>
        </w:rPr>
        <w:t xml:space="preserve"> </w:t>
      </w:r>
      <w:r w:rsidRPr="007C01A8">
        <w:rPr>
          <w:lang w:val="en-GB"/>
        </w:rPr>
        <w:t xml:space="preserve">6890 Gas Chromatograph equipped with flame ionization detector (FID). Data were collected and converted into </w:t>
      </w:r>
      <w:proofErr w:type="spellStart"/>
      <w:r w:rsidRPr="007C01A8">
        <w:rPr>
          <w:lang w:val="en-GB"/>
        </w:rPr>
        <w:t>matlab</w:t>
      </w:r>
      <w:proofErr w:type="spellEnd"/>
      <w:r w:rsidR="001948E4">
        <w:rPr>
          <w:lang w:val="en-GB"/>
        </w:rPr>
        <w:t xml:space="preserve"> input files with LabVIEW 2010. </w:t>
      </w:r>
      <w:r w:rsidRPr="007C01A8">
        <w:rPr>
          <w:lang w:val="en-GB"/>
        </w:rPr>
        <w:t xml:space="preserve">Data analysis was later done in </w:t>
      </w:r>
      <w:proofErr w:type="spellStart"/>
      <w:r w:rsidRPr="007C01A8">
        <w:rPr>
          <w:lang w:val="en-GB"/>
        </w:rPr>
        <w:t>Matlab</w:t>
      </w:r>
      <w:proofErr w:type="spellEnd"/>
      <w:r w:rsidRPr="007C01A8">
        <w:rPr>
          <w:lang w:val="en-GB"/>
        </w:rPr>
        <w:t xml:space="preserve">. </w:t>
      </w:r>
      <w:r w:rsidRPr="007C01A8">
        <w:rPr>
          <w:color w:val="222222"/>
          <w:shd w:val="clear" w:color="auto" w:fill="FFFFFF"/>
        </w:rPr>
        <w:t>SLB-IL60 column (</w:t>
      </w:r>
      <w:proofErr w:type="spellStart"/>
      <w:r w:rsidRPr="007C01A8">
        <w:rPr>
          <w:color w:val="222222"/>
          <w:shd w:val="clear" w:color="auto" w:fill="FFFFFF"/>
        </w:rPr>
        <w:t>Supelco</w:t>
      </w:r>
      <w:proofErr w:type="spellEnd"/>
      <w:r w:rsidRPr="007C01A8">
        <w:rPr>
          <w:color w:val="222222"/>
          <w:shd w:val="clear" w:color="auto" w:fill="FFFFFF"/>
        </w:rPr>
        <w:t>, Bellefonte, PA, USA) with a 30 m x 0.25 mm inner diameter (</w:t>
      </w:r>
      <w:proofErr w:type="spellStart"/>
      <w:r w:rsidRPr="007C01A8">
        <w:rPr>
          <w:color w:val="222222"/>
          <w:shd w:val="clear" w:color="auto" w:fill="FFFFFF"/>
        </w:rPr>
        <w:t>i.d.</w:t>
      </w:r>
      <w:proofErr w:type="spellEnd"/>
      <w:r w:rsidRPr="007C01A8">
        <w:rPr>
          <w:color w:val="222222"/>
          <w:shd w:val="clear" w:color="auto" w:fill="FFFFFF"/>
        </w:rPr>
        <w:t>) x 0.2</w:t>
      </w:r>
      <w:r w:rsidRPr="007C01A8">
        <w:rPr>
          <w:rFonts w:hint="eastAsia"/>
          <w:color w:val="222222"/>
          <w:shd w:val="clear" w:color="auto" w:fill="FFFFFF"/>
        </w:rPr>
        <w:t>μ</w:t>
      </w:r>
      <w:r w:rsidRPr="007C01A8">
        <w:rPr>
          <w:color w:val="222222"/>
          <w:shd w:val="clear" w:color="auto" w:fill="FFFFFF"/>
        </w:rPr>
        <w:t>m thickness was installed for gas chromatograms. 1</w:t>
      </w:r>
      <w:r>
        <w:rPr>
          <w:color w:val="222222"/>
          <w:shd w:val="clear" w:color="auto" w:fill="FFFFFF"/>
        </w:rPr>
        <w:t>μl of supernatant was</w:t>
      </w:r>
      <w:r w:rsidRPr="007708C9">
        <w:rPr>
          <w:color w:val="222222"/>
          <w:shd w:val="clear" w:color="auto" w:fill="FFFFFF"/>
        </w:rPr>
        <w:t xml:space="preserve"> injected and separated in the column and then entering into FID de</w:t>
      </w:r>
      <w:r w:rsidR="001948E4">
        <w:rPr>
          <w:color w:val="222222"/>
          <w:shd w:val="clear" w:color="auto" w:fill="FFFFFF"/>
        </w:rPr>
        <w:t xml:space="preserve">tector with a split ratio 50:1. </w:t>
      </w:r>
      <w:r w:rsidRPr="007708C9">
        <w:rPr>
          <w:color w:val="222222"/>
          <w:shd w:val="clear" w:color="auto" w:fill="FFFFFF"/>
        </w:rPr>
        <w:t>Oven temperatures were programmed as follows. An initial temperature of 120</w:t>
      </w:r>
      <w:r>
        <w:rPr>
          <w:color w:val="222222"/>
          <w:shd w:val="clear" w:color="auto" w:fill="FFFFFF"/>
        </w:rPr>
        <w:t xml:space="preserve"> °C</w:t>
      </w:r>
      <w:r w:rsidRPr="007708C9">
        <w:rPr>
          <w:color w:val="222222"/>
          <w:shd w:val="clear" w:color="auto" w:fill="FFFFFF"/>
        </w:rPr>
        <w:t xml:space="preserve"> was held for 1 minute, and then ramped at 35</w:t>
      </w:r>
      <w:r>
        <w:rPr>
          <w:color w:val="222222"/>
          <w:shd w:val="clear" w:color="auto" w:fill="FFFFFF"/>
        </w:rPr>
        <w:t xml:space="preserve"> °C</w:t>
      </w:r>
      <w:r w:rsidRPr="007708C9">
        <w:rPr>
          <w:color w:val="222222"/>
          <w:shd w:val="clear" w:color="auto" w:fill="FFFFFF"/>
        </w:rPr>
        <w:t xml:space="preserve"> /min until a final temperature of 200</w:t>
      </w:r>
      <w:r>
        <w:rPr>
          <w:color w:val="222222"/>
          <w:shd w:val="clear" w:color="auto" w:fill="FFFFFF"/>
        </w:rPr>
        <w:t xml:space="preserve"> °C</w:t>
      </w:r>
      <w:r w:rsidRPr="007708C9">
        <w:rPr>
          <w:color w:val="222222"/>
          <w:shd w:val="clear" w:color="auto" w:fill="FFFFFF"/>
        </w:rPr>
        <w:t xml:space="preserve"> was achieved. The FID was operated at 22</w:t>
      </w:r>
      <w:r>
        <w:rPr>
          <w:color w:val="222222"/>
          <w:shd w:val="clear" w:color="auto" w:fill="FFFFFF"/>
        </w:rPr>
        <w:t>0 °C</w:t>
      </w:r>
      <w:r w:rsidRPr="007708C9">
        <w:rPr>
          <w:color w:val="222222"/>
          <w:shd w:val="clear" w:color="auto" w:fill="FFFFFF"/>
        </w:rPr>
        <w:t>. All measurements were done in triplicate. With each run, a new calibration curve was then generated using the same instrument setting.</w:t>
      </w:r>
    </w:p>
    <w:p w14:paraId="5CEA4E7C" w14:textId="5F790EB5" w:rsidR="009855DF" w:rsidRPr="007708C9" w:rsidRDefault="000B1DE3" w:rsidP="00654CDF">
      <w:pPr>
        <w:pStyle w:val="Heading3"/>
        <w:divId w:val="1326516459"/>
        <w:rPr>
          <w:shd w:val="clear" w:color="auto" w:fill="FFFFFF"/>
        </w:rPr>
      </w:pPr>
      <w:bookmarkStart w:id="52" w:name="_Toc468311721"/>
      <w:r>
        <w:rPr>
          <w:shd w:val="clear" w:color="auto" w:fill="FFFFFF"/>
        </w:rPr>
        <w:t xml:space="preserve">2.7 </w:t>
      </w:r>
      <w:r w:rsidR="009855DF" w:rsidRPr="007708C9">
        <w:rPr>
          <w:shd w:val="clear" w:color="auto" w:fill="FFFFFF"/>
        </w:rPr>
        <w:t xml:space="preserve">Metabolite extraction and biomass hydrolysis for </w:t>
      </w:r>
      <w:proofErr w:type="spellStart"/>
      <w:r w:rsidR="009855DF" w:rsidRPr="007708C9">
        <w:rPr>
          <w:shd w:val="clear" w:color="auto" w:fill="FFFFFF"/>
        </w:rPr>
        <w:t>isotopomer</w:t>
      </w:r>
      <w:proofErr w:type="spellEnd"/>
      <w:r w:rsidR="009855DF" w:rsidRPr="007708C9">
        <w:rPr>
          <w:shd w:val="clear" w:color="auto" w:fill="FFFFFF"/>
        </w:rPr>
        <w:t xml:space="preserve"> distribution measurements</w:t>
      </w:r>
      <w:bookmarkEnd w:id="52"/>
    </w:p>
    <w:p w14:paraId="23D1D23A" w14:textId="39820B94" w:rsidR="009855DF" w:rsidRPr="007843BF" w:rsidRDefault="009855DF" w:rsidP="00654CDF">
      <w:pPr>
        <w:divId w:val="1326516459"/>
        <w:rPr>
          <w:shd w:val="clear" w:color="auto" w:fill="FFFFFF"/>
        </w:rPr>
      </w:pPr>
      <w:r w:rsidRPr="007708C9">
        <w:rPr>
          <w:shd w:val="clear" w:color="auto" w:fill="FFFFFF"/>
        </w:rPr>
        <w:t xml:space="preserve">Both </w:t>
      </w:r>
      <w:proofErr w:type="spellStart"/>
      <w:r w:rsidRPr="007708C9">
        <w:rPr>
          <w:shd w:val="clear" w:color="auto" w:fill="FFFFFF"/>
        </w:rPr>
        <w:t>proteinogenic</w:t>
      </w:r>
      <w:proofErr w:type="spellEnd"/>
      <w:r w:rsidRPr="007708C9">
        <w:rPr>
          <w:shd w:val="clear" w:color="auto" w:fill="FFFFFF"/>
        </w:rPr>
        <w:t xml:space="preserve"> amino acids and intracellular metabolites were used for </w:t>
      </w:r>
      <w:proofErr w:type="spellStart"/>
      <w:r w:rsidRPr="007708C9">
        <w:rPr>
          <w:shd w:val="clear" w:color="auto" w:fill="FFFFFF"/>
        </w:rPr>
        <w:t>isotopomer</w:t>
      </w:r>
      <w:proofErr w:type="spellEnd"/>
      <w:r w:rsidRPr="007708C9">
        <w:rPr>
          <w:shd w:val="clear" w:color="auto" w:fill="FFFFFF"/>
        </w:rPr>
        <w:t xml:space="preserve"> measurements in order to obtain good coverage of central carbon metabolism under methylotrophic growth. 20 ml of cell culture were collected and quenched using fast filtration using 0.2 </w:t>
      </w:r>
      <w:proofErr w:type="spellStart"/>
      <w:r w:rsidRPr="007708C9">
        <w:rPr>
          <w:rFonts w:eastAsia="Times New Roman"/>
          <w:lang w:val="en-GB"/>
        </w:rPr>
        <w:t>μm</w:t>
      </w:r>
      <w:proofErr w:type="spellEnd"/>
      <w:r w:rsidRPr="007708C9">
        <w:rPr>
          <w:rFonts w:eastAsia="Times New Roman"/>
          <w:lang w:val="en-GB"/>
        </w:rPr>
        <w:t xml:space="preserve"> nylon membrane filters (0.2 </w:t>
      </w:r>
      <w:proofErr w:type="spellStart"/>
      <w:r w:rsidRPr="007708C9">
        <w:rPr>
          <w:rFonts w:eastAsia="Times New Roman"/>
          <w:lang w:val="en-GB"/>
        </w:rPr>
        <w:t>μm</w:t>
      </w:r>
      <w:proofErr w:type="spellEnd"/>
      <w:r w:rsidRPr="007708C9">
        <w:rPr>
          <w:rFonts w:eastAsia="Times New Roman"/>
          <w:lang w:val="en-GB"/>
        </w:rPr>
        <w:t xml:space="preserve">, 47mm from PALL life science, </w:t>
      </w:r>
      <w:r w:rsidRPr="007708C9">
        <w:t>Port Washington, NY</w:t>
      </w:r>
      <w:r w:rsidRPr="007708C9">
        <w:rPr>
          <w:rFonts w:eastAsia="Times New Roman"/>
          <w:lang w:val="en-GB"/>
        </w:rPr>
        <w:t>)</w:t>
      </w:r>
      <w:r w:rsidRPr="007708C9">
        <w:rPr>
          <w:shd w:val="clear" w:color="auto" w:fill="FFFFFF"/>
        </w:rPr>
        <w:t xml:space="preserve"> and liquid nitrogen. Cell pellets on 0.22 </w:t>
      </w:r>
      <w:proofErr w:type="spellStart"/>
      <w:r w:rsidRPr="007708C9">
        <w:rPr>
          <w:rFonts w:eastAsia="Times New Roman"/>
          <w:lang w:val="en-GB"/>
        </w:rPr>
        <w:t>μm</w:t>
      </w:r>
      <w:proofErr w:type="spellEnd"/>
      <w:r w:rsidRPr="007708C9">
        <w:rPr>
          <w:rFonts w:eastAsia="Times New Roman"/>
          <w:lang w:val="en-GB"/>
        </w:rPr>
        <w:t xml:space="preserve"> filters were lyophilized </w:t>
      </w:r>
      <w:r>
        <w:rPr>
          <w:rFonts w:eastAsia="Times New Roman"/>
          <w:lang w:val="en-GB"/>
        </w:rPr>
        <w:t xml:space="preserve">using </w:t>
      </w:r>
      <w:proofErr w:type="spellStart"/>
      <w:r w:rsidRPr="00FD6A28">
        <w:rPr>
          <w:rFonts w:eastAsia="Times New Roman"/>
          <w:lang w:val="en-GB"/>
        </w:rPr>
        <w:t>FreeZone</w:t>
      </w:r>
      <w:proofErr w:type="spellEnd"/>
      <w:r w:rsidRPr="00FD6A28">
        <w:rPr>
          <w:rFonts w:eastAsia="Times New Roman"/>
          <w:lang w:val="en-GB"/>
        </w:rPr>
        <w:t xml:space="preserve"> 4.5</w:t>
      </w:r>
      <w:r>
        <w:rPr>
          <w:rFonts w:eastAsia="Times New Roman"/>
          <w:lang w:val="en-GB"/>
        </w:rPr>
        <w:t xml:space="preserve"> </w:t>
      </w:r>
      <w:proofErr w:type="spellStart"/>
      <w:r>
        <w:rPr>
          <w:rFonts w:eastAsia="Times New Roman"/>
          <w:lang w:val="en-GB"/>
        </w:rPr>
        <w:t>Liter</w:t>
      </w:r>
      <w:proofErr w:type="spellEnd"/>
      <w:r>
        <w:rPr>
          <w:rFonts w:eastAsia="Times New Roman"/>
          <w:lang w:val="en-GB"/>
        </w:rPr>
        <w:t xml:space="preserve"> benchtop </w:t>
      </w:r>
      <w:proofErr w:type="spellStart"/>
      <w:r>
        <w:rPr>
          <w:rFonts w:eastAsia="Times New Roman"/>
          <w:lang w:val="en-GB"/>
        </w:rPr>
        <w:t>freezedry</w:t>
      </w:r>
      <w:proofErr w:type="spellEnd"/>
      <w:r>
        <w:rPr>
          <w:rFonts w:eastAsia="Times New Roman"/>
          <w:lang w:val="en-GB"/>
        </w:rPr>
        <w:t xml:space="preserve"> system (</w:t>
      </w:r>
      <w:proofErr w:type="spellStart"/>
      <w:r w:rsidRPr="00DE48E1">
        <w:rPr>
          <w:rFonts w:eastAsia="Times New Roman"/>
          <w:lang w:val="en-GB"/>
        </w:rPr>
        <w:t>Labconco</w:t>
      </w:r>
      <w:proofErr w:type="spellEnd"/>
      <w:r w:rsidRPr="00DE48E1">
        <w:rPr>
          <w:rFonts w:eastAsia="Times New Roman"/>
          <w:lang w:val="en-GB"/>
        </w:rPr>
        <w:t>, Kansas) for 8-12 hours to remove medium residue. The filter was incubated in 20ml of boiling water for 10 minutes, and then placed on ice for at least 20 minutes for protein precipitation. The whole broth was then centrifuged at 4</w:t>
      </w:r>
      <w:r>
        <w:rPr>
          <w:shd w:val="clear" w:color="auto" w:fill="FFFFFF"/>
        </w:rPr>
        <w:t xml:space="preserve"> °</w:t>
      </w:r>
      <w:proofErr w:type="gramStart"/>
      <w:r>
        <w:rPr>
          <w:shd w:val="clear" w:color="auto" w:fill="FFFFFF"/>
        </w:rPr>
        <w:t>C</w:t>
      </w:r>
      <w:r w:rsidRPr="00DE48E1" w:rsidDel="00DE48E1">
        <w:rPr>
          <w:rFonts w:hint="eastAsia"/>
          <w:shd w:val="clear" w:color="auto" w:fill="FFFFFF"/>
        </w:rPr>
        <w:t xml:space="preserve"> </w:t>
      </w:r>
      <w:r w:rsidRPr="00DE48E1">
        <w:rPr>
          <w:shd w:val="clear" w:color="auto" w:fill="FFFFFF"/>
        </w:rPr>
        <w:t>,</w:t>
      </w:r>
      <w:proofErr w:type="gramEnd"/>
      <w:r w:rsidRPr="00DE48E1">
        <w:rPr>
          <w:shd w:val="clear" w:color="auto" w:fill="FFFFFF"/>
        </w:rPr>
        <w:t xml:space="preserve"> 5000rpm for 10 minutes. The clear supernatant was transferred into a clean 50 ml falcon tube, and then frozen using liquid nitrogen. The remaining tubes containing protein and cell debris were centrifuged </w:t>
      </w:r>
      <w:r w:rsidRPr="00DE48E1">
        <w:rPr>
          <w:shd w:val="clear" w:color="auto" w:fill="FFFFFF"/>
        </w:rPr>
        <w:lastRenderedPageBreak/>
        <w:t>again,</w:t>
      </w:r>
      <w:r w:rsidRPr="00DE48E1">
        <w:rPr>
          <w:rFonts w:eastAsia="Times New Roman"/>
          <w:lang w:val="en-GB"/>
        </w:rPr>
        <w:t xml:space="preserve"> at 4</w:t>
      </w:r>
      <w:r>
        <w:rPr>
          <w:shd w:val="clear" w:color="auto" w:fill="FFFFFF"/>
        </w:rPr>
        <w:t>°</w:t>
      </w:r>
      <w:r w:rsidRPr="00B3401A">
        <w:rPr>
          <w:shd w:val="clear" w:color="auto" w:fill="FFFFFF"/>
        </w:rPr>
        <w:t>C, 5000rpm for 20 minutes, and supernatants were removed carefully.  Frozen samples were then lyophilized twice, and reconstituted in 100</w:t>
      </w:r>
      <w:r w:rsidRPr="00B3401A">
        <w:rPr>
          <w:rFonts w:eastAsia="Times New Roman"/>
          <w:lang w:val="en-GB"/>
        </w:rPr>
        <w:t>μ</w:t>
      </w:r>
      <w:r w:rsidRPr="00B3401A">
        <w:rPr>
          <w:shd w:val="clear" w:color="auto" w:fill="FFFFFF"/>
        </w:rPr>
        <w:t xml:space="preserve">l </w:t>
      </w:r>
      <w:proofErr w:type="spellStart"/>
      <w:r w:rsidRPr="00B3401A">
        <w:rPr>
          <w:shd w:val="clear" w:color="auto" w:fill="FFFFFF"/>
        </w:rPr>
        <w:t>nanopure</w:t>
      </w:r>
      <w:proofErr w:type="spellEnd"/>
      <w:r w:rsidRPr="00B3401A">
        <w:rPr>
          <w:shd w:val="clear" w:color="auto" w:fill="FFFFFF"/>
        </w:rPr>
        <w:t xml:space="preserve"> water.  The 100</w:t>
      </w:r>
      <w:r w:rsidRPr="00B3401A">
        <w:rPr>
          <w:rFonts w:eastAsia="Times New Roman"/>
          <w:lang w:val="en-GB"/>
        </w:rPr>
        <w:t>μ</w:t>
      </w:r>
      <w:r w:rsidRPr="00B3401A">
        <w:rPr>
          <w:shd w:val="clear" w:color="auto" w:fill="FFFFFF"/>
        </w:rPr>
        <w:t>l of sample was distributed into 2 vials.  One 50</w:t>
      </w:r>
      <w:r w:rsidRPr="00B3401A">
        <w:rPr>
          <w:rFonts w:eastAsia="Times New Roman"/>
          <w:lang w:val="en-GB"/>
        </w:rPr>
        <w:t>μ</w:t>
      </w:r>
      <w:r w:rsidRPr="00B3401A">
        <w:rPr>
          <w:shd w:val="clear" w:color="auto" w:fill="FFFFFF"/>
        </w:rPr>
        <w:t xml:space="preserve">l sample was used for LC/MS/MS measurements, and the other was dried using a </w:t>
      </w:r>
      <w:proofErr w:type="spellStart"/>
      <w:r w:rsidRPr="00B3401A">
        <w:rPr>
          <w:shd w:val="clear" w:color="auto" w:fill="FFFFFF"/>
        </w:rPr>
        <w:t>Speedvac</w:t>
      </w:r>
      <w:proofErr w:type="spellEnd"/>
      <w:r w:rsidRPr="00B3401A">
        <w:rPr>
          <w:shd w:val="clear" w:color="auto" w:fill="FFFFFF"/>
        </w:rPr>
        <w:t xml:space="preserve"> (</w:t>
      </w:r>
      <w:proofErr w:type="spellStart"/>
      <w:r w:rsidRPr="00B3401A">
        <w:rPr>
          <w:rFonts w:eastAsia="Times New Roman"/>
          <w:lang w:val="en-GB"/>
        </w:rPr>
        <w:t>Labconco</w:t>
      </w:r>
      <w:proofErr w:type="spellEnd"/>
      <w:r w:rsidRPr="00B3401A">
        <w:rPr>
          <w:rFonts w:eastAsia="Times New Roman"/>
          <w:lang w:val="en-GB"/>
        </w:rPr>
        <w:t>, Kansas</w:t>
      </w:r>
      <w:r w:rsidRPr="00B3401A">
        <w:rPr>
          <w:shd w:val="clear" w:color="auto" w:fill="FFFFFF"/>
        </w:rPr>
        <w:t xml:space="preserve">), and </w:t>
      </w:r>
      <w:proofErr w:type="spellStart"/>
      <w:r w:rsidRPr="00B3401A">
        <w:rPr>
          <w:shd w:val="clear" w:color="auto" w:fill="FFFFFF"/>
        </w:rPr>
        <w:t>derivatized</w:t>
      </w:r>
      <w:proofErr w:type="spellEnd"/>
      <w:r w:rsidRPr="00B3401A">
        <w:rPr>
          <w:shd w:val="clear" w:color="auto" w:fill="FFFFFF"/>
        </w:rPr>
        <w:t xml:space="preserve"> </w:t>
      </w:r>
      <w:r w:rsidRPr="00250A08">
        <w:rPr>
          <w:shd w:val="clear" w:color="auto" w:fill="FFFFFF"/>
        </w:rPr>
        <w:t xml:space="preserve">with TBDMS and </w:t>
      </w:r>
      <w:proofErr w:type="spellStart"/>
      <w:r w:rsidRPr="00250A08">
        <w:rPr>
          <w:shd w:val="clear" w:color="auto" w:fill="FFFFFF"/>
        </w:rPr>
        <w:t>methoxyamine</w:t>
      </w:r>
      <w:proofErr w:type="spellEnd"/>
      <w:r w:rsidRPr="00250A08">
        <w:rPr>
          <w:shd w:val="clear" w:color="auto" w:fill="FFFFFF"/>
        </w:rPr>
        <w:t xml:space="preserve"> hydrochloride O-</w:t>
      </w:r>
      <w:proofErr w:type="spellStart"/>
      <w:r w:rsidRPr="00250A08">
        <w:rPr>
          <w:shd w:val="clear" w:color="auto" w:fill="FFFFFF"/>
        </w:rPr>
        <w:t>Methylhydroxylamin</w:t>
      </w:r>
      <w:proofErr w:type="spellEnd"/>
      <w:r w:rsidRPr="00250A08">
        <w:rPr>
          <w:shd w:val="clear" w:color="auto" w:fill="FFFFFF"/>
        </w:rPr>
        <w:t>-</w:t>
      </w:r>
      <w:proofErr w:type="spellStart"/>
      <w:r w:rsidRPr="00250A08">
        <w:rPr>
          <w:shd w:val="clear" w:color="auto" w:fill="FFFFFF"/>
        </w:rPr>
        <w:t>hydrochlorid</w:t>
      </w:r>
      <w:proofErr w:type="spellEnd"/>
      <w:r w:rsidRPr="00250A08">
        <w:rPr>
          <w:shd w:val="clear" w:color="auto" w:fill="FFFFFF"/>
        </w:rPr>
        <w:t xml:space="preserve"> (Sigma-Aldrich</w:t>
      </w:r>
      <w:r>
        <w:rPr>
          <w:shd w:val="clear" w:color="auto" w:fill="FFFFFF"/>
        </w:rPr>
        <w:t>,</w:t>
      </w:r>
      <w:r w:rsidRPr="006709C7">
        <w:t xml:space="preserve"> </w:t>
      </w:r>
      <w:r w:rsidRPr="006709C7">
        <w:rPr>
          <w:shd w:val="clear" w:color="auto" w:fill="FFFFFF"/>
        </w:rPr>
        <w:t>St. Louis, MO</w:t>
      </w:r>
      <w:r w:rsidRPr="00250A08">
        <w:rPr>
          <w:shd w:val="clear" w:color="auto" w:fill="FFFFFF"/>
        </w:rPr>
        <w:t>)</w:t>
      </w:r>
      <w:r>
        <w:rPr>
          <w:shd w:val="clear" w:color="auto" w:fill="FFFFFF"/>
        </w:rPr>
        <w:t xml:space="preserve"> using a previously described method </w:t>
      </w:r>
      <w:r>
        <w:rPr>
          <w:shd w:val="clear" w:color="auto" w:fill="FFFFFF"/>
        </w:rPr>
        <w:fldChar w:fldCharType="begin" w:fldLock="1"/>
      </w:r>
      <w:r w:rsidR="008C0508">
        <w:rPr>
          <w:shd w:val="clear" w:color="auto" w:fill="FFFFFF"/>
        </w:rPr>
        <w:instrText>ADDIN CSL_CITATION { "citationItems" : [ { "id" : "ITEM-1",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"ITEM-1", "issue" : "1", "issued" : { "date-parts" : [ [ "2007", "1" ] ] }, "page" : "6", "title" : "Fluxome analysis using GC-MS.", "type" : "article-journal", "volume" : "6" }, "uris" : [ "http://www.mendeley.com/documents/?uuid=cf1a0fda-e39a-4b18-8a70-caadbddc4b94" ] } ], "mendeley" : { "formattedCitation" : "[31]", "plainTextFormattedCitation" : "[31]", "previouslyFormattedCitation" : "[31]" }, "properties" : { "noteIndex" : 0 }, "schema" : "https://github.com/citation-style-language/schema/raw/master/csl-citation.json" }</w:instrText>
      </w:r>
      <w:r>
        <w:rPr>
          <w:shd w:val="clear" w:color="auto" w:fill="FFFFFF"/>
        </w:rPr>
        <w:fldChar w:fldCharType="separate"/>
      </w:r>
      <w:r w:rsidR="0005386F" w:rsidRPr="0005386F">
        <w:rPr>
          <w:noProof/>
          <w:shd w:val="clear" w:color="auto" w:fill="FFFFFF"/>
        </w:rPr>
        <w:t>[31]</w:t>
      </w:r>
      <w:r>
        <w:rPr>
          <w:shd w:val="clear" w:color="auto" w:fill="FFFFFF"/>
        </w:rPr>
        <w:fldChar w:fldCharType="end"/>
      </w:r>
      <w:r>
        <w:rPr>
          <w:shd w:val="clear" w:color="auto" w:fill="FFFFFF"/>
        </w:rPr>
        <w:t>.</w:t>
      </w:r>
      <w:r w:rsidRPr="00250A08">
        <w:rPr>
          <w:shd w:val="clear" w:color="auto" w:fill="FFFFFF"/>
        </w:rPr>
        <w:t xml:space="preserve"> Cell pellets were then hydrolyzed using 1ml of 6N </w:t>
      </w:r>
      <w:proofErr w:type="spellStart"/>
      <w:r w:rsidRPr="00250A08">
        <w:rPr>
          <w:shd w:val="clear" w:color="auto" w:fill="FFFFFF"/>
        </w:rPr>
        <w:t>HCl</w:t>
      </w:r>
      <w:proofErr w:type="spellEnd"/>
      <w:r w:rsidRPr="00250A08">
        <w:rPr>
          <w:shd w:val="clear" w:color="auto" w:fill="FFFFFF"/>
        </w:rPr>
        <w:t xml:space="preserve"> at 105°C for 22-24 hours. The remaining </w:t>
      </w:r>
      <w:proofErr w:type="spellStart"/>
      <w:r w:rsidRPr="00250A08">
        <w:rPr>
          <w:shd w:val="clear" w:color="auto" w:fill="FFFFFF"/>
        </w:rPr>
        <w:t>HCl</w:t>
      </w:r>
      <w:proofErr w:type="spellEnd"/>
      <w:r w:rsidRPr="00250A08">
        <w:rPr>
          <w:shd w:val="clear" w:color="auto" w:fill="FFFFFF"/>
        </w:rPr>
        <w:t xml:space="preserve"> was later evaporated with nitrogen flow. Dried samples were reconstituted in 500</w:t>
      </w:r>
      <w:r w:rsidRPr="00250A08">
        <w:rPr>
          <w:rFonts w:eastAsia="Times New Roman"/>
          <w:lang w:val="en-GB"/>
        </w:rPr>
        <w:t>μ</w:t>
      </w:r>
      <w:r w:rsidRPr="00250A08">
        <w:rPr>
          <w:shd w:val="clear" w:color="auto" w:fill="FFFFFF"/>
        </w:rPr>
        <w:t xml:space="preserve">l </w:t>
      </w:r>
      <w:proofErr w:type="spellStart"/>
      <w:r w:rsidRPr="00250A08">
        <w:rPr>
          <w:shd w:val="clear" w:color="auto" w:fill="FFFFFF"/>
        </w:rPr>
        <w:t>nanopure</w:t>
      </w:r>
      <w:proofErr w:type="spellEnd"/>
      <w:r w:rsidRPr="00250A08">
        <w:rPr>
          <w:shd w:val="clear" w:color="auto" w:fill="FFFFFF"/>
        </w:rPr>
        <w:t xml:space="preserve"> water, and ash and cell debris were then filtered </w:t>
      </w:r>
      <w:r w:rsidRPr="007843BF">
        <w:rPr>
          <w:shd w:val="clear" w:color="auto" w:fill="FFFFFF"/>
        </w:rPr>
        <w:t>out of the sample</w:t>
      </w:r>
      <w:r>
        <w:rPr>
          <w:shd w:val="clear" w:color="auto" w:fill="FFFFFF"/>
        </w:rPr>
        <w:t xml:space="preserve"> using centrifuge tube filter (spin-x costar, 0.22</w:t>
      </w:r>
      <w:proofErr w:type="spellStart"/>
      <w:r w:rsidRPr="00034E10">
        <w:rPr>
          <w:rFonts w:eastAsia="Times New Roman"/>
          <w:lang w:val="en-GB"/>
        </w:rPr>
        <w:t>μ</w:t>
      </w:r>
      <w:r>
        <w:rPr>
          <w:rFonts w:eastAsia="Times New Roman"/>
          <w:lang w:val="en-GB"/>
        </w:rPr>
        <w:t>m</w:t>
      </w:r>
      <w:proofErr w:type="spellEnd"/>
      <w:r>
        <w:rPr>
          <w:rFonts w:eastAsia="Times New Roman"/>
          <w:lang w:val="en-GB"/>
        </w:rPr>
        <w:t>,</w:t>
      </w:r>
      <w:r>
        <w:rPr>
          <w:shd w:val="clear" w:color="auto" w:fill="FFFFFF"/>
        </w:rPr>
        <w:t xml:space="preserve"> Sigma-Aldrich)</w:t>
      </w:r>
      <w:r w:rsidRPr="007843BF">
        <w:rPr>
          <w:shd w:val="clear" w:color="auto" w:fill="FFFFFF"/>
        </w:rPr>
        <w:t>. 50</w:t>
      </w:r>
      <w:r w:rsidRPr="007843BF">
        <w:rPr>
          <w:rFonts w:eastAsia="Times New Roman"/>
          <w:lang w:val="en-GB"/>
        </w:rPr>
        <w:t>μ</w:t>
      </w:r>
      <w:r w:rsidRPr="007843BF">
        <w:rPr>
          <w:shd w:val="clear" w:color="auto" w:fill="FFFFFF"/>
        </w:rPr>
        <w:t xml:space="preserve">l of the reconstituted sample was then dried and </w:t>
      </w:r>
      <w:proofErr w:type="spellStart"/>
      <w:r w:rsidRPr="007843BF">
        <w:rPr>
          <w:shd w:val="clear" w:color="auto" w:fill="FFFFFF"/>
        </w:rPr>
        <w:t>derivatized</w:t>
      </w:r>
      <w:proofErr w:type="spellEnd"/>
      <w:r w:rsidRPr="007843BF">
        <w:rPr>
          <w:shd w:val="clear" w:color="auto" w:fill="FFFFFF"/>
        </w:rPr>
        <w:t xml:space="preserve"> using TBDMS as noted above.</w:t>
      </w:r>
    </w:p>
    <w:p w14:paraId="437AB31E" w14:textId="6A59A223" w:rsidR="009855DF" w:rsidRPr="007843BF" w:rsidRDefault="009855DF" w:rsidP="00654CDF">
      <w:pPr>
        <w:divId w:val="1326516459"/>
        <w:rPr>
          <w:shd w:val="clear" w:color="auto" w:fill="FFFFFF"/>
        </w:rPr>
      </w:pPr>
      <w:r w:rsidRPr="007843BF">
        <w:rPr>
          <w:shd w:val="clear" w:color="auto" w:fill="FFFFFF"/>
        </w:rPr>
        <w:t>Both TBDMS-</w:t>
      </w:r>
      <w:proofErr w:type="spellStart"/>
      <w:r w:rsidRPr="007843BF">
        <w:rPr>
          <w:shd w:val="clear" w:color="auto" w:fill="FFFFFF"/>
        </w:rPr>
        <w:t>derivatized</w:t>
      </w:r>
      <w:proofErr w:type="spellEnd"/>
      <w:r w:rsidRPr="007843BF">
        <w:rPr>
          <w:shd w:val="clear" w:color="auto" w:fill="FFFFFF"/>
        </w:rPr>
        <w:t xml:space="preserve"> </w:t>
      </w:r>
      <w:proofErr w:type="spellStart"/>
      <w:r w:rsidRPr="007843BF">
        <w:rPr>
          <w:shd w:val="clear" w:color="auto" w:fill="FFFFFF"/>
        </w:rPr>
        <w:t>proteinogenic</w:t>
      </w:r>
      <w:proofErr w:type="spellEnd"/>
      <w:r w:rsidRPr="007843BF">
        <w:rPr>
          <w:shd w:val="clear" w:color="auto" w:fill="FFFFFF"/>
        </w:rPr>
        <w:t xml:space="preserve"> amino acids and intracellular metabolites were detected using an Agilent (</w:t>
      </w:r>
      <w:r w:rsidRPr="00F977EF">
        <w:rPr>
          <w:shd w:val="clear" w:color="auto" w:fill="FFFFFF"/>
        </w:rPr>
        <w:t>Santa Clara, CA</w:t>
      </w:r>
      <w:r w:rsidRPr="007843BF">
        <w:rPr>
          <w:shd w:val="clear" w:color="auto" w:fill="FFFFFF"/>
        </w:rPr>
        <w:t xml:space="preserve">) GCMS with an Agilent J&amp;W HP-5ms Ultra Inert GC Column (30 m×0.25 mm×0.25 µm, catalog number: 19091s-433). Each sample was run in duplicate on the GCMS with the same temperature program, and also as one more run with a slower oven temperature ramping rate. The oven temperature was programmed as follows: for regular runs, the oven temperature was programmed as </w:t>
      </w:r>
      <w:proofErr w:type="gramStart"/>
      <w:r w:rsidRPr="007843BF">
        <w:rPr>
          <w:shd w:val="clear" w:color="auto" w:fill="FFFFFF"/>
        </w:rPr>
        <w:t>follows:,</w:t>
      </w:r>
      <w:proofErr w:type="gramEnd"/>
      <w:r w:rsidRPr="007843BF">
        <w:rPr>
          <w:shd w:val="clear" w:color="auto" w:fill="FFFFFF"/>
        </w:rPr>
        <w:t xml:space="preserve"> initial temperature at 100 </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 hold for 4 minutes, then ramp to 300</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 xml:space="preserve"> with ramp rate at 5 </w:t>
      </w:r>
      <w:r w:rsidRPr="00250A08">
        <w:rPr>
          <w:shd w:val="clear" w:color="auto" w:fill="FFFFFF"/>
        </w:rPr>
        <w:t>°C</w:t>
      </w:r>
      <w:r w:rsidRPr="007843BF" w:rsidDel="007843BF">
        <w:rPr>
          <w:rFonts w:hint="eastAsia"/>
          <w:shd w:val="clear" w:color="auto" w:fill="FFFFFF"/>
        </w:rPr>
        <w:t xml:space="preserve"> </w:t>
      </w:r>
      <w:r w:rsidRPr="007843BF">
        <w:rPr>
          <w:shd w:val="clear" w:color="auto" w:fill="FFFFFF"/>
        </w:rPr>
        <w:t>/min, then hold for 5 minutes, w</w:t>
      </w:r>
      <w:r w:rsidR="001948E4">
        <w:rPr>
          <w:shd w:val="clear" w:color="auto" w:fill="FFFFFF"/>
        </w:rPr>
        <w:t xml:space="preserve">ith total run time 49 minutes. </w:t>
      </w:r>
      <w:r>
        <w:rPr>
          <w:shd w:val="clear" w:color="auto" w:fill="FFFFFF"/>
        </w:rPr>
        <w:t xml:space="preserve">In order to further separate compounds with similar retention times a slower run was developed. </w:t>
      </w:r>
      <w:r w:rsidRPr="007843BF">
        <w:rPr>
          <w:shd w:val="clear" w:color="auto" w:fill="FFFFFF"/>
        </w:rPr>
        <w:t>For the slower run, the ramp rate slows down to 2.5°C/min with total run 89 minutes. MS source temperature was set at 230 °C and MS quad temperature set as150°C.</w:t>
      </w:r>
    </w:p>
    <w:p w14:paraId="55365AA4" w14:textId="3CA9F60C" w:rsidR="009855DF" w:rsidRPr="007843BF" w:rsidRDefault="009855DF" w:rsidP="00654CDF">
      <w:pPr>
        <w:divId w:val="1326516459"/>
        <w:rPr>
          <w:color w:val="000000"/>
        </w:rPr>
      </w:pPr>
      <w:r w:rsidRPr="007843BF">
        <w:rPr>
          <w:shd w:val="clear" w:color="auto" w:fill="FFFFFF"/>
        </w:rPr>
        <w:t xml:space="preserve">Sugar phosphate was separated by a </w:t>
      </w:r>
      <w:proofErr w:type="spellStart"/>
      <w:r w:rsidRPr="007843BF">
        <w:rPr>
          <w:shd w:val="clear" w:color="auto" w:fill="FFFFFF"/>
        </w:rPr>
        <w:t>Zic-pHilic</w:t>
      </w:r>
      <w:proofErr w:type="spellEnd"/>
      <w:r w:rsidRPr="007843BF">
        <w:rPr>
          <w:shd w:val="clear" w:color="auto" w:fill="FFFFFF"/>
        </w:rPr>
        <w:t xml:space="preserve"> column (</w:t>
      </w:r>
      <w:proofErr w:type="spellStart"/>
      <w:r w:rsidRPr="007843BF">
        <w:rPr>
          <w:shd w:val="clear" w:color="auto" w:fill="FFFFFF"/>
        </w:rPr>
        <w:t>SeQuant</w:t>
      </w:r>
      <w:proofErr w:type="spellEnd"/>
      <w:r w:rsidRPr="007843BF">
        <w:rPr>
          <w:shd w:val="clear" w:color="auto" w:fill="FFFFFF"/>
        </w:rPr>
        <w:t>,</w:t>
      </w:r>
      <w:r w:rsidRPr="007843BF">
        <w:rPr>
          <w:color w:val="000000"/>
        </w:rPr>
        <w:t xml:space="preserve"> PEEK 150mm length </w:t>
      </w:r>
      <w:r w:rsidRPr="007843BF">
        <w:rPr>
          <w:rFonts w:hint="eastAsia"/>
          <w:color w:val="000000"/>
        </w:rPr>
        <w:t>×</w:t>
      </w:r>
      <w:r w:rsidRPr="007843BF">
        <w:rPr>
          <w:color w:val="000000"/>
        </w:rPr>
        <w:t xml:space="preserve">2.1mm metal free, with </w:t>
      </w:r>
      <w:r w:rsidRPr="001948E4">
        <w:rPr>
          <w:rFonts w:cs="Arial"/>
          <w:color w:val="000000"/>
        </w:rPr>
        <w:t>5μm</w:t>
      </w:r>
      <w:r w:rsidRPr="007843BF">
        <w:rPr>
          <w:color w:val="000000"/>
        </w:rPr>
        <w:t xml:space="preserve"> polymeric film thickness</w:t>
      </w:r>
      <w:r w:rsidRPr="007843BF">
        <w:rPr>
          <w:shd w:val="clear" w:color="auto" w:fill="FFFFFF"/>
        </w:rPr>
        <w:t>) using LC-MS/MS (</w:t>
      </w:r>
      <w:proofErr w:type="spellStart"/>
      <w:r w:rsidRPr="007843BF">
        <w:rPr>
          <w:shd w:val="clear" w:color="auto" w:fill="FFFFFF"/>
        </w:rPr>
        <w:t>Xevo</w:t>
      </w:r>
      <w:proofErr w:type="spellEnd"/>
      <w:r>
        <w:rPr>
          <w:shd w:val="clear" w:color="auto" w:fill="FFFFFF"/>
        </w:rPr>
        <w:t xml:space="preserve">, </w:t>
      </w:r>
      <w:r w:rsidRPr="007843BF">
        <w:rPr>
          <w:shd w:val="clear" w:color="auto" w:fill="FFFFFF"/>
        </w:rPr>
        <w:t xml:space="preserve">Waters, </w:t>
      </w:r>
      <w:r w:rsidRPr="00F977EF">
        <w:rPr>
          <w:shd w:val="clear" w:color="auto" w:fill="FFFFFF"/>
        </w:rPr>
        <w:t xml:space="preserve">Milford, </w:t>
      </w:r>
      <w:proofErr w:type="gramStart"/>
      <w:r w:rsidRPr="00F977EF">
        <w:rPr>
          <w:shd w:val="clear" w:color="auto" w:fill="FFFFFF"/>
        </w:rPr>
        <w:t>MA</w:t>
      </w:r>
      <w:r w:rsidRPr="00F977EF" w:rsidDel="00F977EF">
        <w:rPr>
          <w:shd w:val="clear" w:color="auto" w:fill="FFFFFF"/>
        </w:rPr>
        <w:t xml:space="preserve"> </w:t>
      </w:r>
      <w:r w:rsidRPr="007843BF">
        <w:rPr>
          <w:shd w:val="clear" w:color="auto" w:fill="FFFFFF"/>
        </w:rPr>
        <w:t>)</w:t>
      </w:r>
      <w:proofErr w:type="gramEnd"/>
      <w:r w:rsidRPr="007843BF">
        <w:rPr>
          <w:shd w:val="clear" w:color="auto" w:fill="FFFFFF"/>
        </w:rPr>
        <w:t>.  Mobile phase A is</w:t>
      </w:r>
      <w:r w:rsidRPr="007843BF">
        <w:rPr>
          <w:color w:val="000000"/>
        </w:rPr>
        <w:t xml:space="preserve"> </w:t>
      </w:r>
      <w:r>
        <w:rPr>
          <w:color w:val="000000"/>
        </w:rPr>
        <w:t>LC grade water</w:t>
      </w:r>
      <w:r w:rsidRPr="007843BF">
        <w:rPr>
          <w:color w:val="000000"/>
        </w:rPr>
        <w:t xml:space="preserve"> with 2mM formic acid and 4mM ammonium, mobile phase B is acetonitrile with 0.1% formic acid. Column temperature was set at 30°C</w:t>
      </w:r>
      <w:r w:rsidRPr="007843BF">
        <w:rPr>
          <w:rFonts w:eastAsia="SimSun"/>
          <w:color w:val="000000"/>
        </w:rPr>
        <w:t>.</w:t>
      </w:r>
      <w:r w:rsidRPr="007843BF">
        <w:rPr>
          <w:color w:val="000000"/>
        </w:rPr>
        <w:t xml:space="preserve"> The LC condition starts with 0.15ml/min flow rate with initial gradient A=15%, hold for 2 minutes, </w:t>
      </w:r>
      <w:r w:rsidR="001948E4" w:rsidRPr="007843BF">
        <w:rPr>
          <w:color w:val="000000"/>
        </w:rPr>
        <w:t>and then</w:t>
      </w:r>
      <w:r w:rsidRPr="007843BF">
        <w:rPr>
          <w:color w:val="000000"/>
        </w:rPr>
        <w:t xml:space="preserve"> increased to 40% over the next 2 minutes. At 7 minute, </w:t>
      </w:r>
      <w:proofErr w:type="gramStart"/>
      <w:r w:rsidRPr="007843BF">
        <w:rPr>
          <w:color w:val="000000"/>
        </w:rPr>
        <w:t>A</w:t>
      </w:r>
      <w:proofErr w:type="gramEnd"/>
      <w:r w:rsidRPr="007843BF">
        <w:rPr>
          <w:color w:val="000000"/>
        </w:rPr>
        <w:t xml:space="preserve">=50%, at 10 min, A=80%, at 11 minutes, A is set to 90%, held for 0.5 minutes, and then switched to 15% at 11.50 minute to re-equilibrate the column for another 4.5 minutes. </w:t>
      </w:r>
    </w:p>
    <w:p w14:paraId="21403021" w14:textId="77777777" w:rsidR="009855DF" w:rsidRPr="006514CB" w:rsidRDefault="009855DF" w:rsidP="00654CDF">
      <w:pPr>
        <w:divId w:val="1326516459"/>
        <w:rPr>
          <w:color w:val="000000"/>
        </w:rPr>
      </w:pPr>
      <w:r w:rsidRPr="007843BF">
        <w:lastRenderedPageBreak/>
        <w:t xml:space="preserve">Waters </w:t>
      </w:r>
      <w:proofErr w:type="spellStart"/>
      <w:r w:rsidRPr="007843BF">
        <w:t>Xevo</w:t>
      </w:r>
      <w:proofErr w:type="spellEnd"/>
      <w:r w:rsidRPr="007843BF">
        <w:t xml:space="preserve"> G2-S Q-</w:t>
      </w:r>
      <w:proofErr w:type="spellStart"/>
      <w:r w:rsidRPr="007843BF">
        <w:t>Tof</w:t>
      </w:r>
      <w:proofErr w:type="spellEnd"/>
      <w:r w:rsidRPr="007843BF">
        <w:t xml:space="preserve"> equipped </w:t>
      </w:r>
      <w:r>
        <w:t xml:space="preserve">with </w:t>
      </w:r>
      <w:r w:rsidRPr="007843BF">
        <w:t xml:space="preserve">Waters </w:t>
      </w:r>
      <w:proofErr w:type="spellStart"/>
      <w:r w:rsidRPr="007843BF">
        <w:t>Acquity</w:t>
      </w:r>
      <w:proofErr w:type="spellEnd"/>
      <w:r w:rsidRPr="007843BF">
        <w:t xml:space="preserve"> UPLC I </w:t>
      </w:r>
      <w:proofErr w:type="gramStart"/>
      <w:r w:rsidRPr="007843BF">
        <w:t>class</w:t>
      </w:r>
      <w:r w:rsidRPr="007843BF">
        <w:rPr>
          <w:color w:val="000000"/>
        </w:rPr>
        <w:t>(</w:t>
      </w:r>
      <w:proofErr w:type="gramEnd"/>
      <w:r w:rsidRPr="00F977EF">
        <w:rPr>
          <w:shd w:val="clear" w:color="auto" w:fill="FFFFFF"/>
        </w:rPr>
        <w:t>Milford, MA</w:t>
      </w:r>
      <w:r w:rsidRPr="007843BF">
        <w:rPr>
          <w:color w:val="000000"/>
        </w:rPr>
        <w:t xml:space="preserve">) was used for some of the </w:t>
      </w:r>
      <w:proofErr w:type="spellStart"/>
      <w:r w:rsidRPr="007843BF">
        <w:rPr>
          <w:color w:val="000000"/>
        </w:rPr>
        <w:t>proteinogenic</w:t>
      </w:r>
      <w:proofErr w:type="spellEnd"/>
      <w:r w:rsidRPr="007843BF">
        <w:rPr>
          <w:color w:val="000000"/>
        </w:rPr>
        <w:t xml:space="preserve"> amino acids using HILIC-BEH-amide (Waters </w:t>
      </w:r>
      <w:proofErr w:type="spellStart"/>
      <w:r w:rsidRPr="007843BF">
        <w:rPr>
          <w:color w:val="000000"/>
        </w:rPr>
        <w:t>Acquity</w:t>
      </w:r>
      <w:proofErr w:type="spellEnd"/>
      <w:r>
        <w:rPr>
          <w:color w:val="000000"/>
        </w:rPr>
        <w:t>,</w:t>
      </w:r>
      <w:r w:rsidRPr="007843BF">
        <w:rPr>
          <w:color w:val="000000"/>
        </w:rPr>
        <w:t xml:space="preserve"> </w:t>
      </w:r>
      <w:r>
        <w:rPr>
          <w:color w:val="000000"/>
        </w:rPr>
        <w:t>part number 186004802</w:t>
      </w:r>
      <w:r w:rsidRPr="006514CB">
        <w:rPr>
          <w:color w:val="000000"/>
        </w:rPr>
        <w:t xml:space="preserve">, with dimension 2.1mm×150mm, 1.7um). Mobile phase A is water with 20 </w:t>
      </w:r>
      <w:proofErr w:type="spellStart"/>
      <w:r w:rsidRPr="006514CB">
        <w:rPr>
          <w:color w:val="000000"/>
        </w:rPr>
        <w:t>mM</w:t>
      </w:r>
      <w:proofErr w:type="spellEnd"/>
      <w:r w:rsidRPr="006514CB">
        <w:rPr>
          <w:color w:val="000000"/>
        </w:rPr>
        <w:t xml:space="preserve"> ammonium </w:t>
      </w:r>
      <w:proofErr w:type="spellStart"/>
      <w:r w:rsidRPr="006514CB">
        <w:rPr>
          <w:color w:val="000000"/>
        </w:rPr>
        <w:t>formate</w:t>
      </w:r>
      <w:proofErr w:type="spellEnd"/>
      <w:r w:rsidRPr="006514CB">
        <w:rPr>
          <w:color w:val="000000"/>
        </w:rPr>
        <w:t xml:space="preserve"> and 0.1% formic acid, mobile phase B is acetonitrile with 0.1% formic acid. LC solvent gradient was set as follow, starting at 10% A for 1 minute, at 2 minute, </w:t>
      </w:r>
      <w:proofErr w:type="gramStart"/>
      <w:r w:rsidRPr="006514CB">
        <w:rPr>
          <w:color w:val="000000"/>
        </w:rPr>
        <w:t>A</w:t>
      </w:r>
      <w:proofErr w:type="gramEnd"/>
      <w:r w:rsidRPr="006514CB">
        <w:rPr>
          <w:color w:val="000000"/>
        </w:rPr>
        <w:t>=35%, at 3 minute, A=40%, at 6 minute, A=50%, at 7.5 minutes, A=80%, holding for another 2 minutes. Then the column is re-equilibrated at 9.51 minutes by running 10% A through the column until 5.5 minutes</w:t>
      </w:r>
    </w:p>
    <w:p w14:paraId="368320B4" w14:textId="0F118BDC" w:rsidR="009855DF" w:rsidRPr="006514CB" w:rsidRDefault="000B1DE3" w:rsidP="00654CDF">
      <w:pPr>
        <w:pStyle w:val="Heading3"/>
        <w:divId w:val="1326516459"/>
        <w:rPr>
          <w:shd w:val="clear" w:color="auto" w:fill="FFFFFF"/>
        </w:rPr>
      </w:pPr>
      <w:bookmarkStart w:id="53" w:name="_Toc468311722"/>
      <w:r>
        <w:rPr>
          <w:shd w:val="clear" w:color="auto" w:fill="FFFFFF"/>
        </w:rPr>
        <w:t xml:space="preserve">2.8 </w:t>
      </w:r>
      <w:r w:rsidR="009855DF" w:rsidRPr="006514CB">
        <w:rPr>
          <w:shd w:val="clear" w:color="auto" w:fill="FFFFFF"/>
        </w:rPr>
        <w:t xml:space="preserve">Central carbon metabolism model construction and </w:t>
      </w:r>
      <w:r w:rsidR="009855DF" w:rsidRPr="006514CB">
        <w:rPr>
          <w:shd w:val="clear" w:color="auto" w:fill="FFFFFF"/>
          <w:vertAlign w:val="superscript"/>
        </w:rPr>
        <w:t>13</w:t>
      </w:r>
      <w:r w:rsidR="009855DF" w:rsidRPr="006514CB">
        <w:rPr>
          <w:shd w:val="clear" w:color="auto" w:fill="FFFFFF"/>
        </w:rPr>
        <w:t>C flux analysis</w:t>
      </w:r>
      <w:bookmarkEnd w:id="53"/>
    </w:p>
    <w:p w14:paraId="5F8A7480" w14:textId="4759A25B" w:rsidR="009855DF" w:rsidRPr="005B38FD" w:rsidRDefault="009855DF" w:rsidP="00654CDF">
      <w:pPr>
        <w:divId w:val="1326516459"/>
      </w:pPr>
      <w:r w:rsidRPr="006514CB">
        <w:t xml:space="preserve">The central carbon metabolism pathway model used for </w:t>
      </w:r>
      <w:r w:rsidRPr="006514CB">
        <w:rPr>
          <w:vertAlign w:val="superscript"/>
        </w:rPr>
        <w:t>13</w:t>
      </w:r>
      <w:r w:rsidRPr="006514CB">
        <w:t>C f</w:t>
      </w:r>
      <w:r w:rsidR="00195B99">
        <w:t>lux analysis is shown in Figure 2.</w:t>
      </w:r>
      <w:r w:rsidRPr="006514CB">
        <w:t xml:space="preserve">1. It was constructed based on a previous model </w:t>
      </w:r>
      <w:r>
        <w:fldChar w:fldCharType="begin" w:fldLock="1"/>
      </w:r>
      <w:r w:rsidR="008C0508">
        <w:instrText>ADDIN CSL_CITATION { "citationItems" : [ { "id" : "ITEM-1",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"ITEM-1", "issued" : { "date-parts" : [ [ "2011", "1" ] ] }, "page" : "189", "title" : "Genome-scale reconstruction and system level investigation of the metabolic network of Methylobacterium extorquens AM1.", "type" : "article-journal", "volume" : "5" }, "uris" : [ "http://www.mendeley.com/documents/?uuid=f35472c0-7a8f-4132-9431-66d7874ec47d" ] } ], "mendeley" : { "formattedCitation" : "[51]", "plainTextFormattedCitation" : "[51]", "previouslyFormattedCitation" : "[51]" }, "properties" : { "noteIndex" : 0 }, "schema" : "https://github.com/citation-style-language/schema/raw/master/csl-citation.json" }</w:instrText>
      </w:r>
      <w:r>
        <w:fldChar w:fldCharType="separate"/>
      </w:r>
      <w:r w:rsidR="0005386F" w:rsidRPr="0005386F">
        <w:rPr>
          <w:noProof/>
        </w:rPr>
        <w:t>[51]</w:t>
      </w:r>
      <w:r>
        <w:fldChar w:fldCharType="end"/>
      </w:r>
      <w:r w:rsidRPr="006514CB">
        <w:t>,</w:t>
      </w:r>
      <w:r>
        <w:t xml:space="preserve"> and details are shown in supporting </w:t>
      </w:r>
      <w:r w:rsidR="00440541">
        <w:t>file 2_1</w:t>
      </w:r>
      <w:r>
        <w:t xml:space="preserve">. </w:t>
      </w:r>
      <w:r w:rsidRPr="006514CB">
        <w:t>The pathways included are: oxidation of methanol to CO</w:t>
      </w:r>
      <w:r w:rsidRPr="00E34F3D">
        <w:rPr>
          <w:vertAlign w:val="subscript"/>
        </w:rPr>
        <w:t>2</w:t>
      </w:r>
      <w:r w:rsidRPr="006514CB">
        <w:t xml:space="preserve"> via formaldehyde and </w:t>
      </w:r>
      <w:proofErr w:type="spellStart"/>
      <w:r w:rsidRPr="006514CB">
        <w:t>formate</w:t>
      </w:r>
      <w:proofErr w:type="spellEnd"/>
      <w:r w:rsidRPr="006514CB">
        <w:t xml:space="preserve">, conversion of </w:t>
      </w:r>
      <w:proofErr w:type="spellStart"/>
      <w:r w:rsidRPr="006514CB">
        <w:t>formate</w:t>
      </w:r>
      <w:proofErr w:type="spellEnd"/>
      <w:r w:rsidRPr="006514CB">
        <w:t xml:space="preserve"> to methylene-H</w:t>
      </w:r>
      <w:r w:rsidRPr="005B38FD">
        <w:rPr>
          <w:vertAlign w:val="subscript"/>
        </w:rPr>
        <w:t>4</w:t>
      </w:r>
      <w:r w:rsidRPr="005B38FD">
        <w:t>F using the H</w:t>
      </w:r>
      <w:r w:rsidRPr="005B38FD">
        <w:rPr>
          <w:vertAlign w:val="subscript"/>
        </w:rPr>
        <w:t>4</w:t>
      </w:r>
      <w:r w:rsidRPr="005B38FD">
        <w:t>F pathway; assimilation of methylene H</w:t>
      </w:r>
      <w:r w:rsidRPr="005B38FD">
        <w:rPr>
          <w:vertAlign w:val="subscript"/>
        </w:rPr>
        <w:t>4</w:t>
      </w:r>
      <w:r w:rsidRPr="00324626">
        <w:t>F via the serine cycle</w:t>
      </w:r>
      <w:r>
        <w:t>;</w:t>
      </w:r>
      <w:r w:rsidRPr="00324626">
        <w:t xml:space="preserve"> the TCA cycle</w:t>
      </w:r>
      <w:r>
        <w:t xml:space="preserve">; </w:t>
      </w:r>
      <w:r w:rsidRPr="00324626">
        <w:t xml:space="preserve">the </w:t>
      </w:r>
      <w:proofErr w:type="spellStart"/>
      <w:r w:rsidRPr="00324626">
        <w:t>ethylmalonyl</w:t>
      </w:r>
      <w:proofErr w:type="spellEnd"/>
      <w:r w:rsidRPr="00324626">
        <w:t xml:space="preserve">-CoA pathway; gluconeogenesis; </w:t>
      </w:r>
      <w:r>
        <w:t xml:space="preserve">and </w:t>
      </w:r>
      <w:proofErr w:type="spellStart"/>
      <w:r w:rsidRPr="00324626">
        <w:t>anaplerotic</w:t>
      </w:r>
      <w:proofErr w:type="spellEnd"/>
      <w:r w:rsidRPr="00324626">
        <w:t xml:space="preserve"> reactions [</w:t>
      </w:r>
      <w:proofErr w:type="spellStart"/>
      <w:r>
        <w:t>reactions</w:t>
      </w:r>
      <w:proofErr w:type="spellEnd"/>
      <w:r>
        <w:t xml:space="preserve"> catalyzed by pyruvate kinase, </w:t>
      </w:r>
      <w:r w:rsidRPr="00572AA5">
        <w:t xml:space="preserve">PEP carboxylase </w:t>
      </w:r>
      <w:r>
        <w:t>and malic enzyme</w:t>
      </w:r>
      <w:r w:rsidRPr="00324626">
        <w:t xml:space="preserve">] overlapping with the serine cycle in key intermediate metabolites nodes (such as 2-O-Phosphono-D-glyceric acid (2PGA) and phosphoenolpyruvate (PEP).  Some of the C3 and C4 metabolites were involved in more than one pathway in this interconnected set of cycles. For instance, 1) 2PGA is the branch node for the serine cycle and gluconeogenesis, 2) PEP and pyruvate </w:t>
      </w:r>
      <w:r>
        <w:t>are</w:t>
      </w:r>
      <w:r w:rsidRPr="00324626">
        <w:t xml:space="preserve"> both in the serine cycle and </w:t>
      </w:r>
      <w:proofErr w:type="spellStart"/>
      <w:r w:rsidRPr="00324626">
        <w:t>anaplerotic</w:t>
      </w:r>
      <w:proofErr w:type="spellEnd"/>
      <w:r w:rsidRPr="00324626">
        <w:t xml:space="preserve"> pathways, 3) Malate and OAA were both in </w:t>
      </w:r>
      <w:r>
        <w:t xml:space="preserve">the </w:t>
      </w:r>
      <w:r w:rsidRPr="00324626">
        <w:t xml:space="preserve">serine cycle, TCA cycle and </w:t>
      </w:r>
      <w:proofErr w:type="spellStart"/>
      <w:r w:rsidRPr="00324626">
        <w:t>anap</w:t>
      </w:r>
      <w:r>
        <w:t>l</w:t>
      </w:r>
      <w:r w:rsidRPr="00324626">
        <w:t>erotic</w:t>
      </w:r>
      <w:proofErr w:type="spellEnd"/>
      <w:r w:rsidRPr="00324626">
        <w:t xml:space="preserve"> pathway. This complexity and redundancy offers the cell alternatives for the connections between </w:t>
      </w:r>
      <w:r>
        <w:t xml:space="preserve">the </w:t>
      </w:r>
      <w:r w:rsidRPr="00324626">
        <w:t>serine cycle and EMC pathway under environmental perturbation and gene manipulation</w:t>
      </w:r>
      <w:r>
        <w:t>.</w:t>
      </w:r>
    </w:p>
    <w:p w14:paraId="5DA44DE8" w14:textId="0DB8913E" w:rsidR="009855DF" w:rsidRDefault="009855DF" w:rsidP="00654CDF">
      <w:pPr>
        <w:divId w:val="1326516459"/>
        <w:rPr>
          <w:color w:val="000000"/>
        </w:rPr>
        <w:sectPr w:rsidR="009855DF" w:rsidSect="00EA2B76">
          <w:footerReference w:type="default" r:id="rId13"/>
          <w:pgSz w:w="12240" w:h="15840"/>
          <w:pgMar w:top="1440" w:right="1440" w:bottom="1440" w:left="1440" w:header="720" w:footer="576" w:gutter="0"/>
          <w:pgNumType w:start="1"/>
          <w:cols w:space="720"/>
          <w:titlePg/>
          <w:docGrid w:linePitch="360"/>
        </w:sectPr>
      </w:pPr>
      <w:r w:rsidRPr="00B47C6E">
        <w:rPr>
          <w:color w:val="000000"/>
        </w:rPr>
        <w:t xml:space="preserve">Methanol uptake rates and biomass yields were measured for individual conditions. </w:t>
      </w:r>
      <w:r>
        <w:rPr>
          <w:color w:val="000000"/>
        </w:rPr>
        <w:t>E</w:t>
      </w:r>
      <w:r w:rsidRPr="00B47C6E">
        <w:rPr>
          <w:color w:val="000000"/>
        </w:rPr>
        <w:t xml:space="preserve">xtracellular metabolite secretion was measured </w:t>
      </w:r>
      <w:r>
        <w:rPr>
          <w:color w:val="000000"/>
        </w:rPr>
        <w:t>using</w:t>
      </w:r>
      <w:r w:rsidRPr="00B47C6E">
        <w:rPr>
          <w:color w:val="000000"/>
        </w:rPr>
        <w:t xml:space="preserve"> </w:t>
      </w:r>
      <w:r>
        <w:rPr>
          <w:color w:val="000000"/>
        </w:rPr>
        <w:t xml:space="preserve">1H </w:t>
      </w:r>
      <w:r w:rsidRPr="00B47C6E">
        <w:rPr>
          <w:color w:val="000000"/>
        </w:rPr>
        <w:t>NMR</w:t>
      </w:r>
      <w:r>
        <w:rPr>
          <w:color w:val="000000"/>
        </w:rPr>
        <w:t xml:space="preserve"> with a previously described protocol </w:t>
      </w:r>
      <w:r>
        <w:rPr>
          <w:color w:val="000000"/>
        </w:rPr>
        <w:fldChar w:fldCharType="begin" w:fldLock="1"/>
      </w:r>
      <w:r w:rsidR="00AF0B7D">
        <w:rPr>
          <w:color w:val="000000"/>
        </w:rPr>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rPr>
          <w:color w:val="000000"/>
        </w:rPr>
        <w:fldChar w:fldCharType="separate"/>
      </w:r>
      <w:r w:rsidR="00300EB6" w:rsidRPr="00300EB6">
        <w:rPr>
          <w:noProof/>
          <w:color w:val="000000"/>
        </w:rPr>
        <w:t>[11]</w:t>
      </w:r>
      <w:r>
        <w:rPr>
          <w:color w:val="000000"/>
        </w:rPr>
        <w:fldChar w:fldCharType="end"/>
      </w:r>
      <w:r>
        <w:rPr>
          <w:color w:val="000000"/>
        </w:rPr>
        <w:t xml:space="preserve">. </w:t>
      </w:r>
      <w:r w:rsidRPr="00B47C6E">
        <w:rPr>
          <w:color w:val="000000"/>
        </w:rPr>
        <w:t xml:space="preserve">For </w:t>
      </w:r>
      <w:r w:rsidRPr="00B47C6E">
        <w:rPr>
          <w:i/>
          <w:color w:val="000000"/>
        </w:rPr>
        <w:t xml:space="preserve">in silico </w:t>
      </w:r>
      <w:r w:rsidRPr="00B47C6E">
        <w:rPr>
          <w:color w:val="000000"/>
        </w:rPr>
        <w:t xml:space="preserve">simulation, </w:t>
      </w:r>
      <w:proofErr w:type="spellStart"/>
      <w:r w:rsidRPr="00B47C6E">
        <w:rPr>
          <w:color w:val="000000"/>
        </w:rPr>
        <w:t>Influx_s</w:t>
      </w:r>
      <w:proofErr w:type="spellEnd"/>
      <w:r w:rsidRPr="00B47C6E">
        <w:rPr>
          <w:color w:val="000000"/>
        </w:rPr>
        <w:t xml:space="preserve"> was used </w:t>
      </w:r>
      <w:r>
        <w:rPr>
          <w:color w:val="000000"/>
        </w:rPr>
        <w:fldChar w:fldCharType="begin" w:fldLock="1"/>
      </w:r>
      <w:r w:rsidR="008C0508">
        <w:rPr>
          <w:color w:val="000000"/>
        </w:rPr>
        <w:instrText>ADDIN CSL_CITATION { "citationItems" : [ { "id" : "ITEM-1", "itemData" : { "DOI" : "10.1093/bioinformatics/btr716", "ISSN" : "1367-4811", "PMID" : "22210866", "abstract" : "The problem of stationary metabolic flux analysis based on isotope labelling experiments first appeared in the early 1950s and was basically solved in early 2000s. Several algorithms and software packages are available for this problem. However, the generic stochastic algorithms (simulated annealing or evolution algorithms) currently used in these software require a lot of time to achieve acceptable precision. For deterministic algorithms, a common drawback is the lack of convergence stability for ill-conditioned systems or when started from a random point.", "author" : [ { "dropping-particle" : "", "family" : "Sokol", "given" : "Serguei", "non-dropping-particle" : "", "parse-names" : false, "suffix" : "" }, { "dropping-particle" : "", "family" : "Millard", "given" : "Pierre", "non-dropping-particle" : "", "parse-names" : false, "suffix" : "" }, { "dropping-particle" : "", "family" : "Portais", "given" : "Jean-Charles", "non-dropping-particle" : "", "parse-names" : false, "suffix" : "" } ], "container-title" : "Bioinformatics (Oxford, England)", "id" : "ITEM-1", "issue" : "5", "issued" : { "date-parts" : [ [ "2012", "3", "1" ] ] }, "note" : "the best software for simulation 13C flux", "page" : "687-93", "title" : "influx_s: increasing numerical stability and precision for metabolic flux analysis in isotope labelling experiments.", "type" : "article-journal", "volume" : "28" }, "uris" : [ "http://www.mendeley.com/documents/?uuid=417e10c5-84f5-49bd-9156-dcfdc744b936" ] } ], "mendeley" : { "formattedCitation" : "[36]", "plainTextFormattedCitation" : "[36]", "previouslyFormattedCitation" : "[36]" }, "properties" : { "noteIndex" : 0 }, "schema" : "https://github.com/citation-style-language/schema/raw/master/csl-citation.json" }</w:instrText>
      </w:r>
      <w:r>
        <w:rPr>
          <w:color w:val="000000"/>
        </w:rPr>
        <w:fldChar w:fldCharType="separate"/>
      </w:r>
      <w:r w:rsidR="0005386F" w:rsidRPr="0005386F">
        <w:rPr>
          <w:noProof/>
          <w:color w:val="000000"/>
        </w:rPr>
        <w:t>[36]</w:t>
      </w:r>
      <w:r>
        <w:rPr>
          <w:color w:val="000000"/>
        </w:rPr>
        <w:fldChar w:fldCharType="end"/>
      </w:r>
      <w:r w:rsidR="00DF3A08">
        <w:rPr>
          <w:color w:val="000000"/>
        </w:rPr>
        <w:t>.</w:t>
      </w:r>
    </w:p>
    <w:p w14:paraId="034D9D58" w14:textId="77777777" w:rsidR="009855DF" w:rsidRPr="007C042C" w:rsidRDefault="009855DF" w:rsidP="00654CDF">
      <w:pPr>
        <w:pStyle w:val="Heading2"/>
        <w:divId w:val="1326516459"/>
      </w:pPr>
      <w:bookmarkStart w:id="54" w:name="_Toc468311723"/>
      <w:r w:rsidRPr="007C042C">
        <w:lastRenderedPageBreak/>
        <w:t>Tables</w:t>
      </w:r>
      <w:bookmarkEnd w:id="54"/>
    </w:p>
    <w:p w14:paraId="5399E733" w14:textId="245B6423" w:rsidR="009855DF" w:rsidRPr="00A54353" w:rsidRDefault="009855DF" w:rsidP="009855DF">
      <w:pPr>
        <w:pStyle w:val="Caption"/>
        <w:keepNext/>
        <w:divId w:val="1326516459"/>
        <w:rPr>
          <w:rFonts w:cs="Arial"/>
          <w:color w:val="000000" w:themeColor="text1"/>
        </w:rPr>
      </w:pPr>
      <w:r w:rsidRPr="00A54353">
        <w:rPr>
          <w:rFonts w:cs="Arial"/>
          <w:color w:val="000000" w:themeColor="text1"/>
        </w:rPr>
        <w:t xml:space="preserve">Table </w:t>
      </w:r>
      <w:r w:rsidR="00347A8B" w:rsidRPr="00A54353">
        <w:rPr>
          <w:rFonts w:cs="Arial"/>
          <w:color w:val="000000" w:themeColor="text1"/>
        </w:rPr>
        <w:t>2.</w:t>
      </w:r>
      <w:r w:rsidRPr="00A54353">
        <w:rPr>
          <w:rFonts w:cs="Arial"/>
          <w:color w:val="000000" w:themeColor="text1"/>
        </w:rPr>
        <w:fldChar w:fldCharType="begin"/>
      </w:r>
      <w:r w:rsidRPr="00A54353">
        <w:rPr>
          <w:rFonts w:cs="Arial"/>
          <w:color w:val="000000" w:themeColor="text1"/>
        </w:rPr>
        <w:instrText xml:space="preserve"> SEQ Table \* ARABIC </w:instrText>
      </w:r>
      <w:r w:rsidRPr="00A54353">
        <w:rPr>
          <w:rFonts w:cs="Arial"/>
          <w:color w:val="000000" w:themeColor="text1"/>
        </w:rPr>
        <w:fldChar w:fldCharType="separate"/>
      </w:r>
      <w:r w:rsidRPr="00A54353">
        <w:rPr>
          <w:rFonts w:cs="Arial"/>
          <w:noProof/>
          <w:color w:val="000000" w:themeColor="text1"/>
        </w:rPr>
        <w:t>1</w:t>
      </w:r>
      <w:r w:rsidRPr="00A54353">
        <w:rPr>
          <w:rFonts w:cs="Arial"/>
          <w:color w:val="000000" w:themeColor="text1"/>
        </w:rPr>
        <w:fldChar w:fldCharType="end"/>
      </w:r>
      <w:r w:rsidRPr="00A54353">
        <w:rPr>
          <w:rFonts w:cs="Arial"/>
          <w:color w:val="000000" w:themeColor="text1"/>
        </w:rPr>
        <w:t xml:space="preserve"> Growth rate and biomass yield for </w:t>
      </w:r>
      <w:proofErr w:type="spellStart"/>
      <w:r w:rsidR="00990D25" w:rsidRPr="007C64F7">
        <w:rPr>
          <w:rFonts w:cs="Arial"/>
          <w:color w:val="000000"/>
          <w:szCs w:val="20"/>
        </w:rPr>
        <w:t>Δ</w:t>
      </w:r>
      <w:r w:rsidRPr="00A54353">
        <w:rPr>
          <w:rFonts w:cs="Arial"/>
          <w:i/>
          <w:color w:val="000000" w:themeColor="text1"/>
        </w:rPr>
        <w:t>dme</w:t>
      </w:r>
      <w:proofErr w:type="spellEnd"/>
      <w:r w:rsidRPr="00A54353">
        <w:rPr>
          <w:rFonts w:cs="Arial"/>
          <w:color w:val="000000" w:themeColor="text1"/>
        </w:rPr>
        <w:t xml:space="preserve">, </w:t>
      </w:r>
      <w:proofErr w:type="spellStart"/>
      <w:r w:rsidR="00990D25" w:rsidRPr="007C64F7">
        <w:rPr>
          <w:rFonts w:cs="Arial"/>
          <w:color w:val="000000"/>
          <w:szCs w:val="20"/>
        </w:rPr>
        <w:t>Δ</w:t>
      </w:r>
      <w:r w:rsidRPr="00A54353">
        <w:rPr>
          <w:rFonts w:cs="Arial"/>
          <w:i/>
          <w:color w:val="000000" w:themeColor="text1"/>
        </w:rPr>
        <w:t>pck</w:t>
      </w:r>
      <w:proofErr w:type="spellEnd"/>
      <w:r w:rsidRPr="00A54353">
        <w:rPr>
          <w:rFonts w:cs="Arial"/>
          <w:i/>
          <w:color w:val="000000" w:themeColor="text1"/>
        </w:rPr>
        <w:t xml:space="preserve">, </w:t>
      </w:r>
      <w:r w:rsidRPr="00A54353">
        <w:rPr>
          <w:rFonts w:cs="Arial"/>
          <w:color w:val="000000" w:themeColor="text1"/>
        </w:rPr>
        <w:t xml:space="preserve">and </w:t>
      </w:r>
      <w:proofErr w:type="spellStart"/>
      <w:r w:rsidR="00990D25" w:rsidRPr="007C64F7">
        <w:rPr>
          <w:rFonts w:cs="Arial"/>
          <w:color w:val="000000"/>
          <w:szCs w:val="20"/>
        </w:rPr>
        <w:t>Δ</w:t>
      </w:r>
      <w:r w:rsidRPr="00A54353">
        <w:rPr>
          <w:rFonts w:cs="Arial"/>
          <w:i/>
          <w:color w:val="000000" w:themeColor="text1"/>
        </w:rPr>
        <w:t>pyk</w:t>
      </w:r>
      <w:proofErr w:type="spellEnd"/>
      <w:r w:rsidRPr="00A54353">
        <w:rPr>
          <w:rFonts w:cs="Arial"/>
          <w:color w:val="000000" w:themeColor="text1"/>
        </w:rPr>
        <w:t xml:space="preserve"> mutants of both strain variants, base cases included, marked as *</w:t>
      </w:r>
    </w:p>
    <w:tbl>
      <w:tblPr>
        <w:tblW w:w="12605" w:type="dxa"/>
        <w:tblInd w:w="103" w:type="dxa"/>
        <w:tblLook w:val="04A0" w:firstRow="1" w:lastRow="0" w:firstColumn="1" w:lastColumn="0" w:noHBand="0" w:noVBand="1"/>
      </w:tblPr>
      <w:tblGrid>
        <w:gridCol w:w="2075"/>
        <w:gridCol w:w="2545"/>
        <w:gridCol w:w="1595"/>
        <w:gridCol w:w="2012"/>
        <w:gridCol w:w="1408"/>
        <w:gridCol w:w="1350"/>
        <w:gridCol w:w="1620"/>
      </w:tblGrid>
      <w:tr w:rsidR="009855DF" w:rsidRPr="00875D28" w14:paraId="51C3CF92" w14:textId="77777777" w:rsidTr="009855DF">
        <w:trPr>
          <w:divId w:val="1326516459"/>
          <w:trHeight w:val="12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76C2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Strain + medium condition</w:t>
            </w:r>
          </w:p>
          <w:p w14:paraId="190C7F0A" w14:textId="77777777" w:rsidR="009855DF" w:rsidRPr="00875D28" w:rsidRDefault="009855DF" w:rsidP="006D7FDC">
            <w:pPr>
              <w:spacing w:line="240" w:lineRule="auto"/>
              <w:jc w:val="center"/>
              <w:rPr>
                <w:rFonts w:eastAsia="Times New Roman" w:cs="Arial"/>
                <w:color w:val="000000"/>
                <w:szCs w:val="20"/>
              </w:rPr>
            </w:pPr>
          </w:p>
        </w:tc>
        <w:tc>
          <w:tcPr>
            <w:tcW w:w="2545" w:type="dxa"/>
            <w:tcBorders>
              <w:top w:val="single" w:sz="4" w:space="0" w:color="auto"/>
              <w:left w:val="nil"/>
              <w:bottom w:val="single" w:sz="4" w:space="0" w:color="auto"/>
              <w:right w:val="single" w:sz="4" w:space="0" w:color="auto"/>
            </w:tcBorders>
            <w:shd w:val="clear" w:color="auto" w:fill="auto"/>
            <w:vAlign w:val="center"/>
            <w:hideMark/>
          </w:tcPr>
          <w:p w14:paraId="0F7273E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Biomass yield (g </w:t>
            </w:r>
            <w:proofErr w:type="spellStart"/>
            <w:r w:rsidRPr="00875D28">
              <w:rPr>
                <w:rFonts w:eastAsia="Times New Roman" w:cs="Arial"/>
                <w:color w:val="000000"/>
                <w:szCs w:val="20"/>
              </w:rPr>
              <w:t>cdw</w:t>
            </w:r>
            <w:proofErr w:type="spellEnd"/>
            <w:r w:rsidRPr="00875D28">
              <w:rPr>
                <w:rFonts w:eastAsia="Times New Roman" w:cs="Arial"/>
                <w:color w:val="000000"/>
                <w:szCs w:val="20"/>
              </w:rPr>
              <w:t>/</w:t>
            </w:r>
            <w:proofErr w:type="spellStart"/>
            <w:r w:rsidRPr="00875D28">
              <w:rPr>
                <w:rFonts w:eastAsia="Times New Roman" w:cs="Arial"/>
                <w:color w:val="000000"/>
                <w:szCs w:val="20"/>
              </w:rPr>
              <w:t>mol</w:t>
            </w:r>
            <w:proofErr w:type="spellEnd"/>
            <w:r w:rsidRPr="00875D28">
              <w:rPr>
                <w:rFonts w:eastAsia="Times New Roman" w:cs="Arial"/>
                <w:color w:val="000000"/>
                <w:szCs w:val="20"/>
              </w:rPr>
              <w:t xml:space="preserve"> methanol consumed)</w:t>
            </w:r>
          </w:p>
        </w:tc>
        <w:tc>
          <w:tcPr>
            <w:tcW w:w="1595" w:type="dxa"/>
            <w:tcBorders>
              <w:top w:val="single" w:sz="4" w:space="0" w:color="auto"/>
              <w:left w:val="nil"/>
              <w:bottom w:val="single" w:sz="4" w:space="0" w:color="auto"/>
              <w:right w:val="single" w:sz="4" w:space="0" w:color="auto"/>
            </w:tcBorders>
          </w:tcPr>
          <w:p w14:paraId="34D64E5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Absolute change in biomass yield</w:t>
            </w:r>
          </w:p>
          <w:p w14:paraId="1C89755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(g </w:t>
            </w:r>
            <w:proofErr w:type="spellStart"/>
            <w:r w:rsidRPr="00875D28">
              <w:rPr>
                <w:rFonts w:eastAsia="Times New Roman" w:cs="Arial"/>
                <w:color w:val="000000"/>
                <w:szCs w:val="20"/>
              </w:rPr>
              <w:t>cdw</w:t>
            </w:r>
            <w:proofErr w:type="spellEnd"/>
            <w:r w:rsidRPr="00875D28">
              <w:rPr>
                <w:rFonts w:eastAsia="Times New Roman" w:cs="Arial"/>
                <w:color w:val="000000"/>
                <w:szCs w:val="20"/>
              </w:rPr>
              <w:t>/</w:t>
            </w:r>
            <w:proofErr w:type="spellStart"/>
            <w:r w:rsidRPr="00875D28">
              <w:rPr>
                <w:rFonts w:eastAsia="Times New Roman" w:cs="Arial"/>
                <w:color w:val="000000"/>
                <w:szCs w:val="20"/>
              </w:rPr>
              <w:t>mol</w:t>
            </w:r>
            <w:proofErr w:type="spellEnd"/>
            <w:r w:rsidRPr="00875D28">
              <w:rPr>
                <w:rFonts w:eastAsia="Times New Roman" w:cs="Arial"/>
                <w:color w:val="000000"/>
                <w:szCs w:val="20"/>
              </w:rPr>
              <w:t xml:space="preserve"> methanol consumed)</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77AD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of original strain  biomass yield under same condition</w:t>
            </w:r>
          </w:p>
        </w:tc>
        <w:tc>
          <w:tcPr>
            <w:tcW w:w="1408" w:type="dxa"/>
            <w:tcBorders>
              <w:top w:val="single" w:sz="4" w:space="0" w:color="auto"/>
              <w:left w:val="nil"/>
              <w:bottom w:val="single" w:sz="4" w:space="0" w:color="auto"/>
              <w:right w:val="single" w:sz="4" w:space="0" w:color="auto"/>
            </w:tcBorders>
            <w:shd w:val="clear" w:color="auto" w:fill="auto"/>
            <w:vAlign w:val="center"/>
            <w:hideMark/>
          </w:tcPr>
          <w:p w14:paraId="7CE0B46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Growth rate ( per </w:t>
            </w:r>
            <w:proofErr w:type="spellStart"/>
            <w:r w:rsidRPr="00875D28">
              <w:rPr>
                <w:rFonts w:eastAsia="Times New Roman" w:cs="Arial"/>
                <w:color w:val="000000"/>
                <w:szCs w:val="20"/>
              </w:rPr>
              <w:t>hr</w:t>
            </w:r>
            <w:proofErr w:type="spellEnd"/>
            <w:r w:rsidRPr="00875D28">
              <w:rPr>
                <w:rFonts w:eastAsia="Times New Roman" w:cs="Arial"/>
                <w:color w:val="000000"/>
                <w:szCs w:val="20"/>
              </w:rPr>
              <w:t>)</w:t>
            </w:r>
          </w:p>
        </w:tc>
        <w:tc>
          <w:tcPr>
            <w:tcW w:w="1350" w:type="dxa"/>
            <w:tcBorders>
              <w:top w:val="single" w:sz="4" w:space="0" w:color="auto"/>
              <w:left w:val="nil"/>
              <w:bottom w:val="single" w:sz="4" w:space="0" w:color="auto"/>
              <w:right w:val="single" w:sz="4" w:space="0" w:color="auto"/>
            </w:tcBorders>
          </w:tcPr>
          <w:p w14:paraId="537641B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Absolute change in growth rate</w:t>
            </w:r>
          </w:p>
          <w:p w14:paraId="7AC2EE7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 per </w:t>
            </w:r>
            <w:proofErr w:type="spellStart"/>
            <w:r w:rsidRPr="00875D28">
              <w:rPr>
                <w:rFonts w:eastAsia="Times New Roman" w:cs="Arial"/>
                <w:color w:val="000000"/>
                <w:szCs w:val="20"/>
              </w:rPr>
              <w:t>hr</w:t>
            </w:r>
            <w:proofErr w:type="spellEnd"/>
            <w:r w:rsidRPr="00875D28">
              <w:rPr>
                <w:rFonts w:eastAsia="Times New Roman" w:cs="Arial"/>
                <w:color w:val="00000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2B91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of original strain growth under same condition</w:t>
            </w:r>
          </w:p>
        </w:tc>
      </w:tr>
      <w:tr w:rsidR="009855DF" w:rsidRPr="00875D28" w14:paraId="5642759A"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5FFEE58F"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 + HY</w:t>
            </w:r>
          </w:p>
        </w:tc>
        <w:tc>
          <w:tcPr>
            <w:tcW w:w="2545" w:type="dxa"/>
            <w:tcBorders>
              <w:top w:val="nil"/>
              <w:left w:val="nil"/>
              <w:bottom w:val="single" w:sz="4" w:space="0" w:color="auto"/>
              <w:right w:val="single" w:sz="4" w:space="0" w:color="auto"/>
            </w:tcBorders>
            <w:shd w:val="clear" w:color="auto" w:fill="auto"/>
            <w:vAlign w:val="center"/>
          </w:tcPr>
          <w:p w14:paraId="50B990C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8.90 ± 0.59</w:t>
            </w:r>
          </w:p>
        </w:tc>
        <w:tc>
          <w:tcPr>
            <w:tcW w:w="1595" w:type="dxa"/>
            <w:tcBorders>
              <w:top w:val="single" w:sz="4" w:space="0" w:color="auto"/>
              <w:left w:val="nil"/>
              <w:bottom w:val="single" w:sz="4" w:space="0" w:color="auto"/>
              <w:right w:val="single" w:sz="4" w:space="0" w:color="auto"/>
            </w:tcBorders>
          </w:tcPr>
          <w:p w14:paraId="79F385A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0E5BE27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60CA88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5EA9478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1F2B2BF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58421AE2"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4EA66ABD"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 + HY</w:t>
            </w:r>
          </w:p>
        </w:tc>
        <w:tc>
          <w:tcPr>
            <w:tcW w:w="2545" w:type="dxa"/>
            <w:tcBorders>
              <w:top w:val="nil"/>
              <w:left w:val="nil"/>
              <w:bottom w:val="single" w:sz="4" w:space="0" w:color="auto"/>
              <w:right w:val="single" w:sz="4" w:space="0" w:color="auto"/>
            </w:tcBorders>
            <w:shd w:val="clear" w:color="auto" w:fill="auto"/>
            <w:vAlign w:val="center"/>
          </w:tcPr>
          <w:p w14:paraId="6159ADA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6.44 ± 0.90</w:t>
            </w:r>
          </w:p>
        </w:tc>
        <w:tc>
          <w:tcPr>
            <w:tcW w:w="1595" w:type="dxa"/>
            <w:tcBorders>
              <w:top w:val="single" w:sz="4" w:space="0" w:color="auto"/>
              <w:left w:val="nil"/>
              <w:bottom w:val="single" w:sz="4" w:space="0" w:color="auto"/>
              <w:right w:val="single" w:sz="4" w:space="0" w:color="auto"/>
            </w:tcBorders>
          </w:tcPr>
          <w:p w14:paraId="4868979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6F8C829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C7A31D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0.13 ± 0.01</w:t>
            </w:r>
          </w:p>
        </w:tc>
        <w:tc>
          <w:tcPr>
            <w:tcW w:w="1350" w:type="dxa"/>
            <w:tcBorders>
              <w:top w:val="single" w:sz="4" w:space="0" w:color="auto"/>
              <w:left w:val="nil"/>
              <w:bottom w:val="single" w:sz="4" w:space="0" w:color="auto"/>
              <w:right w:val="single" w:sz="4" w:space="0" w:color="auto"/>
            </w:tcBorders>
          </w:tcPr>
          <w:p w14:paraId="76D8043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5826817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49C23950"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7B0E29B6"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 + HYC</w:t>
            </w:r>
          </w:p>
        </w:tc>
        <w:tc>
          <w:tcPr>
            <w:tcW w:w="2545" w:type="dxa"/>
            <w:tcBorders>
              <w:top w:val="nil"/>
              <w:left w:val="nil"/>
              <w:bottom w:val="single" w:sz="4" w:space="0" w:color="auto"/>
              <w:right w:val="single" w:sz="4" w:space="0" w:color="auto"/>
            </w:tcBorders>
            <w:shd w:val="clear" w:color="auto" w:fill="auto"/>
            <w:vAlign w:val="center"/>
          </w:tcPr>
          <w:p w14:paraId="6963349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6.09 ± 0.04</w:t>
            </w:r>
          </w:p>
        </w:tc>
        <w:tc>
          <w:tcPr>
            <w:tcW w:w="1595" w:type="dxa"/>
            <w:tcBorders>
              <w:top w:val="single" w:sz="4" w:space="0" w:color="auto"/>
              <w:left w:val="nil"/>
              <w:bottom w:val="single" w:sz="4" w:space="0" w:color="auto"/>
              <w:right w:val="single" w:sz="4" w:space="0" w:color="auto"/>
            </w:tcBorders>
          </w:tcPr>
          <w:p w14:paraId="1DE62A8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21F9449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72C8673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0.13 ± 0.01</w:t>
            </w:r>
          </w:p>
        </w:tc>
        <w:tc>
          <w:tcPr>
            <w:tcW w:w="1350" w:type="dxa"/>
            <w:tcBorders>
              <w:top w:val="single" w:sz="4" w:space="0" w:color="auto"/>
              <w:left w:val="nil"/>
              <w:bottom w:val="single" w:sz="4" w:space="0" w:color="auto"/>
              <w:right w:val="single" w:sz="4" w:space="0" w:color="auto"/>
            </w:tcBorders>
          </w:tcPr>
          <w:p w14:paraId="0D2D4C9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1DE087B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348A6DE1"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tcPr>
          <w:p w14:paraId="3B1D8BC1" w14:textId="7777777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 + HYC</w:t>
            </w:r>
          </w:p>
        </w:tc>
        <w:tc>
          <w:tcPr>
            <w:tcW w:w="2545" w:type="dxa"/>
            <w:tcBorders>
              <w:top w:val="nil"/>
              <w:left w:val="nil"/>
              <w:bottom w:val="single" w:sz="4" w:space="0" w:color="auto"/>
              <w:right w:val="single" w:sz="4" w:space="0" w:color="auto"/>
            </w:tcBorders>
            <w:shd w:val="clear" w:color="auto" w:fill="auto"/>
            <w:vAlign w:val="center"/>
          </w:tcPr>
          <w:p w14:paraId="77872ED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4.38 ± 0.31</w:t>
            </w:r>
          </w:p>
        </w:tc>
        <w:tc>
          <w:tcPr>
            <w:tcW w:w="1595" w:type="dxa"/>
            <w:tcBorders>
              <w:top w:val="single" w:sz="4" w:space="0" w:color="auto"/>
              <w:left w:val="nil"/>
              <w:bottom w:val="single" w:sz="4" w:space="0" w:color="auto"/>
              <w:right w:val="single" w:sz="4" w:space="0" w:color="auto"/>
            </w:tcBorders>
          </w:tcPr>
          <w:p w14:paraId="181D1C7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2012" w:type="dxa"/>
            <w:tcBorders>
              <w:top w:val="nil"/>
              <w:left w:val="single" w:sz="4" w:space="0" w:color="auto"/>
              <w:bottom w:val="single" w:sz="4" w:space="0" w:color="auto"/>
              <w:right w:val="single" w:sz="4" w:space="0" w:color="auto"/>
            </w:tcBorders>
            <w:shd w:val="clear" w:color="auto" w:fill="auto"/>
            <w:vAlign w:val="center"/>
          </w:tcPr>
          <w:p w14:paraId="2FD9CEC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408" w:type="dxa"/>
            <w:tcBorders>
              <w:top w:val="nil"/>
              <w:left w:val="nil"/>
              <w:bottom w:val="single" w:sz="4" w:space="0" w:color="auto"/>
              <w:right w:val="single" w:sz="4" w:space="0" w:color="auto"/>
            </w:tcBorders>
            <w:shd w:val="clear" w:color="auto" w:fill="auto"/>
            <w:noWrap/>
            <w:vAlign w:val="bottom"/>
          </w:tcPr>
          <w:p w14:paraId="51DEA86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0.15 ± 0.01</w:t>
            </w:r>
          </w:p>
        </w:tc>
        <w:tc>
          <w:tcPr>
            <w:tcW w:w="1350" w:type="dxa"/>
            <w:tcBorders>
              <w:top w:val="single" w:sz="4" w:space="0" w:color="auto"/>
              <w:left w:val="nil"/>
              <w:bottom w:val="single" w:sz="4" w:space="0" w:color="auto"/>
              <w:right w:val="single" w:sz="4" w:space="0" w:color="auto"/>
            </w:tcBorders>
          </w:tcPr>
          <w:p w14:paraId="65F001F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438731B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w:t>
            </w:r>
          </w:p>
        </w:tc>
      </w:tr>
      <w:tr w:rsidR="009855DF" w:rsidRPr="00875D28" w14:paraId="5613196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62003" w14:textId="10F7E1D5"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2926F3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4.84 ± 0.98</w:t>
            </w:r>
          </w:p>
        </w:tc>
        <w:tc>
          <w:tcPr>
            <w:tcW w:w="1595" w:type="dxa"/>
            <w:tcBorders>
              <w:top w:val="single" w:sz="4" w:space="0" w:color="auto"/>
              <w:left w:val="nil"/>
              <w:bottom w:val="single" w:sz="4" w:space="0" w:color="auto"/>
              <w:right w:val="single" w:sz="4" w:space="0" w:color="auto"/>
            </w:tcBorders>
          </w:tcPr>
          <w:p w14:paraId="565EEC7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-4.07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12A383E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54 % ± 11%</w:t>
            </w:r>
          </w:p>
        </w:tc>
        <w:tc>
          <w:tcPr>
            <w:tcW w:w="1408" w:type="dxa"/>
            <w:tcBorders>
              <w:top w:val="nil"/>
              <w:left w:val="nil"/>
              <w:bottom w:val="single" w:sz="4" w:space="0" w:color="auto"/>
              <w:right w:val="single" w:sz="4" w:space="0" w:color="auto"/>
            </w:tcBorders>
            <w:shd w:val="clear" w:color="auto" w:fill="auto"/>
            <w:noWrap/>
            <w:vAlign w:val="bottom"/>
            <w:hideMark/>
          </w:tcPr>
          <w:p w14:paraId="2607FE8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1BBB363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0.01</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81B9AE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111% ± 12%</w:t>
            </w:r>
          </w:p>
        </w:tc>
      </w:tr>
      <w:tr w:rsidR="009855DF" w:rsidRPr="00875D28" w14:paraId="38F4BA7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1DA16" w14:textId="407156F9"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68D83FC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5.26 ± 0.52</w:t>
            </w:r>
          </w:p>
        </w:tc>
        <w:tc>
          <w:tcPr>
            <w:tcW w:w="1595" w:type="dxa"/>
            <w:tcBorders>
              <w:top w:val="single" w:sz="4" w:space="0" w:color="auto"/>
              <w:left w:val="nil"/>
              <w:bottom w:val="single" w:sz="4" w:space="0" w:color="auto"/>
              <w:right w:val="single" w:sz="4" w:space="0" w:color="auto"/>
            </w:tcBorders>
          </w:tcPr>
          <w:p w14:paraId="4B13A19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-1.17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4B29FD3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82% ± 8%</w:t>
            </w:r>
          </w:p>
        </w:tc>
        <w:tc>
          <w:tcPr>
            <w:tcW w:w="1408" w:type="dxa"/>
            <w:tcBorders>
              <w:top w:val="nil"/>
              <w:left w:val="nil"/>
              <w:bottom w:val="single" w:sz="4" w:space="0" w:color="auto"/>
              <w:right w:val="single" w:sz="4" w:space="0" w:color="auto"/>
            </w:tcBorders>
            <w:shd w:val="clear" w:color="auto" w:fill="auto"/>
            <w:noWrap/>
            <w:vAlign w:val="bottom"/>
            <w:hideMark/>
          </w:tcPr>
          <w:p w14:paraId="24E3C9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51BCA92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-0.03</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DB1CC3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77% ± 8%</w:t>
            </w:r>
          </w:p>
        </w:tc>
      </w:tr>
      <w:tr w:rsidR="009855DF" w:rsidRPr="00875D28" w14:paraId="2FBA0816"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24891" w14:textId="7A62A58B"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2FC6944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4.76 ± 1.67</w:t>
            </w:r>
          </w:p>
        </w:tc>
        <w:tc>
          <w:tcPr>
            <w:tcW w:w="1595" w:type="dxa"/>
            <w:tcBorders>
              <w:top w:val="single" w:sz="4" w:space="0" w:color="auto"/>
              <w:left w:val="nil"/>
              <w:bottom w:val="single" w:sz="4" w:space="0" w:color="auto"/>
              <w:right w:val="single" w:sz="4" w:space="0" w:color="auto"/>
            </w:tcBorders>
          </w:tcPr>
          <w:p w14:paraId="70334B1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-1.33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AD3E53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78% ± 27%</w:t>
            </w:r>
          </w:p>
        </w:tc>
        <w:tc>
          <w:tcPr>
            <w:tcW w:w="1408" w:type="dxa"/>
            <w:tcBorders>
              <w:top w:val="nil"/>
              <w:left w:val="nil"/>
              <w:bottom w:val="single" w:sz="4" w:space="0" w:color="auto"/>
              <w:right w:val="single" w:sz="4" w:space="0" w:color="auto"/>
            </w:tcBorders>
            <w:shd w:val="clear" w:color="auto" w:fill="auto"/>
            <w:noWrap/>
            <w:vAlign w:val="bottom"/>
            <w:hideMark/>
          </w:tcPr>
          <w:p w14:paraId="2E0DCD4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62898D6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-0.04</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201F25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75%  ± 10%</w:t>
            </w:r>
          </w:p>
        </w:tc>
      </w:tr>
      <w:tr w:rsidR="009855DF" w:rsidRPr="00875D28" w14:paraId="21F811D8"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4F4BC" w14:textId="29C24BB0"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pck</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1ABD816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5.06 ± 0.49</w:t>
            </w:r>
          </w:p>
        </w:tc>
        <w:tc>
          <w:tcPr>
            <w:tcW w:w="1595" w:type="dxa"/>
            <w:tcBorders>
              <w:top w:val="single" w:sz="4" w:space="0" w:color="auto"/>
              <w:left w:val="nil"/>
              <w:bottom w:val="single" w:sz="4" w:space="0" w:color="auto"/>
              <w:right w:val="single" w:sz="4" w:space="0" w:color="auto"/>
            </w:tcBorders>
          </w:tcPr>
          <w:p w14:paraId="731918B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0.68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24D6F4D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115% ± 11%</w:t>
            </w:r>
          </w:p>
        </w:tc>
        <w:tc>
          <w:tcPr>
            <w:tcW w:w="1408" w:type="dxa"/>
            <w:tcBorders>
              <w:top w:val="nil"/>
              <w:left w:val="nil"/>
              <w:bottom w:val="single" w:sz="4" w:space="0" w:color="auto"/>
              <w:right w:val="single" w:sz="4" w:space="0" w:color="auto"/>
            </w:tcBorders>
            <w:shd w:val="clear" w:color="auto" w:fill="auto"/>
            <w:noWrap/>
            <w:vAlign w:val="bottom"/>
            <w:hideMark/>
          </w:tcPr>
          <w:p w14:paraId="657B780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4CB9816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3A6683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  ± 8%</w:t>
            </w:r>
          </w:p>
        </w:tc>
      </w:tr>
      <w:tr w:rsidR="009855DF" w:rsidRPr="00875D28" w14:paraId="68DB154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1507A" w14:textId="52EDA64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2D093D5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4.07 ± 2.06</w:t>
            </w:r>
          </w:p>
        </w:tc>
        <w:tc>
          <w:tcPr>
            <w:tcW w:w="1595" w:type="dxa"/>
            <w:tcBorders>
              <w:top w:val="single" w:sz="4" w:space="0" w:color="auto"/>
              <w:left w:val="nil"/>
              <w:bottom w:val="single" w:sz="4" w:space="0" w:color="auto"/>
              <w:right w:val="single" w:sz="4" w:space="0" w:color="auto"/>
            </w:tcBorders>
          </w:tcPr>
          <w:p w14:paraId="56826D4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-4.83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64A7D5C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46% ± 23%</w:t>
            </w:r>
          </w:p>
        </w:tc>
        <w:tc>
          <w:tcPr>
            <w:tcW w:w="1408" w:type="dxa"/>
            <w:tcBorders>
              <w:top w:val="nil"/>
              <w:left w:val="nil"/>
              <w:bottom w:val="single" w:sz="4" w:space="0" w:color="auto"/>
              <w:right w:val="single" w:sz="4" w:space="0" w:color="auto"/>
            </w:tcBorders>
            <w:shd w:val="clear" w:color="auto" w:fill="auto"/>
            <w:noWrap/>
            <w:vAlign w:val="bottom"/>
            <w:hideMark/>
          </w:tcPr>
          <w:p w14:paraId="15C0EC9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25421B2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418720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100%  ± 10%</w:t>
            </w:r>
          </w:p>
        </w:tc>
      </w:tr>
      <w:tr w:rsidR="009855DF" w:rsidRPr="00875D28" w14:paraId="13D32D7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B9750" w14:textId="6C439069"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w:t>
            </w:r>
          </w:p>
        </w:tc>
        <w:tc>
          <w:tcPr>
            <w:tcW w:w="2545" w:type="dxa"/>
            <w:tcBorders>
              <w:top w:val="nil"/>
              <w:left w:val="nil"/>
              <w:bottom w:val="single" w:sz="4" w:space="0" w:color="auto"/>
              <w:right w:val="single" w:sz="4" w:space="0" w:color="auto"/>
            </w:tcBorders>
            <w:shd w:val="clear" w:color="auto" w:fill="auto"/>
            <w:vAlign w:val="center"/>
            <w:hideMark/>
          </w:tcPr>
          <w:p w14:paraId="1878A81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4.62 ± 1.02</w:t>
            </w:r>
          </w:p>
        </w:tc>
        <w:tc>
          <w:tcPr>
            <w:tcW w:w="1595" w:type="dxa"/>
            <w:tcBorders>
              <w:top w:val="single" w:sz="4" w:space="0" w:color="auto"/>
              <w:left w:val="nil"/>
              <w:bottom w:val="single" w:sz="4" w:space="0" w:color="auto"/>
              <w:right w:val="single" w:sz="4" w:space="0" w:color="auto"/>
            </w:tcBorders>
          </w:tcPr>
          <w:p w14:paraId="67D52D8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-1.81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7840969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72% ± 16%</w:t>
            </w:r>
          </w:p>
        </w:tc>
        <w:tc>
          <w:tcPr>
            <w:tcW w:w="1408" w:type="dxa"/>
            <w:tcBorders>
              <w:top w:val="nil"/>
              <w:left w:val="nil"/>
              <w:bottom w:val="single" w:sz="4" w:space="0" w:color="auto"/>
              <w:right w:val="single" w:sz="4" w:space="0" w:color="auto"/>
            </w:tcBorders>
            <w:shd w:val="clear" w:color="auto" w:fill="auto"/>
            <w:noWrap/>
            <w:vAlign w:val="bottom"/>
            <w:hideMark/>
          </w:tcPr>
          <w:p w14:paraId="60DD228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0.09 ± 0.01</w:t>
            </w:r>
          </w:p>
        </w:tc>
        <w:tc>
          <w:tcPr>
            <w:tcW w:w="1350" w:type="dxa"/>
            <w:tcBorders>
              <w:top w:val="single" w:sz="4" w:space="0" w:color="auto"/>
              <w:left w:val="nil"/>
              <w:bottom w:val="single" w:sz="4" w:space="0" w:color="auto"/>
              <w:right w:val="single" w:sz="4" w:space="0" w:color="auto"/>
            </w:tcBorders>
          </w:tcPr>
          <w:p w14:paraId="1E83480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-0.04</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D6EEEF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69%  ± 8%</w:t>
            </w:r>
          </w:p>
        </w:tc>
      </w:tr>
      <w:tr w:rsidR="009855DF" w:rsidRPr="00875D28" w14:paraId="56DBBF3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3E1A2" w14:textId="0CFE7688"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0973CE8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5.92 ± 0.37</w:t>
            </w:r>
          </w:p>
        </w:tc>
        <w:tc>
          <w:tcPr>
            <w:tcW w:w="1595" w:type="dxa"/>
            <w:tcBorders>
              <w:top w:val="single" w:sz="4" w:space="0" w:color="auto"/>
              <w:left w:val="nil"/>
              <w:bottom w:val="single" w:sz="4" w:space="0" w:color="auto"/>
              <w:right w:val="single" w:sz="4" w:space="0" w:color="auto"/>
            </w:tcBorders>
          </w:tcPr>
          <w:p w14:paraId="3AC7FB1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-0.16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24F8BBE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97% ± 6%</w:t>
            </w:r>
          </w:p>
        </w:tc>
        <w:tc>
          <w:tcPr>
            <w:tcW w:w="1408" w:type="dxa"/>
            <w:tcBorders>
              <w:top w:val="nil"/>
              <w:left w:val="nil"/>
              <w:bottom w:val="single" w:sz="4" w:space="0" w:color="auto"/>
              <w:right w:val="single" w:sz="4" w:space="0" w:color="auto"/>
            </w:tcBorders>
            <w:shd w:val="clear" w:color="auto" w:fill="auto"/>
            <w:noWrap/>
            <w:vAlign w:val="bottom"/>
            <w:hideMark/>
          </w:tcPr>
          <w:p w14:paraId="754E8F1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0.07 ± 0.01</w:t>
            </w:r>
          </w:p>
        </w:tc>
        <w:tc>
          <w:tcPr>
            <w:tcW w:w="1350" w:type="dxa"/>
            <w:tcBorders>
              <w:top w:val="single" w:sz="4" w:space="0" w:color="auto"/>
              <w:left w:val="nil"/>
              <w:bottom w:val="single" w:sz="4" w:space="0" w:color="auto"/>
              <w:right w:val="single" w:sz="4" w:space="0" w:color="auto"/>
            </w:tcBorders>
          </w:tcPr>
          <w:p w14:paraId="61D492A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30B62D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58%  ± 10%</w:t>
            </w:r>
          </w:p>
        </w:tc>
      </w:tr>
      <w:tr w:rsidR="009855DF" w:rsidRPr="00875D28" w14:paraId="784BA107"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2F359" w14:textId="307A52A7"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dme</w:t>
            </w:r>
            <w:proofErr w:type="spellEnd"/>
            <w:r w:rsidRPr="00875D28">
              <w:rPr>
                <w:rFonts w:eastAsia="Times New Roman" w:cs="Arial"/>
                <w:i/>
                <w:iCs/>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vAlign w:val="center"/>
            <w:hideMark/>
          </w:tcPr>
          <w:p w14:paraId="6E7E85C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6.01 ± 0.76</w:t>
            </w:r>
          </w:p>
        </w:tc>
        <w:tc>
          <w:tcPr>
            <w:tcW w:w="1595" w:type="dxa"/>
            <w:tcBorders>
              <w:top w:val="single" w:sz="4" w:space="0" w:color="auto"/>
              <w:left w:val="nil"/>
              <w:bottom w:val="single" w:sz="4" w:space="0" w:color="auto"/>
              <w:right w:val="single" w:sz="4" w:space="0" w:color="auto"/>
            </w:tcBorders>
          </w:tcPr>
          <w:p w14:paraId="06DF2B7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1.63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14:paraId="3A92432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137% ± 17%</w:t>
            </w:r>
          </w:p>
        </w:tc>
        <w:tc>
          <w:tcPr>
            <w:tcW w:w="1408" w:type="dxa"/>
            <w:tcBorders>
              <w:top w:val="nil"/>
              <w:left w:val="nil"/>
              <w:bottom w:val="single" w:sz="4" w:space="0" w:color="auto"/>
              <w:right w:val="single" w:sz="4" w:space="0" w:color="auto"/>
            </w:tcBorders>
            <w:shd w:val="clear" w:color="auto" w:fill="auto"/>
            <w:noWrap/>
            <w:vAlign w:val="bottom"/>
            <w:hideMark/>
          </w:tcPr>
          <w:p w14:paraId="1827E6DF"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4DD0C47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-0.05</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D0DDFB2"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67%  ± 7%</w:t>
            </w:r>
          </w:p>
        </w:tc>
      </w:tr>
      <w:tr w:rsidR="009855DF" w:rsidRPr="00875D28" w14:paraId="205BF31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D82EE" w14:textId="75645178"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iCs/>
                <w:color w:val="000000"/>
                <w:szCs w:val="20"/>
              </w:rPr>
              <w:t>pyk</w:t>
            </w:r>
            <w:proofErr w:type="spellEnd"/>
            <w:r w:rsidRPr="00875D28">
              <w:rPr>
                <w:rFonts w:eastAsia="Times New Roman" w:cs="Arial"/>
                <w:color w:val="000000"/>
                <w:szCs w:val="20"/>
              </w:rPr>
              <w:t xml:space="preserve"> + HY</w:t>
            </w:r>
          </w:p>
        </w:tc>
        <w:tc>
          <w:tcPr>
            <w:tcW w:w="2545" w:type="dxa"/>
            <w:tcBorders>
              <w:top w:val="nil"/>
              <w:left w:val="nil"/>
              <w:bottom w:val="single" w:sz="4" w:space="0" w:color="auto"/>
              <w:right w:val="single" w:sz="4" w:space="0" w:color="auto"/>
            </w:tcBorders>
            <w:shd w:val="clear" w:color="auto" w:fill="auto"/>
            <w:noWrap/>
            <w:vAlign w:val="bottom"/>
            <w:hideMark/>
          </w:tcPr>
          <w:p w14:paraId="6C44A1D3"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7.77 ± 0.45</w:t>
            </w:r>
          </w:p>
        </w:tc>
        <w:tc>
          <w:tcPr>
            <w:tcW w:w="1595" w:type="dxa"/>
            <w:tcBorders>
              <w:top w:val="single" w:sz="4" w:space="0" w:color="auto"/>
              <w:left w:val="nil"/>
              <w:bottom w:val="single" w:sz="4" w:space="0" w:color="auto"/>
              <w:right w:val="single" w:sz="4" w:space="0" w:color="auto"/>
            </w:tcBorders>
          </w:tcPr>
          <w:p w14:paraId="200112CA"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-1.13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643AA1E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87%  ± 6%</w:t>
            </w:r>
          </w:p>
        </w:tc>
        <w:tc>
          <w:tcPr>
            <w:tcW w:w="1408" w:type="dxa"/>
            <w:tcBorders>
              <w:top w:val="nil"/>
              <w:left w:val="nil"/>
              <w:bottom w:val="single" w:sz="4" w:space="0" w:color="auto"/>
              <w:right w:val="single" w:sz="4" w:space="0" w:color="auto"/>
            </w:tcBorders>
            <w:shd w:val="clear" w:color="auto" w:fill="auto"/>
            <w:noWrap/>
            <w:vAlign w:val="bottom"/>
            <w:hideMark/>
          </w:tcPr>
          <w:p w14:paraId="38610E0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7E64F657"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0.01</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24B5DD9"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108% ± 6%</w:t>
            </w:r>
          </w:p>
        </w:tc>
      </w:tr>
      <w:tr w:rsidR="009855DF" w:rsidRPr="00875D28" w14:paraId="664B6738"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8DDF3" w14:textId="4550EB9B"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color w:val="000000"/>
                <w:szCs w:val="20"/>
              </w:rPr>
              <w:t xml:space="preserve"> + HY</w:t>
            </w:r>
          </w:p>
        </w:tc>
        <w:tc>
          <w:tcPr>
            <w:tcW w:w="2545" w:type="dxa"/>
            <w:tcBorders>
              <w:top w:val="nil"/>
              <w:left w:val="nil"/>
              <w:bottom w:val="single" w:sz="4" w:space="0" w:color="auto"/>
              <w:right w:val="single" w:sz="4" w:space="0" w:color="auto"/>
            </w:tcBorders>
            <w:shd w:val="clear" w:color="auto" w:fill="auto"/>
            <w:noWrap/>
            <w:vAlign w:val="bottom"/>
            <w:hideMark/>
          </w:tcPr>
          <w:p w14:paraId="57B766A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6.30 ± 0.17</w:t>
            </w:r>
          </w:p>
        </w:tc>
        <w:tc>
          <w:tcPr>
            <w:tcW w:w="1595" w:type="dxa"/>
            <w:tcBorders>
              <w:top w:val="single" w:sz="4" w:space="0" w:color="auto"/>
              <w:left w:val="nil"/>
              <w:bottom w:val="single" w:sz="4" w:space="0" w:color="auto"/>
              <w:right w:val="single" w:sz="4" w:space="0" w:color="auto"/>
            </w:tcBorders>
          </w:tcPr>
          <w:p w14:paraId="31EAEBE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-0.14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1C69648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98%  ± 4%</w:t>
            </w:r>
          </w:p>
        </w:tc>
        <w:tc>
          <w:tcPr>
            <w:tcW w:w="1408" w:type="dxa"/>
            <w:tcBorders>
              <w:top w:val="nil"/>
              <w:left w:val="nil"/>
              <w:bottom w:val="single" w:sz="4" w:space="0" w:color="auto"/>
              <w:right w:val="single" w:sz="4" w:space="0" w:color="auto"/>
            </w:tcBorders>
            <w:shd w:val="clear" w:color="auto" w:fill="auto"/>
            <w:noWrap/>
            <w:vAlign w:val="bottom"/>
            <w:hideMark/>
          </w:tcPr>
          <w:p w14:paraId="12422D7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0.06 ± 0.01</w:t>
            </w:r>
          </w:p>
        </w:tc>
        <w:tc>
          <w:tcPr>
            <w:tcW w:w="1350" w:type="dxa"/>
            <w:tcBorders>
              <w:top w:val="single" w:sz="4" w:space="0" w:color="auto"/>
              <w:left w:val="nil"/>
              <w:bottom w:val="single" w:sz="4" w:space="0" w:color="auto"/>
              <w:right w:val="single" w:sz="4" w:space="0" w:color="auto"/>
            </w:tcBorders>
          </w:tcPr>
          <w:p w14:paraId="0FD6FE55"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-0.07</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5E7BD0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44.9% ± 6%</w:t>
            </w:r>
          </w:p>
        </w:tc>
      </w:tr>
      <w:tr w:rsidR="009855DF" w:rsidRPr="00875D28" w14:paraId="082297B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3B997" w14:textId="08C4B7F5"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LL: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i/>
                <w:color w:val="000000"/>
                <w:szCs w:val="20"/>
              </w:rPr>
              <w:t xml:space="preserve"> </w:t>
            </w:r>
            <w:r w:rsidRPr="00875D28">
              <w:rPr>
                <w:rFonts w:eastAsia="Times New Roman" w:cs="Arial"/>
                <w:color w:val="000000"/>
                <w:szCs w:val="20"/>
              </w:rPr>
              <w:t>+ HYC</w:t>
            </w:r>
          </w:p>
        </w:tc>
        <w:tc>
          <w:tcPr>
            <w:tcW w:w="2545" w:type="dxa"/>
            <w:tcBorders>
              <w:top w:val="nil"/>
              <w:left w:val="nil"/>
              <w:bottom w:val="single" w:sz="4" w:space="0" w:color="auto"/>
              <w:right w:val="single" w:sz="4" w:space="0" w:color="auto"/>
            </w:tcBorders>
            <w:shd w:val="clear" w:color="auto" w:fill="auto"/>
            <w:noWrap/>
            <w:vAlign w:val="bottom"/>
            <w:hideMark/>
          </w:tcPr>
          <w:p w14:paraId="70B3C56C"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7.60 ± 0.56</w:t>
            </w:r>
          </w:p>
        </w:tc>
        <w:tc>
          <w:tcPr>
            <w:tcW w:w="1595" w:type="dxa"/>
            <w:tcBorders>
              <w:top w:val="single" w:sz="4" w:space="0" w:color="auto"/>
              <w:left w:val="nil"/>
              <w:bottom w:val="single" w:sz="4" w:space="0" w:color="auto"/>
              <w:right w:val="single" w:sz="4" w:space="0" w:color="auto"/>
            </w:tcBorders>
          </w:tcPr>
          <w:p w14:paraId="3BA9ABE8"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1.51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7734BDD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125% ± 8%</w:t>
            </w:r>
          </w:p>
        </w:tc>
        <w:tc>
          <w:tcPr>
            <w:tcW w:w="1408" w:type="dxa"/>
            <w:tcBorders>
              <w:top w:val="nil"/>
              <w:left w:val="nil"/>
              <w:bottom w:val="single" w:sz="4" w:space="0" w:color="auto"/>
              <w:right w:val="single" w:sz="4" w:space="0" w:color="auto"/>
            </w:tcBorders>
            <w:shd w:val="clear" w:color="auto" w:fill="auto"/>
            <w:noWrap/>
            <w:vAlign w:val="bottom"/>
            <w:hideMark/>
          </w:tcPr>
          <w:p w14:paraId="3D64DEA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0.11 ± 0.01</w:t>
            </w:r>
          </w:p>
        </w:tc>
        <w:tc>
          <w:tcPr>
            <w:tcW w:w="1350" w:type="dxa"/>
            <w:tcBorders>
              <w:top w:val="single" w:sz="4" w:space="0" w:color="auto"/>
              <w:left w:val="nil"/>
              <w:bottom w:val="single" w:sz="4" w:space="0" w:color="auto"/>
              <w:right w:val="single" w:sz="4" w:space="0" w:color="auto"/>
            </w:tcBorders>
          </w:tcPr>
          <w:p w14:paraId="61BE101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-0.02</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37D473B"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86% ± 10%</w:t>
            </w:r>
          </w:p>
        </w:tc>
      </w:tr>
      <w:tr w:rsidR="009855DF" w:rsidRPr="00875D28" w14:paraId="27BF6653" w14:textId="77777777" w:rsidTr="009855DF">
        <w:trPr>
          <w:divId w:val="1326516459"/>
          <w:trHeight w:val="300"/>
        </w:trPr>
        <w:tc>
          <w:tcPr>
            <w:tcW w:w="20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26BC5" w14:textId="38AE430E" w:rsidR="009855DF" w:rsidRPr="00875D28" w:rsidRDefault="009855DF" w:rsidP="006D7FDC">
            <w:pPr>
              <w:spacing w:line="240" w:lineRule="auto"/>
              <w:rPr>
                <w:rFonts w:eastAsia="Times New Roman" w:cs="Arial"/>
                <w:color w:val="000000"/>
                <w:szCs w:val="20"/>
              </w:rPr>
            </w:pPr>
            <w:r w:rsidRPr="00875D28">
              <w:rPr>
                <w:rFonts w:eastAsia="Times New Roman" w:cs="Arial"/>
                <w:color w:val="000000"/>
                <w:szCs w:val="20"/>
              </w:rPr>
              <w:t>VL:</w:t>
            </w:r>
            <w:r w:rsidR="007F7772" w:rsidRPr="007C64F7">
              <w:rPr>
                <w:rFonts w:cs="Arial"/>
                <w:color w:val="000000"/>
                <w:szCs w:val="20"/>
              </w:rPr>
              <w:t xml:space="preserve"> </w:t>
            </w:r>
            <w:proofErr w:type="spellStart"/>
            <w:r w:rsidR="007F7772" w:rsidRPr="007C64F7">
              <w:rPr>
                <w:rFonts w:cs="Arial"/>
                <w:color w:val="000000"/>
                <w:szCs w:val="20"/>
              </w:rPr>
              <w:t>Δ</w:t>
            </w:r>
            <w:r w:rsidRPr="00875D28">
              <w:rPr>
                <w:rFonts w:eastAsia="Times New Roman" w:cs="Arial"/>
                <w:i/>
                <w:color w:val="000000"/>
                <w:szCs w:val="20"/>
              </w:rPr>
              <w:t>pyk</w:t>
            </w:r>
            <w:proofErr w:type="spellEnd"/>
            <w:r w:rsidRPr="00875D28">
              <w:rPr>
                <w:rFonts w:eastAsia="Times New Roman" w:cs="Arial"/>
                <w:color w:val="000000"/>
                <w:szCs w:val="20"/>
              </w:rPr>
              <w:t xml:space="preserve"> + HYC</w:t>
            </w:r>
          </w:p>
        </w:tc>
        <w:tc>
          <w:tcPr>
            <w:tcW w:w="2545" w:type="dxa"/>
            <w:tcBorders>
              <w:top w:val="nil"/>
              <w:left w:val="nil"/>
              <w:bottom w:val="single" w:sz="4" w:space="0" w:color="auto"/>
              <w:right w:val="single" w:sz="4" w:space="0" w:color="auto"/>
            </w:tcBorders>
            <w:shd w:val="clear" w:color="auto" w:fill="auto"/>
            <w:noWrap/>
            <w:vAlign w:val="bottom"/>
            <w:hideMark/>
          </w:tcPr>
          <w:p w14:paraId="6D8D31D1"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6.63 ± 1.14</w:t>
            </w:r>
          </w:p>
        </w:tc>
        <w:tc>
          <w:tcPr>
            <w:tcW w:w="1595" w:type="dxa"/>
            <w:tcBorders>
              <w:top w:val="single" w:sz="4" w:space="0" w:color="auto"/>
              <w:left w:val="nil"/>
              <w:bottom w:val="single" w:sz="4" w:space="0" w:color="auto"/>
              <w:right w:val="single" w:sz="4" w:space="0" w:color="auto"/>
            </w:tcBorders>
          </w:tcPr>
          <w:p w14:paraId="5CBD032E"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 xml:space="preserve">2.25 </w:t>
            </w:r>
          </w:p>
        </w:tc>
        <w:tc>
          <w:tcPr>
            <w:tcW w:w="2012" w:type="dxa"/>
            <w:tcBorders>
              <w:top w:val="nil"/>
              <w:left w:val="single" w:sz="4" w:space="0" w:color="auto"/>
              <w:bottom w:val="single" w:sz="4" w:space="0" w:color="auto"/>
              <w:right w:val="single" w:sz="4" w:space="0" w:color="auto"/>
            </w:tcBorders>
            <w:shd w:val="clear" w:color="auto" w:fill="auto"/>
            <w:noWrap/>
            <w:vAlign w:val="bottom"/>
            <w:hideMark/>
          </w:tcPr>
          <w:p w14:paraId="5A2FD6E6"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151% ± 17%</w:t>
            </w:r>
          </w:p>
        </w:tc>
        <w:tc>
          <w:tcPr>
            <w:tcW w:w="1408" w:type="dxa"/>
            <w:tcBorders>
              <w:top w:val="nil"/>
              <w:left w:val="nil"/>
              <w:bottom w:val="single" w:sz="4" w:space="0" w:color="auto"/>
              <w:right w:val="single" w:sz="4" w:space="0" w:color="auto"/>
            </w:tcBorders>
            <w:shd w:val="clear" w:color="auto" w:fill="auto"/>
            <w:noWrap/>
            <w:vAlign w:val="bottom"/>
            <w:hideMark/>
          </w:tcPr>
          <w:p w14:paraId="78541190"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0.10 ± 0.01</w:t>
            </w:r>
          </w:p>
        </w:tc>
        <w:tc>
          <w:tcPr>
            <w:tcW w:w="1350" w:type="dxa"/>
            <w:tcBorders>
              <w:top w:val="single" w:sz="4" w:space="0" w:color="auto"/>
              <w:left w:val="nil"/>
              <w:bottom w:val="single" w:sz="4" w:space="0" w:color="auto"/>
              <w:right w:val="single" w:sz="4" w:space="0" w:color="auto"/>
            </w:tcBorders>
          </w:tcPr>
          <w:p w14:paraId="4C32C39D"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-0.05</w:t>
            </w:r>
          </w:p>
        </w:tc>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2873314" w14:textId="77777777" w:rsidR="009855DF" w:rsidRPr="00875D28" w:rsidRDefault="009855DF" w:rsidP="006D7FDC">
            <w:pPr>
              <w:spacing w:line="240" w:lineRule="auto"/>
              <w:jc w:val="center"/>
              <w:rPr>
                <w:rFonts w:eastAsia="Times New Roman" w:cs="Arial"/>
                <w:color w:val="000000"/>
                <w:szCs w:val="20"/>
              </w:rPr>
            </w:pPr>
            <w:r w:rsidRPr="00875D28">
              <w:rPr>
                <w:rFonts w:eastAsia="Times New Roman" w:cs="Arial"/>
                <w:color w:val="000000"/>
                <w:szCs w:val="20"/>
              </w:rPr>
              <w:t>63% ± 10%</w:t>
            </w:r>
          </w:p>
        </w:tc>
      </w:tr>
    </w:tbl>
    <w:p w14:paraId="457437C1" w14:textId="77777777" w:rsidR="00D551DE" w:rsidRDefault="00D551DE" w:rsidP="007C64F7">
      <w:pPr>
        <w:pStyle w:val="Caption"/>
        <w:divId w:val="1326516459"/>
      </w:pPr>
    </w:p>
    <w:p w14:paraId="74C552BE" w14:textId="45461144" w:rsidR="009855DF" w:rsidRPr="007C64F7" w:rsidRDefault="009855DF" w:rsidP="007C64F7">
      <w:pPr>
        <w:pStyle w:val="Caption"/>
        <w:divId w:val="1326516459"/>
      </w:pPr>
      <w:r w:rsidRPr="007C64F7">
        <w:lastRenderedPageBreak/>
        <w:t>Table 2</w:t>
      </w:r>
      <w:r w:rsidR="003A53F3">
        <w:t>.2</w:t>
      </w:r>
      <w:r w:rsidRPr="007C64F7">
        <w:t xml:space="preserve"> Strains and plasmid</w:t>
      </w:r>
    </w:p>
    <w:tbl>
      <w:tblPr>
        <w:tblW w:w="12660" w:type="dxa"/>
        <w:tblInd w:w="108" w:type="dxa"/>
        <w:tblLook w:val="0420" w:firstRow="1" w:lastRow="0" w:firstColumn="0" w:lastColumn="0" w:noHBand="0" w:noVBand="1"/>
      </w:tblPr>
      <w:tblGrid>
        <w:gridCol w:w="1640"/>
        <w:gridCol w:w="7630"/>
        <w:gridCol w:w="3390"/>
      </w:tblGrid>
      <w:tr w:rsidR="009855DF" w:rsidRPr="007C64F7" w14:paraId="5A9D733C" w14:textId="77777777" w:rsidTr="009855DF">
        <w:trPr>
          <w:divId w:val="1326516459"/>
          <w:trHeight w:val="320"/>
        </w:trPr>
        <w:tc>
          <w:tcPr>
            <w:tcW w:w="1640" w:type="dxa"/>
            <w:tcBorders>
              <w:top w:val="single" w:sz="8" w:space="0" w:color="000000"/>
              <w:left w:val="nil"/>
              <w:bottom w:val="single" w:sz="8" w:space="0" w:color="000000"/>
              <w:right w:val="nil"/>
            </w:tcBorders>
            <w:shd w:val="clear" w:color="auto" w:fill="auto"/>
            <w:vAlign w:val="center"/>
            <w:hideMark/>
          </w:tcPr>
          <w:p w14:paraId="510445FF"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Strain</w:t>
            </w:r>
          </w:p>
        </w:tc>
        <w:tc>
          <w:tcPr>
            <w:tcW w:w="7630" w:type="dxa"/>
            <w:tcBorders>
              <w:top w:val="single" w:sz="8" w:space="0" w:color="000000"/>
              <w:left w:val="nil"/>
              <w:bottom w:val="single" w:sz="8" w:space="0" w:color="000000"/>
              <w:right w:val="nil"/>
            </w:tcBorders>
            <w:shd w:val="clear" w:color="auto" w:fill="auto"/>
            <w:vAlign w:val="center"/>
            <w:hideMark/>
          </w:tcPr>
          <w:p w14:paraId="2BFE34F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 xml:space="preserve">Plasmid/Genotype </w:t>
            </w:r>
            <w:r w:rsidRPr="007C64F7">
              <w:rPr>
                <w:rFonts w:eastAsia="Times New Roman" w:cs="Arial"/>
                <w:color w:val="000000"/>
                <w:szCs w:val="20"/>
                <w:vertAlign w:val="superscript"/>
              </w:rPr>
              <w:t>*</w:t>
            </w:r>
          </w:p>
        </w:tc>
        <w:tc>
          <w:tcPr>
            <w:tcW w:w="3390" w:type="dxa"/>
            <w:tcBorders>
              <w:top w:val="single" w:sz="8" w:space="0" w:color="000000"/>
              <w:left w:val="nil"/>
              <w:bottom w:val="single" w:sz="8" w:space="0" w:color="000000"/>
              <w:right w:val="nil"/>
            </w:tcBorders>
            <w:shd w:val="clear" w:color="auto" w:fill="auto"/>
            <w:vAlign w:val="center"/>
            <w:hideMark/>
          </w:tcPr>
          <w:p w14:paraId="5242755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Reference</w:t>
            </w:r>
          </w:p>
        </w:tc>
      </w:tr>
      <w:tr w:rsidR="009855DF" w:rsidRPr="007C64F7" w14:paraId="104C9552" w14:textId="77777777" w:rsidTr="009855DF">
        <w:trPr>
          <w:divId w:val="1326516459"/>
          <w:trHeight w:val="300"/>
        </w:trPr>
        <w:tc>
          <w:tcPr>
            <w:tcW w:w="1640" w:type="dxa"/>
            <w:tcBorders>
              <w:top w:val="nil"/>
              <w:left w:val="nil"/>
              <w:bottom w:val="nil"/>
              <w:right w:val="nil"/>
            </w:tcBorders>
            <w:shd w:val="clear" w:color="auto" w:fill="auto"/>
            <w:vAlign w:val="center"/>
            <w:hideMark/>
          </w:tcPr>
          <w:p w14:paraId="655AA7B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
        </w:tc>
        <w:tc>
          <w:tcPr>
            <w:tcW w:w="7630" w:type="dxa"/>
            <w:tcBorders>
              <w:top w:val="nil"/>
              <w:left w:val="nil"/>
              <w:bottom w:val="nil"/>
              <w:right w:val="nil"/>
            </w:tcBorders>
            <w:shd w:val="clear" w:color="auto" w:fill="auto"/>
            <w:vAlign w:val="center"/>
            <w:hideMark/>
          </w:tcPr>
          <w:p w14:paraId="61E0753D"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Rif derivative</w:t>
            </w:r>
          </w:p>
        </w:tc>
        <w:tc>
          <w:tcPr>
            <w:tcW w:w="3390" w:type="dxa"/>
            <w:tcBorders>
              <w:top w:val="nil"/>
              <w:left w:val="nil"/>
              <w:bottom w:val="nil"/>
              <w:right w:val="nil"/>
            </w:tcBorders>
            <w:shd w:val="clear" w:color="auto" w:fill="auto"/>
            <w:vAlign w:val="center"/>
            <w:hideMark/>
          </w:tcPr>
          <w:p w14:paraId="7AFE7E9F"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M.Lidstrom</w:t>
            </w:r>
            <w:proofErr w:type="spellEnd"/>
          </w:p>
        </w:tc>
      </w:tr>
      <w:tr w:rsidR="009855DF" w:rsidRPr="007C64F7" w14:paraId="0B8889AE" w14:textId="77777777" w:rsidTr="009855DF">
        <w:trPr>
          <w:divId w:val="1326516459"/>
          <w:trHeight w:val="300"/>
        </w:trPr>
        <w:tc>
          <w:tcPr>
            <w:tcW w:w="1640" w:type="dxa"/>
            <w:tcBorders>
              <w:top w:val="nil"/>
              <w:left w:val="nil"/>
              <w:bottom w:val="nil"/>
              <w:right w:val="nil"/>
            </w:tcBorders>
            <w:shd w:val="clear" w:color="auto" w:fill="auto"/>
            <w:vAlign w:val="center"/>
            <w:hideMark/>
          </w:tcPr>
          <w:p w14:paraId="6509327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VL</w:t>
            </w:r>
          </w:p>
        </w:tc>
        <w:tc>
          <w:tcPr>
            <w:tcW w:w="7630" w:type="dxa"/>
            <w:tcBorders>
              <w:top w:val="nil"/>
              <w:left w:val="nil"/>
              <w:bottom w:val="nil"/>
              <w:right w:val="nil"/>
            </w:tcBorders>
            <w:shd w:val="clear" w:color="auto" w:fill="auto"/>
            <w:vAlign w:val="center"/>
            <w:hideMark/>
          </w:tcPr>
          <w:p w14:paraId="2CE3057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Rif derivative</w:t>
            </w:r>
          </w:p>
        </w:tc>
        <w:tc>
          <w:tcPr>
            <w:tcW w:w="3390" w:type="dxa"/>
            <w:tcBorders>
              <w:top w:val="nil"/>
              <w:left w:val="nil"/>
              <w:bottom w:val="nil"/>
              <w:right w:val="nil"/>
            </w:tcBorders>
            <w:shd w:val="clear" w:color="auto" w:fill="auto"/>
            <w:vAlign w:val="center"/>
            <w:hideMark/>
          </w:tcPr>
          <w:p w14:paraId="1C5532BF"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J.Vorholt</w:t>
            </w:r>
            <w:proofErr w:type="spellEnd"/>
          </w:p>
        </w:tc>
      </w:tr>
      <w:tr w:rsidR="009855DF" w:rsidRPr="007C64F7" w14:paraId="248F0639"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101685D8"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FYF1</w:t>
            </w:r>
          </w:p>
        </w:tc>
        <w:tc>
          <w:tcPr>
            <w:tcW w:w="7630" w:type="dxa"/>
            <w:tcBorders>
              <w:top w:val="nil"/>
              <w:left w:val="nil"/>
              <w:bottom w:val="nil"/>
              <w:right w:val="nil"/>
            </w:tcBorders>
            <w:shd w:val="clear" w:color="auto" w:fill="auto"/>
            <w:vAlign w:val="center"/>
            <w:hideMark/>
          </w:tcPr>
          <w:p w14:paraId="4B197AB2"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roofErr w:type="spellStart"/>
            <w:r w:rsidRPr="007C64F7">
              <w:rPr>
                <w:rFonts w:cs="Arial"/>
                <w:color w:val="000000"/>
                <w:szCs w:val="20"/>
              </w:rPr>
              <w:t>Δ</w:t>
            </w:r>
            <w:r w:rsidRPr="007C64F7">
              <w:rPr>
                <w:rFonts w:eastAsia="Times New Roman" w:cs="Arial"/>
                <w:i/>
                <w:iCs/>
                <w:color w:val="000000"/>
                <w:szCs w:val="20"/>
              </w:rPr>
              <w:t>dme</w:t>
            </w:r>
            <w:proofErr w:type="spellEnd"/>
          </w:p>
        </w:tc>
        <w:tc>
          <w:tcPr>
            <w:tcW w:w="3390" w:type="dxa"/>
            <w:tcBorders>
              <w:top w:val="nil"/>
              <w:left w:val="nil"/>
              <w:bottom w:val="nil"/>
              <w:right w:val="nil"/>
            </w:tcBorders>
            <w:shd w:val="clear" w:color="auto" w:fill="auto"/>
            <w:vAlign w:val="center"/>
            <w:hideMark/>
          </w:tcPr>
          <w:p w14:paraId="2B84E697"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4A1E42D7"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1DEE8A9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FYF2</w:t>
            </w:r>
          </w:p>
        </w:tc>
        <w:tc>
          <w:tcPr>
            <w:tcW w:w="7630" w:type="dxa"/>
            <w:tcBorders>
              <w:top w:val="nil"/>
              <w:left w:val="nil"/>
              <w:bottom w:val="nil"/>
              <w:right w:val="nil"/>
            </w:tcBorders>
            <w:shd w:val="clear" w:color="auto" w:fill="auto"/>
            <w:vAlign w:val="center"/>
            <w:hideMark/>
          </w:tcPr>
          <w:p w14:paraId="6348243D" w14:textId="77777777" w:rsidR="009855DF" w:rsidRPr="007C64F7" w:rsidRDefault="009855DF" w:rsidP="006D7FDC">
            <w:pPr>
              <w:spacing w:line="240" w:lineRule="auto"/>
              <w:rPr>
                <w:rFonts w:eastAsia="Times New Roman" w:cs="Arial"/>
                <w:color w:val="000000"/>
                <w:szCs w:val="20"/>
              </w:rPr>
            </w:pPr>
            <w:proofErr w:type="spellStart"/>
            <w:r w:rsidRPr="007C64F7">
              <w:rPr>
                <w:rFonts w:eastAsia="Times New Roman" w:cs="Arial"/>
                <w:color w:val="000000"/>
                <w:szCs w:val="20"/>
              </w:rPr>
              <w:t>VL:</w:t>
            </w:r>
            <w:r w:rsidRPr="007C64F7">
              <w:rPr>
                <w:rFonts w:cs="Arial"/>
                <w:color w:val="000000"/>
                <w:szCs w:val="20"/>
              </w:rPr>
              <w:t>Δ</w:t>
            </w:r>
            <w:r w:rsidRPr="007C64F7">
              <w:rPr>
                <w:rFonts w:eastAsia="Times New Roman" w:cs="Arial"/>
                <w:i/>
                <w:iCs/>
                <w:color w:val="000000"/>
                <w:szCs w:val="20"/>
              </w:rPr>
              <w:t>dme</w:t>
            </w:r>
            <w:proofErr w:type="spellEnd"/>
          </w:p>
        </w:tc>
        <w:tc>
          <w:tcPr>
            <w:tcW w:w="3390" w:type="dxa"/>
            <w:tcBorders>
              <w:top w:val="nil"/>
              <w:left w:val="nil"/>
              <w:bottom w:val="nil"/>
              <w:right w:val="nil"/>
            </w:tcBorders>
            <w:shd w:val="clear" w:color="auto" w:fill="auto"/>
            <w:vAlign w:val="center"/>
            <w:hideMark/>
          </w:tcPr>
          <w:p w14:paraId="61A32062"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0B3DCD1F" w14:textId="77777777" w:rsidTr="009855DF">
        <w:trPr>
          <w:divId w:val="1326516459"/>
          <w:trHeight w:val="360"/>
        </w:trPr>
        <w:tc>
          <w:tcPr>
            <w:tcW w:w="1640" w:type="dxa"/>
            <w:tcBorders>
              <w:top w:val="nil"/>
              <w:left w:val="nil"/>
              <w:bottom w:val="nil"/>
              <w:right w:val="nil"/>
            </w:tcBorders>
            <w:shd w:val="clear" w:color="auto" w:fill="auto"/>
            <w:vAlign w:val="center"/>
            <w:hideMark/>
          </w:tcPr>
          <w:p w14:paraId="05F719E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FYF3</w:t>
            </w:r>
          </w:p>
        </w:tc>
        <w:tc>
          <w:tcPr>
            <w:tcW w:w="7630" w:type="dxa"/>
            <w:tcBorders>
              <w:top w:val="nil"/>
              <w:left w:val="nil"/>
              <w:bottom w:val="nil"/>
              <w:right w:val="nil"/>
            </w:tcBorders>
            <w:shd w:val="clear" w:color="auto" w:fill="auto"/>
            <w:vAlign w:val="center"/>
            <w:hideMark/>
          </w:tcPr>
          <w:p w14:paraId="73A8BC87"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LL::</w:t>
            </w:r>
            <w:proofErr w:type="spellStart"/>
            <w:r w:rsidRPr="007C64F7">
              <w:rPr>
                <w:rFonts w:cs="Arial"/>
                <w:color w:val="000000"/>
                <w:szCs w:val="20"/>
              </w:rPr>
              <w:t>Δ</w:t>
            </w:r>
            <w:r w:rsidRPr="007C64F7">
              <w:rPr>
                <w:rFonts w:eastAsia="Times New Roman" w:cs="Arial"/>
                <w:i/>
                <w:iCs/>
                <w:color w:val="000000"/>
                <w:szCs w:val="20"/>
              </w:rPr>
              <w:t>pck</w:t>
            </w:r>
            <w:proofErr w:type="spellEnd"/>
          </w:p>
        </w:tc>
        <w:tc>
          <w:tcPr>
            <w:tcW w:w="3390" w:type="dxa"/>
            <w:tcBorders>
              <w:top w:val="nil"/>
              <w:left w:val="nil"/>
              <w:bottom w:val="nil"/>
              <w:right w:val="nil"/>
            </w:tcBorders>
            <w:shd w:val="clear" w:color="auto" w:fill="auto"/>
            <w:vAlign w:val="center"/>
            <w:hideMark/>
          </w:tcPr>
          <w:p w14:paraId="2B55878C"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5EE85152" w14:textId="77777777" w:rsidTr="009855DF">
        <w:trPr>
          <w:divId w:val="1326516459"/>
          <w:trHeight w:val="380"/>
        </w:trPr>
        <w:tc>
          <w:tcPr>
            <w:tcW w:w="1640" w:type="dxa"/>
            <w:tcBorders>
              <w:top w:val="nil"/>
              <w:left w:val="nil"/>
              <w:bottom w:val="nil"/>
              <w:right w:val="nil"/>
            </w:tcBorders>
            <w:shd w:val="clear" w:color="auto" w:fill="auto"/>
            <w:vAlign w:val="center"/>
            <w:hideMark/>
          </w:tcPr>
          <w:p w14:paraId="5CF2C7C5"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FYF4</w:t>
            </w:r>
          </w:p>
        </w:tc>
        <w:tc>
          <w:tcPr>
            <w:tcW w:w="7630" w:type="dxa"/>
            <w:tcBorders>
              <w:top w:val="nil"/>
              <w:left w:val="nil"/>
              <w:bottom w:val="nil"/>
              <w:right w:val="nil"/>
            </w:tcBorders>
            <w:shd w:val="clear" w:color="auto" w:fill="auto"/>
            <w:vAlign w:val="center"/>
            <w:hideMark/>
          </w:tcPr>
          <w:p w14:paraId="68E6C288"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VL::</w:t>
            </w:r>
            <w:proofErr w:type="spellStart"/>
            <w:r w:rsidRPr="007C64F7">
              <w:rPr>
                <w:rFonts w:cs="Arial"/>
                <w:color w:val="000000"/>
                <w:szCs w:val="20"/>
              </w:rPr>
              <w:t>Δ</w:t>
            </w:r>
            <w:r w:rsidRPr="007C64F7">
              <w:rPr>
                <w:rFonts w:eastAsia="Times New Roman" w:cs="Arial"/>
                <w:i/>
                <w:iCs/>
                <w:color w:val="000000"/>
                <w:szCs w:val="20"/>
              </w:rPr>
              <w:t>pck</w:t>
            </w:r>
            <w:proofErr w:type="spellEnd"/>
          </w:p>
        </w:tc>
        <w:tc>
          <w:tcPr>
            <w:tcW w:w="3390" w:type="dxa"/>
            <w:tcBorders>
              <w:top w:val="nil"/>
              <w:left w:val="nil"/>
              <w:bottom w:val="nil"/>
              <w:right w:val="nil"/>
            </w:tcBorders>
            <w:shd w:val="clear" w:color="auto" w:fill="auto"/>
            <w:vAlign w:val="center"/>
            <w:hideMark/>
          </w:tcPr>
          <w:p w14:paraId="77C1BFCF"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This study</w:t>
            </w:r>
          </w:p>
        </w:tc>
      </w:tr>
      <w:tr w:rsidR="009855DF" w:rsidRPr="007C64F7" w14:paraId="103C2E58" w14:textId="77777777" w:rsidTr="009855DF">
        <w:trPr>
          <w:divId w:val="1326516459"/>
          <w:trHeight w:val="300"/>
        </w:trPr>
        <w:tc>
          <w:tcPr>
            <w:tcW w:w="1640" w:type="dxa"/>
            <w:tcBorders>
              <w:top w:val="single" w:sz="8" w:space="0" w:color="000000"/>
              <w:left w:val="nil"/>
              <w:bottom w:val="nil"/>
              <w:right w:val="nil"/>
            </w:tcBorders>
            <w:shd w:val="clear" w:color="auto" w:fill="auto"/>
            <w:vAlign w:val="center"/>
            <w:hideMark/>
          </w:tcPr>
          <w:p w14:paraId="1184B100"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Plasmids</w:t>
            </w:r>
          </w:p>
        </w:tc>
        <w:tc>
          <w:tcPr>
            <w:tcW w:w="7630" w:type="dxa"/>
            <w:tcBorders>
              <w:top w:val="single" w:sz="8" w:space="0" w:color="000000"/>
              <w:left w:val="nil"/>
              <w:bottom w:val="nil"/>
              <w:right w:val="nil"/>
            </w:tcBorders>
            <w:shd w:val="clear" w:color="auto" w:fill="auto"/>
            <w:vAlign w:val="center"/>
            <w:hideMark/>
          </w:tcPr>
          <w:p w14:paraId="2A870A4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Description</w:t>
            </w:r>
          </w:p>
        </w:tc>
        <w:tc>
          <w:tcPr>
            <w:tcW w:w="3390" w:type="dxa"/>
            <w:tcBorders>
              <w:top w:val="single" w:sz="8" w:space="0" w:color="000000"/>
              <w:left w:val="nil"/>
              <w:bottom w:val="nil"/>
              <w:right w:val="nil"/>
            </w:tcBorders>
            <w:shd w:val="clear" w:color="auto" w:fill="auto"/>
            <w:vAlign w:val="center"/>
            <w:hideMark/>
          </w:tcPr>
          <w:p w14:paraId="19A2A90E"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Reference</w:t>
            </w:r>
          </w:p>
        </w:tc>
      </w:tr>
      <w:tr w:rsidR="009855DF" w:rsidRPr="007C64F7" w14:paraId="76658864" w14:textId="77777777" w:rsidTr="009855DF">
        <w:trPr>
          <w:divId w:val="1326516459"/>
          <w:trHeight w:val="216"/>
        </w:trPr>
        <w:tc>
          <w:tcPr>
            <w:tcW w:w="1640" w:type="dxa"/>
            <w:tcBorders>
              <w:top w:val="nil"/>
              <w:left w:val="nil"/>
              <w:bottom w:val="single" w:sz="8" w:space="0" w:color="000000"/>
              <w:right w:val="nil"/>
            </w:tcBorders>
            <w:shd w:val="clear" w:color="auto" w:fill="auto"/>
            <w:vAlign w:val="center"/>
            <w:hideMark/>
          </w:tcPr>
          <w:p w14:paraId="6FCA988B"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pCM184</w:t>
            </w:r>
          </w:p>
        </w:tc>
        <w:tc>
          <w:tcPr>
            <w:tcW w:w="7630" w:type="dxa"/>
            <w:tcBorders>
              <w:top w:val="nil"/>
              <w:left w:val="nil"/>
              <w:bottom w:val="single" w:sz="8" w:space="0" w:color="000000"/>
              <w:right w:val="nil"/>
            </w:tcBorders>
            <w:shd w:val="clear" w:color="auto" w:fill="auto"/>
            <w:vAlign w:val="center"/>
            <w:hideMark/>
          </w:tcPr>
          <w:p w14:paraId="4A4AFDA3" w14:textId="77777777" w:rsidR="009855DF" w:rsidRPr="007C64F7" w:rsidRDefault="009855DF" w:rsidP="006D7FDC">
            <w:pPr>
              <w:spacing w:line="240" w:lineRule="auto"/>
              <w:rPr>
                <w:rFonts w:eastAsia="Times New Roman" w:cs="Arial"/>
                <w:color w:val="000000"/>
                <w:szCs w:val="20"/>
              </w:rPr>
            </w:pPr>
            <w:r w:rsidRPr="007C64F7">
              <w:rPr>
                <w:rFonts w:eastAsia="Times New Roman" w:cs="Arial"/>
                <w:color w:val="000000"/>
                <w:szCs w:val="20"/>
              </w:rPr>
              <w:t>Ap</w:t>
            </w:r>
            <w:r w:rsidRPr="007C64F7">
              <w:rPr>
                <w:rFonts w:eastAsia="Times New Roman" w:cs="Arial"/>
                <w:color w:val="000000"/>
                <w:szCs w:val="20"/>
                <w:vertAlign w:val="superscript"/>
              </w:rPr>
              <w:t>r</w:t>
            </w:r>
            <w:r w:rsidRPr="007C64F7">
              <w:rPr>
                <w:rFonts w:eastAsia="Times New Roman" w:cs="Arial"/>
                <w:color w:val="000000"/>
                <w:szCs w:val="20"/>
              </w:rPr>
              <w:t xml:space="preserve">, </w:t>
            </w:r>
            <w:proofErr w:type="spellStart"/>
            <w:r w:rsidRPr="007C64F7">
              <w:rPr>
                <w:rFonts w:eastAsia="Times New Roman" w:cs="Arial"/>
                <w:color w:val="000000"/>
                <w:szCs w:val="20"/>
              </w:rPr>
              <w:t>Kn</w:t>
            </w:r>
            <w:r w:rsidRPr="007C64F7">
              <w:rPr>
                <w:rFonts w:eastAsia="Times New Roman" w:cs="Arial"/>
                <w:color w:val="000000"/>
                <w:szCs w:val="20"/>
                <w:vertAlign w:val="superscript"/>
              </w:rPr>
              <w:t>r</w:t>
            </w:r>
            <w:r w:rsidRPr="007C64F7">
              <w:rPr>
                <w:rFonts w:eastAsia="Times New Roman" w:cs="Arial"/>
                <w:color w:val="000000"/>
                <w:szCs w:val="20"/>
              </w:rPr>
              <w:t>,Tc</w:t>
            </w:r>
            <w:r w:rsidRPr="007C64F7">
              <w:rPr>
                <w:rFonts w:eastAsia="Times New Roman" w:cs="Arial"/>
                <w:color w:val="000000"/>
                <w:szCs w:val="20"/>
                <w:vertAlign w:val="superscript"/>
              </w:rPr>
              <w:t>r</w:t>
            </w:r>
            <w:proofErr w:type="spellEnd"/>
            <w:r w:rsidRPr="007C64F7">
              <w:rPr>
                <w:rFonts w:eastAsia="Times New Roman" w:cs="Arial"/>
                <w:color w:val="000000"/>
                <w:szCs w:val="20"/>
              </w:rPr>
              <w:t xml:space="preserve">; pCM182 with </w:t>
            </w:r>
            <w:proofErr w:type="spellStart"/>
            <w:r w:rsidRPr="007C64F7">
              <w:rPr>
                <w:rFonts w:eastAsia="Times New Roman" w:cs="Arial"/>
                <w:i/>
                <w:iCs/>
                <w:color w:val="000000"/>
                <w:szCs w:val="20"/>
              </w:rPr>
              <w:t>kan</w:t>
            </w:r>
            <w:proofErr w:type="spellEnd"/>
            <w:r w:rsidRPr="007C64F7">
              <w:rPr>
                <w:rFonts w:eastAsia="Times New Roman" w:cs="Arial"/>
                <w:color w:val="000000"/>
                <w:szCs w:val="20"/>
              </w:rPr>
              <w:t xml:space="preserve"> from pCM183; allelic exchange vector</w:t>
            </w:r>
          </w:p>
        </w:tc>
        <w:tc>
          <w:tcPr>
            <w:tcW w:w="3390" w:type="dxa"/>
            <w:tcBorders>
              <w:top w:val="nil"/>
              <w:left w:val="nil"/>
              <w:bottom w:val="single" w:sz="8" w:space="0" w:color="000000"/>
              <w:right w:val="nil"/>
            </w:tcBorders>
            <w:shd w:val="clear" w:color="auto" w:fill="auto"/>
            <w:vAlign w:val="center"/>
            <w:hideMark/>
          </w:tcPr>
          <w:p w14:paraId="39F13AB2" w14:textId="700D1AA3" w:rsidR="009855DF" w:rsidRPr="007C64F7" w:rsidRDefault="00871F86" w:rsidP="006D7FDC">
            <w:pPr>
              <w:spacing w:line="240" w:lineRule="auto"/>
              <w:rPr>
                <w:rFonts w:eastAsia="Times New Roman" w:cs="Arial"/>
                <w:color w:val="000000"/>
                <w:szCs w:val="20"/>
              </w:rPr>
            </w:pPr>
            <w:r>
              <w:rPr>
                <w:rFonts w:eastAsia="Times New Roman" w:cs="Arial"/>
                <w:color w:val="000000"/>
                <w:szCs w:val="20"/>
              </w:rPr>
              <w:t>41</w:t>
            </w:r>
          </w:p>
        </w:tc>
      </w:tr>
    </w:tbl>
    <w:p w14:paraId="7D4C98BD" w14:textId="0A8C1914" w:rsidR="009855DF" w:rsidRPr="003F327A" w:rsidRDefault="009855DF" w:rsidP="00CB091A">
      <w:pPr>
        <w:pStyle w:val="Caption"/>
        <w:spacing w:before="120" w:after="120" w:line="240" w:lineRule="auto"/>
        <w:divId w:val="1326516459"/>
      </w:pPr>
      <w:r w:rsidRPr="003F327A">
        <w:t xml:space="preserve">Table </w:t>
      </w:r>
      <w:r w:rsidR="0036658F" w:rsidRPr="003F327A">
        <w:t>2.</w:t>
      </w:r>
      <w:r w:rsidRPr="003F327A">
        <w:t>3 gene sequences for primers used for PCR amplification in this study</w:t>
      </w:r>
    </w:p>
    <w:tbl>
      <w:tblPr>
        <w:tblW w:w="12660" w:type="dxa"/>
        <w:tblInd w:w="108"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640"/>
        <w:gridCol w:w="3880"/>
        <w:gridCol w:w="7140"/>
      </w:tblGrid>
      <w:tr w:rsidR="009855DF" w:rsidRPr="00CB091A" w14:paraId="76E312F2" w14:textId="77777777" w:rsidTr="009855DF">
        <w:trPr>
          <w:divId w:val="1326516459"/>
          <w:trHeight w:val="300"/>
        </w:trPr>
        <w:tc>
          <w:tcPr>
            <w:tcW w:w="1640" w:type="dxa"/>
            <w:shd w:val="clear" w:color="auto" w:fill="auto"/>
            <w:vAlign w:val="center"/>
            <w:hideMark/>
          </w:tcPr>
          <w:p w14:paraId="7E8C8264"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Primer name</w:t>
            </w:r>
          </w:p>
        </w:tc>
        <w:tc>
          <w:tcPr>
            <w:tcW w:w="3880" w:type="dxa"/>
            <w:shd w:val="clear" w:color="auto" w:fill="auto"/>
            <w:vAlign w:val="center"/>
            <w:hideMark/>
          </w:tcPr>
          <w:p w14:paraId="6F73409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Primer description</w:t>
            </w:r>
          </w:p>
        </w:tc>
        <w:tc>
          <w:tcPr>
            <w:tcW w:w="7140" w:type="dxa"/>
            <w:shd w:val="clear" w:color="auto" w:fill="auto"/>
            <w:vAlign w:val="center"/>
            <w:hideMark/>
          </w:tcPr>
          <w:p w14:paraId="3380FFD3"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 Sequence</w:t>
            </w:r>
          </w:p>
        </w:tc>
      </w:tr>
      <w:tr w:rsidR="009855DF" w:rsidRPr="00CB091A" w14:paraId="1AED98E3" w14:textId="77777777" w:rsidTr="009855DF">
        <w:trPr>
          <w:divId w:val="1326516459"/>
          <w:trHeight w:val="300"/>
        </w:trPr>
        <w:tc>
          <w:tcPr>
            <w:tcW w:w="1640" w:type="dxa"/>
            <w:shd w:val="clear" w:color="auto" w:fill="auto"/>
            <w:vAlign w:val="center"/>
            <w:hideMark/>
          </w:tcPr>
          <w:p w14:paraId="005AD13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w:t>
            </w:r>
          </w:p>
        </w:tc>
        <w:tc>
          <w:tcPr>
            <w:tcW w:w="3880" w:type="dxa"/>
            <w:shd w:val="clear" w:color="auto" w:fill="auto"/>
            <w:vAlign w:val="center"/>
            <w:hideMark/>
          </w:tcPr>
          <w:p w14:paraId="3718014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upstream flank forward</w:t>
            </w:r>
          </w:p>
        </w:tc>
        <w:tc>
          <w:tcPr>
            <w:tcW w:w="7140" w:type="dxa"/>
            <w:shd w:val="clear" w:color="auto" w:fill="auto"/>
            <w:vAlign w:val="center"/>
            <w:hideMark/>
          </w:tcPr>
          <w:p w14:paraId="2EF57DF3"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cgcacatttccccgaaaagtgccacctgacgtctagatctatccaccgcatcaccgtctc</w:t>
            </w:r>
            <w:proofErr w:type="spellEnd"/>
          </w:p>
        </w:tc>
      </w:tr>
      <w:tr w:rsidR="009855DF" w:rsidRPr="00CB091A" w14:paraId="42229090" w14:textId="77777777" w:rsidTr="009855DF">
        <w:trPr>
          <w:divId w:val="1326516459"/>
          <w:trHeight w:val="300"/>
        </w:trPr>
        <w:tc>
          <w:tcPr>
            <w:tcW w:w="1640" w:type="dxa"/>
            <w:shd w:val="clear" w:color="auto" w:fill="auto"/>
            <w:vAlign w:val="center"/>
            <w:hideMark/>
          </w:tcPr>
          <w:p w14:paraId="280F0C7D"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YFP2</w:t>
            </w:r>
          </w:p>
        </w:tc>
        <w:tc>
          <w:tcPr>
            <w:tcW w:w="3880" w:type="dxa"/>
            <w:shd w:val="clear" w:color="auto" w:fill="auto"/>
            <w:vAlign w:val="center"/>
            <w:hideMark/>
          </w:tcPr>
          <w:p w14:paraId="645EF0F3"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upstream flank backward</w:t>
            </w:r>
          </w:p>
        </w:tc>
        <w:tc>
          <w:tcPr>
            <w:tcW w:w="7140" w:type="dxa"/>
            <w:shd w:val="clear" w:color="auto" w:fill="auto"/>
            <w:vAlign w:val="center"/>
            <w:hideMark/>
          </w:tcPr>
          <w:p w14:paraId="294E7671"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tggcataacttcgtataatgtatgctatacgaagttatgggcactgttgaggcatctgtt</w:t>
            </w:r>
            <w:proofErr w:type="spellEnd"/>
          </w:p>
        </w:tc>
      </w:tr>
      <w:tr w:rsidR="009855DF" w:rsidRPr="00CB091A" w14:paraId="070996E2" w14:textId="77777777" w:rsidTr="009855DF">
        <w:trPr>
          <w:divId w:val="1326516459"/>
          <w:trHeight w:val="300"/>
        </w:trPr>
        <w:tc>
          <w:tcPr>
            <w:tcW w:w="1640" w:type="dxa"/>
            <w:shd w:val="clear" w:color="auto" w:fill="auto"/>
            <w:vAlign w:val="center"/>
            <w:hideMark/>
          </w:tcPr>
          <w:p w14:paraId="4310B10A"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YFP3</w:t>
            </w:r>
          </w:p>
        </w:tc>
        <w:tc>
          <w:tcPr>
            <w:tcW w:w="3880" w:type="dxa"/>
            <w:shd w:val="clear" w:color="auto" w:fill="auto"/>
            <w:vAlign w:val="center"/>
            <w:hideMark/>
          </w:tcPr>
          <w:p w14:paraId="7264A678"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downstream flank forward</w:t>
            </w:r>
          </w:p>
        </w:tc>
        <w:tc>
          <w:tcPr>
            <w:tcW w:w="7140" w:type="dxa"/>
            <w:shd w:val="clear" w:color="auto" w:fill="auto"/>
            <w:vAlign w:val="center"/>
            <w:hideMark/>
          </w:tcPr>
          <w:p w14:paraId="1A5341A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ctcagcgataacttcgtatagcatacattatacgaagttagcattcagttccgggcgttg</w:t>
            </w:r>
            <w:proofErr w:type="spellEnd"/>
          </w:p>
        </w:tc>
      </w:tr>
      <w:tr w:rsidR="009855DF" w:rsidRPr="00CB091A" w14:paraId="07C69A11" w14:textId="77777777" w:rsidTr="009855DF">
        <w:trPr>
          <w:divId w:val="1326516459"/>
          <w:trHeight w:val="300"/>
        </w:trPr>
        <w:tc>
          <w:tcPr>
            <w:tcW w:w="1640" w:type="dxa"/>
            <w:shd w:val="clear" w:color="auto" w:fill="auto"/>
            <w:vAlign w:val="center"/>
            <w:hideMark/>
          </w:tcPr>
          <w:p w14:paraId="15EE03F7"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YFP4</w:t>
            </w:r>
          </w:p>
        </w:tc>
        <w:tc>
          <w:tcPr>
            <w:tcW w:w="3880" w:type="dxa"/>
            <w:shd w:val="clear" w:color="auto" w:fill="auto"/>
            <w:vAlign w:val="center"/>
            <w:hideMark/>
          </w:tcPr>
          <w:p w14:paraId="671AE67B"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dme</w:t>
            </w:r>
            <w:proofErr w:type="spellEnd"/>
            <w:r w:rsidRPr="00CB091A">
              <w:rPr>
                <w:rFonts w:eastAsia="Times New Roman" w:cs="Arial"/>
                <w:color w:val="000000"/>
                <w:szCs w:val="20"/>
              </w:rPr>
              <w:t xml:space="preserve"> downstream flank backward</w:t>
            </w:r>
          </w:p>
        </w:tc>
        <w:tc>
          <w:tcPr>
            <w:tcW w:w="7140" w:type="dxa"/>
            <w:shd w:val="clear" w:color="auto" w:fill="auto"/>
            <w:vAlign w:val="center"/>
            <w:hideMark/>
          </w:tcPr>
          <w:p w14:paraId="0E08EF0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gcgtggaaagcctggtcggctggatcctctagtgagctcgcccttcttctccttggtcca</w:t>
            </w:r>
            <w:proofErr w:type="spellEnd"/>
          </w:p>
        </w:tc>
      </w:tr>
      <w:tr w:rsidR="009855DF" w:rsidRPr="00CB091A" w14:paraId="28C86D78" w14:textId="77777777" w:rsidTr="009855DF">
        <w:trPr>
          <w:divId w:val="1326516459"/>
          <w:trHeight w:val="300"/>
        </w:trPr>
        <w:tc>
          <w:tcPr>
            <w:tcW w:w="1640" w:type="dxa"/>
            <w:shd w:val="clear" w:color="auto" w:fill="auto"/>
            <w:vAlign w:val="center"/>
            <w:hideMark/>
          </w:tcPr>
          <w:p w14:paraId="69112C54"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YFP5</w:t>
            </w:r>
          </w:p>
        </w:tc>
        <w:tc>
          <w:tcPr>
            <w:tcW w:w="3880" w:type="dxa"/>
            <w:shd w:val="clear" w:color="auto" w:fill="auto"/>
            <w:vAlign w:val="center"/>
            <w:hideMark/>
          </w:tcPr>
          <w:p w14:paraId="52DE8E8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upstream flank forward</w:t>
            </w:r>
          </w:p>
        </w:tc>
        <w:tc>
          <w:tcPr>
            <w:tcW w:w="7140" w:type="dxa"/>
            <w:shd w:val="clear" w:color="auto" w:fill="auto"/>
            <w:vAlign w:val="center"/>
            <w:hideMark/>
          </w:tcPr>
          <w:p w14:paraId="3F0E75C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cgcacatttccccgaaaagtgccacctgacgtctagatctgatcggacacgtcctccacc</w:t>
            </w:r>
            <w:proofErr w:type="spellEnd"/>
          </w:p>
        </w:tc>
      </w:tr>
      <w:tr w:rsidR="009855DF" w:rsidRPr="00CB091A" w14:paraId="07D2D392" w14:textId="77777777" w:rsidTr="009855DF">
        <w:trPr>
          <w:divId w:val="1326516459"/>
          <w:trHeight w:val="300"/>
        </w:trPr>
        <w:tc>
          <w:tcPr>
            <w:tcW w:w="1640" w:type="dxa"/>
            <w:shd w:val="clear" w:color="auto" w:fill="auto"/>
            <w:vAlign w:val="center"/>
            <w:hideMark/>
          </w:tcPr>
          <w:p w14:paraId="2C1C4DD7"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YFP6</w:t>
            </w:r>
          </w:p>
        </w:tc>
        <w:tc>
          <w:tcPr>
            <w:tcW w:w="3880" w:type="dxa"/>
            <w:shd w:val="clear" w:color="auto" w:fill="auto"/>
            <w:vAlign w:val="center"/>
            <w:hideMark/>
          </w:tcPr>
          <w:p w14:paraId="54E30240"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upstream flank backward</w:t>
            </w:r>
          </w:p>
        </w:tc>
        <w:tc>
          <w:tcPr>
            <w:tcW w:w="7140" w:type="dxa"/>
            <w:shd w:val="clear" w:color="auto" w:fill="auto"/>
            <w:vAlign w:val="center"/>
            <w:hideMark/>
          </w:tcPr>
          <w:p w14:paraId="23DA469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acgtggcataacttcgtataatgtatgctatacgaagttatggggtgttcctccctcacg</w:t>
            </w:r>
            <w:proofErr w:type="spellEnd"/>
          </w:p>
        </w:tc>
      </w:tr>
      <w:tr w:rsidR="009855DF" w:rsidRPr="00CB091A" w14:paraId="3136A7F6" w14:textId="77777777" w:rsidTr="009855DF">
        <w:trPr>
          <w:divId w:val="1326516459"/>
          <w:trHeight w:val="300"/>
        </w:trPr>
        <w:tc>
          <w:tcPr>
            <w:tcW w:w="1640" w:type="dxa"/>
            <w:shd w:val="clear" w:color="auto" w:fill="auto"/>
            <w:vAlign w:val="center"/>
            <w:hideMark/>
          </w:tcPr>
          <w:p w14:paraId="3E0B2ACE"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YFP7</w:t>
            </w:r>
          </w:p>
        </w:tc>
        <w:tc>
          <w:tcPr>
            <w:tcW w:w="3880" w:type="dxa"/>
            <w:shd w:val="clear" w:color="auto" w:fill="auto"/>
            <w:vAlign w:val="center"/>
            <w:hideMark/>
          </w:tcPr>
          <w:p w14:paraId="4D760577"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downstream flank forward</w:t>
            </w:r>
          </w:p>
        </w:tc>
        <w:tc>
          <w:tcPr>
            <w:tcW w:w="7140" w:type="dxa"/>
            <w:shd w:val="clear" w:color="auto" w:fill="auto"/>
            <w:vAlign w:val="center"/>
            <w:hideMark/>
          </w:tcPr>
          <w:p w14:paraId="43BC7DE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gacctcagcgataacttcgtatagcatacattatacgaagttagcggtcacagcccctcc</w:t>
            </w:r>
            <w:proofErr w:type="spellEnd"/>
          </w:p>
        </w:tc>
      </w:tr>
      <w:tr w:rsidR="009855DF" w:rsidRPr="00CB091A" w14:paraId="6B922961" w14:textId="77777777" w:rsidTr="009855DF">
        <w:trPr>
          <w:divId w:val="1326516459"/>
          <w:trHeight w:val="300"/>
        </w:trPr>
        <w:tc>
          <w:tcPr>
            <w:tcW w:w="1640" w:type="dxa"/>
            <w:shd w:val="clear" w:color="auto" w:fill="auto"/>
            <w:vAlign w:val="center"/>
            <w:hideMark/>
          </w:tcPr>
          <w:p w14:paraId="18D6662E"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YFP8</w:t>
            </w:r>
          </w:p>
        </w:tc>
        <w:tc>
          <w:tcPr>
            <w:tcW w:w="3880" w:type="dxa"/>
            <w:shd w:val="clear" w:color="auto" w:fill="auto"/>
            <w:vAlign w:val="center"/>
            <w:hideMark/>
          </w:tcPr>
          <w:p w14:paraId="741AB612"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pck</w:t>
            </w:r>
            <w:proofErr w:type="spellEnd"/>
            <w:r w:rsidRPr="00CB091A">
              <w:rPr>
                <w:rFonts w:eastAsia="Times New Roman" w:cs="Arial"/>
                <w:color w:val="000000"/>
                <w:szCs w:val="20"/>
              </w:rPr>
              <w:t xml:space="preserve"> downstream flank backward</w:t>
            </w:r>
          </w:p>
        </w:tc>
        <w:tc>
          <w:tcPr>
            <w:tcW w:w="7140" w:type="dxa"/>
            <w:shd w:val="clear" w:color="auto" w:fill="auto"/>
            <w:vAlign w:val="center"/>
            <w:hideMark/>
          </w:tcPr>
          <w:p w14:paraId="3FC7B5B1"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cgtggaaagcctggtcggctggatcctctagtgagctccgagccgctctacaatctcgac</w:t>
            </w:r>
            <w:proofErr w:type="spellEnd"/>
          </w:p>
        </w:tc>
      </w:tr>
      <w:tr w:rsidR="009855DF" w:rsidRPr="00CB091A" w14:paraId="2D9363AE" w14:textId="77777777" w:rsidTr="009855DF">
        <w:trPr>
          <w:divId w:val="1326516459"/>
          <w:trHeight w:val="300"/>
        </w:trPr>
        <w:tc>
          <w:tcPr>
            <w:tcW w:w="1640" w:type="dxa"/>
            <w:shd w:val="clear" w:color="auto" w:fill="auto"/>
            <w:vAlign w:val="center"/>
            <w:hideMark/>
          </w:tcPr>
          <w:p w14:paraId="614A6586"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YFP9</w:t>
            </w:r>
          </w:p>
        </w:tc>
        <w:tc>
          <w:tcPr>
            <w:tcW w:w="3880" w:type="dxa"/>
            <w:shd w:val="clear" w:color="auto" w:fill="auto"/>
            <w:vAlign w:val="center"/>
            <w:hideMark/>
          </w:tcPr>
          <w:p w14:paraId="7E25A61C"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pCM184 </w:t>
            </w:r>
            <w:proofErr w:type="spellStart"/>
            <w:r w:rsidRPr="00CB091A">
              <w:rPr>
                <w:rFonts w:eastAsia="Times New Roman" w:cs="Arial"/>
                <w:color w:val="000000"/>
                <w:szCs w:val="20"/>
              </w:rPr>
              <w:t>cre</w:t>
            </w:r>
            <w:proofErr w:type="spellEnd"/>
            <w:r w:rsidRPr="00CB091A">
              <w:rPr>
                <w:rFonts w:eastAsia="Times New Roman" w:cs="Arial"/>
                <w:color w:val="000000"/>
                <w:szCs w:val="20"/>
              </w:rPr>
              <w:t>-km forward</w:t>
            </w:r>
          </w:p>
        </w:tc>
        <w:tc>
          <w:tcPr>
            <w:tcW w:w="7140" w:type="dxa"/>
            <w:shd w:val="clear" w:color="auto" w:fill="auto"/>
            <w:vAlign w:val="center"/>
            <w:hideMark/>
          </w:tcPr>
          <w:p w14:paraId="0562779D"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ataacttcgtatagcatacattatacgaagttatgccacgttgtgtctcaaaatctctg</w:t>
            </w:r>
            <w:proofErr w:type="spellEnd"/>
          </w:p>
        </w:tc>
      </w:tr>
      <w:tr w:rsidR="009855DF" w:rsidRPr="00CB091A" w14:paraId="3A56B9D4" w14:textId="77777777" w:rsidTr="009855DF">
        <w:trPr>
          <w:divId w:val="1326516459"/>
          <w:trHeight w:val="300"/>
        </w:trPr>
        <w:tc>
          <w:tcPr>
            <w:tcW w:w="1640" w:type="dxa"/>
            <w:shd w:val="clear" w:color="auto" w:fill="auto"/>
            <w:vAlign w:val="center"/>
            <w:hideMark/>
          </w:tcPr>
          <w:p w14:paraId="0A63D30B"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YFP10</w:t>
            </w:r>
          </w:p>
        </w:tc>
        <w:tc>
          <w:tcPr>
            <w:tcW w:w="3880" w:type="dxa"/>
            <w:shd w:val="clear" w:color="auto" w:fill="auto"/>
            <w:vAlign w:val="center"/>
            <w:hideMark/>
          </w:tcPr>
          <w:p w14:paraId="32A415C1"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pCM184 km-</w:t>
            </w:r>
            <w:proofErr w:type="spellStart"/>
            <w:r w:rsidRPr="00CB091A">
              <w:rPr>
                <w:rFonts w:eastAsia="Times New Roman" w:cs="Arial"/>
                <w:color w:val="000000"/>
                <w:szCs w:val="20"/>
              </w:rPr>
              <w:t>cre</w:t>
            </w:r>
            <w:proofErr w:type="spellEnd"/>
            <w:r w:rsidRPr="00CB091A">
              <w:rPr>
                <w:rFonts w:eastAsia="Times New Roman" w:cs="Arial"/>
                <w:color w:val="000000"/>
                <w:szCs w:val="20"/>
              </w:rPr>
              <w:t xml:space="preserve"> backward</w:t>
            </w:r>
          </w:p>
        </w:tc>
        <w:tc>
          <w:tcPr>
            <w:tcW w:w="7140" w:type="dxa"/>
            <w:shd w:val="clear" w:color="auto" w:fill="auto"/>
            <w:vAlign w:val="center"/>
            <w:hideMark/>
          </w:tcPr>
          <w:p w14:paraId="5BE34EE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taacttcgtataatgtatgctatacgaagttatcgctgaggtctgcctcgtg</w:t>
            </w:r>
            <w:proofErr w:type="spellEnd"/>
          </w:p>
        </w:tc>
      </w:tr>
      <w:tr w:rsidR="009855DF" w:rsidRPr="00CB091A" w14:paraId="141B8FEE" w14:textId="77777777" w:rsidTr="009855DF">
        <w:trPr>
          <w:divId w:val="1326516459"/>
          <w:trHeight w:val="300"/>
        </w:trPr>
        <w:tc>
          <w:tcPr>
            <w:tcW w:w="1640" w:type="dxa"/>
            <w:shd w:val="clear" w:color="auto" w:fill="auto"/>
            <w:vAlign w:val="center"/>
            <w:hideMark/>
          </w:tcPr>
          <w:p w14:paraId="2C23BF8D"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YFP11</w:t>
            </w:r>
          </w:p>
        </w:tc>
        <w:tc>
          <w:tcPr>
            <w:tcW w:w="3880" w:type="dxa"/>
            <w:shd w:val="clear" w:color="auto" w:fill="auto"/>
            <w:vAlign w:val="center"/>
            <w:hideMark/>
          </w:tcPr>
          <w:p w14:paraId="72784D46"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 xml:space="preserve">pCM184 backbone forward </w:t>
            </w:r>
          </w:p>
        </w:tc>
        <w:tc>
          <w:tcPr>
            <w:tcW w:w="7140" w:type="dxa"/>
            <w:shd w:val="clear" w:color="auto" w:fill="auto"/>
            <w:vAlign w:val="center"/>
            <w:hideMark/>
          </w:tcPr>
          <w:p w14:paraId="0C397A75"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gagctcactagaggatccagccg</w:t>
            </w:r>
            <w:proofErr w:type="spellEnd"/>
          </w:p>
        </w:tc>
      </w:tr>
      <w:tr w:rsidR="009855DF" w:rsidRPr="00CB091A" w14:paraId="122920C0" w14:textId="77777777" w:rsidTr="009855DF">
        <w:trPr>
          <w:divId w:val="1326516459"/>
          <w:trHeight w:val="320"/>
        </w:trPr>
        <w:tc>
          <w:tcPr>
            <w:tcW w:w="1640" w:type="dxa"/>
            <w:shd w:val="clear" w:color="auto" w:fill="auto"/>
            <w:vAlign w:val="center"/>
            <w:hideMark/>
          </w:tcPr>
          <w:p w14:paraId="006D647F"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YFP12</w:t>
            </w:r>
          </w:p>
        </w:tc>
        <w:tc>
          <w:tcPr>
            <w:tcW w:w="3880" w:type="dxa"/>
            <w:shd w:val="clear" w:color="auto" w:fill="auto"/>
            <w:vAlign w:val="center"/>
            <w:hideMark/>
          </w:tcPr>
          <w:p w14:paraId="7FB5171A" w14:textId="77777777" w:rsidR="009855DF" w:rsidRPr="00CB091A" w:rsidRDefault="009855DF" w:rsidP="006D7FDC">
            <w:pPr>
              <w:spacing w:line="240" w:lineRule="auto"/>
              <w:rPr>
                <w:rFonts w:eastAsia="Times New Roman" w:cs="Arial"/>
                <w:color w:val="000000"/>
                <w:szCs w:val="20"/>
              </w:rPr>
            </w:pPr>
            <w:r w:rsidRPr="00CB091A">
              <w:rPr>
                <w:rFonts w:eastAsia="Times New Roman" w:cs="Arial"/>
                <w:color w:val="000000"/>
                <w:szCs w:val="20"/>
              </w:rPr>
              <w:t>pCM184 Backbone backward</w:t>
            </w:r>
          </w:p>
        </w:tc>
        <w:tc>
          <w:tcPr>
            <w:tcW w:w="7140" w:type="dxa"/>
            <w:shd w:val="clear" w:color="auto" w:fill="auto"/>
            <w:vAlign w:val="center"/>
            <w:hideMark/>
          </w:tcPr>
          <w:p w14:paraId="61443EC6" w14:textId="77777777" w:rsidR="009855DF" w:rsidRPr="00CB091A" w:rsidRDefault="009855DF" w:rsidP="006D7FDC">
            <w:pPr>
              <w:spacing w:line="240" w:lineRule="auto"/>
              <w:rPr>
                <w:rFonts w:eastAsia="Times New Roman" w:cs="Arial"/>
                <w:color w:val="000000"/>
                <w:szCs w:val="20"/>
              </w:rPr>
            </w:pPr>
            <w:proofErr w:type="spellStart"/>
            <w:r w:rsidRPr="00CB091A">
              <w:rPr>
                <w:rFonts w:eastAsia="Times New Roman" w:cs="Arial"/>
                <w:color w:val="000000"/>
                <w:szCs w:val="20"/>
              </w:rPr>
              <w:t>agatctagacgtcaggtggcacttttc</w:t>
            </w:r>
            <w:proofErr w:type="spellEnd"/>
          </w:p>
        </w:tc>
      </w:tr>
    </w:tbl>
    <w:p w14:paraId="4EDA3207" w14:textId="77777777" w:rsidR="009855DF" w:rsidRDefault="009855DF" w:rsidP="009855DF">
      <w:pPr>
        <w:divId w:val="1326516459"/>
        <w:rPr>
          <w:rFonts w:ascii="Times New Roman" w:hAnsi="Times New Roman"/>
          <w:b/>
          <w:sz w:val="24"/>
        </w:rPr>
        <w:sectPr w:rsidR="009855DF" w:rsidSect="00CB091A">
          <w:pgSz w:w="15840" w:h="12240" w:orient="landscape"/>
          <w:pgMar w:top="1800" w:right="1440" w:bottom="1800" w:left="1440" w:header="720" w:footer="720" w:gutter="0"/>
          <w:cols w:space="720"/>
          <w:docGrid w:linePitch="360"/>
        </w:sectPr>
      </w:pPr>
    </w:p>
    <w:p w14:paraId="23BE0CF0" w14:textId="1A3B848A" w:rsidR="009855DF" w:rsidRDefault="009855DF" w:rsidP="00437FD6">
      <w:pPr>
        <w:pStyle w:val="Heading2"/>
        <w:divId w:val="1326516459"/>
      </w:pPr>
      <w:bookmarkStart w:id="55" w:name="_Toc468311724"/>
      <w:r w:rsidRPr="005B3350">
        <w:lastRenderedPageBreak/>
        <w:t>Figure</w:t>
      </w:r>
      <w:r w:rsidR="00875D28">
        <w:t>s</w:t>
      </w:r>
      <w:bookmarkEnd w:id="55"/>
    </w:p>
    <w:p w14:paraId="52F2EA63" w14:textId="6834E77D" w:rsidR="00EE079B" w:rsidRPr="00075D6E" w:rsidRDefault="00EE079B" w:rsidP="009855DF">
      <w:pPr>
        <w:widowControl w:val="0"/>
        <w:autoSpaceDE w:val="0"/>
        <w:autoSpaceDN w:val="0"/>
        <w:adjustRightInd w:val="0"/>
        <w:spacing w:after="240"/>
        <w:divId w:val="1326516459"/>
        <w:rPr>
          <w:rFonts w:ascii="Times New Roman" w:hAnsi="Times New Roman"/>
          <w:b/>
          <w:sz w:val="24"/>
        </w:rPr>
      </w:pPr>
      <w:r>
        <w:rPr>
          <w:rFonts w:ascii="Times New Roman" w:hAnsi="Times New Roman"/>
          <w:b/>
          <w:noProof/>
          <w:sz w:val="24"/>
          <w:lang w:eastAsia="zh-CN"/>
        </w:rPr>
        <w:drawing>
          <wp:inline distT="0" distB="0" distL="0" distR="0" wp14:anchorId="2B8461A0" wp14:editId="50A18259">
            <wp:extent cx="6217920" cy="41148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17920" cy="4114800"/>
                    </a:xfrm>
                    <a:prstGeom prst="rect">
                      <a:avLst/>
                    </a:prstGeom>
                    <a:noFill/>
                  </pic:spPr>
                </pic:pic>
              </a:graphicData>
            </a:graphic>
          </wp:inline>
        </w:drawing>
      </w:r>
    </w:p>
    <w:p w14:paraId="4D031739" w14:textId="2CB7E4B0" w:rsidR="009855DF" w:rsidRDefault="00FB21A3" w:rsidP="00437FD6">
      <w:pPr>
        <w:pStyle w:val="Caption"/>
        <w:divId w:val="1326516459"/>
      </w:pPr>
      <w:r>
        <w:t>Figure 2.</w:t>
      </w:r>
      <w:r w:rsidR="009855DF" w:rsidRPr="00E34F3D">
        <w:t xml:space="preserve">1. Central carbon metabolism model for </w:t>
      </w:r>
      <w:r w:rsidR="009855DF" w:rsidRPr="00E34F3D">
        <w:rPr>
          <w:i/>
        </w:rPr>
        <w:t xml:space="preserve">M. </w:t>
      </w:r>
      <w:proofErr w:type="spellStart"/>
      <w:r w:rsidR="009855DF" w:rsidRPr="00E34F3D">
        <w:rPr>
          <w:i/>
        </w:rPr>
        <w:t>extorquens</w:t>
      </w:r>
      <w:proofErr w:type="spellEnd"/>
      <w:r w:rsidR="009855DF" w:rsidRPr="00E34F3D">
        <w:t xml:space="preserve"> AM1 methylotrophic growth. Metabolites with * are precursors for biomass. Metabolites in bold are</w:t>
      </w:r>
      <w:r w:rsidR="009855DF">
        <w:t xml:space="preserve"> branch points</w:t>
      </w:r>
      <w:r w:rsidR="009855DF" w:rsidRPr="00E34F3D">
        <w:t xml:space="preserve">. The model includes 114 reactions with 9 reversible reactions and 2 scramble reactions. 71 intracellular metabolites are included in the model. Methanol is oxidized to </w:t>
      </w:r>
      <w:proofErr w:type="spellStart"/>
      <w:r w:rsidR="009855DF" w:rsidRPr="00E34F3D">
        <w:t>formate</w:t>
      </w:r>
      <w:proofErr w:type="spellEnd"/>
      <w:r w:rsidR="009855DF" w:rsidRPr="00E34F3D">
        <w:t xml:space="preserve"> via the H</w:t>
      </w:r>
      <w:r w:rsidR="009855DF" w:rsidRPr="00E34F3D">
        <w:rPr>
          <w:vertAlign w:val="subscript"/>
        </w:rPr>
        <w:t>4</w:t>
      </w:r>
      <w:r w:rsidR="009855DF" w:rsidRPr="00E34F3D">
        <w:t xml:space="preserve">MPT pathway. Part of the </w:t>
      </w:r>
      <w:proofErr w:type="spellStart"/>
      <w:r w:rsidR="009855DF" w:rsidRPr="00E34F3D">
        <w:t>formate</w:t>
      </w:r>
      <w:proofErr w:type="spellEnd"/>
      <w:r w:rsidR="009855DF" w:rsidRPr="00E34F3D">
        <w:t xml:space="preserve"> pool is converted to CO</w:t>
      </w:r>
      <w:r w:rsidR="009855DF" w:rsidRPr="00E34F3D">
        <w:rPr>
          <w:vertAlign w:val="subscript"/>
        </w:rPr>
        <w:t>2</w:t>
      </w:r>
      <w:r w:rsidR="009855DF" w:rsidRPr="00E34F3D">
        <w:t xml:space="preserve"> by </w:t>
      </w:r>
      <w:proofErr w:type="spellStart"/>
      <w:r w:rsidR="009855DF" w:rsidRPr="00E34F3D">
        <w:t>formate</w:t>
      </w:r>
      <w:proofErr w:type="spellEnd"/>
      <w:r w:rsidR="009855DF" w:rsidRPr="00E34F3D">
        <w:t xml:space="preserve"> dehydrogenase. The other part is converted into methylene H</w:t>
      </w:r>
      <w:r w:rsidR="009855DF" w:rsidRPr="00E34F3D">
        <w:rPr>
          <w:vertAlign w:val="subscript"/>
        </w:rPr>
        <w:t>4</w:t>
      </w:r>
      <w:r w:rsidR="009855DF" w:rsidRPr="00E34F3D">
        <w:t>F via the H</w:t>
      </w:r>
      <w:r w:rsidR="009855DF" w:rsidRPr="00E34F3D">
        <w:rPr>
          <w:vertAlign w:val="subscript"/>
        </w:rPr>
        <w:t>4</w:t>
      </w:r>
      <w:r w:rsidR="009855DF" w:rsidRPr="00E34F3D">
        <w:t xml:space="preserve">F pathway, entering the serine cycle. The serine cycle is the main assimilation pathway, with the EMC pathway regenerating </w:t>
      </w:r>
      <w:proofErr w:type="spellStart"/>
      <w:r w:rsidR="009855DF" w:rsidRPr="00E34F3D">
        <w:t>glyoxylate</w:t>
      </w:r>
      <w:proofErr w:type="spellEnd"/>
      <w:r w:rsidR="009855DF" w:rsidRPr="00E34F3D">
        <w:t xml:space="preserve"> in an </w:t>
      </w:r>
      <w:proofErr w:type="spellStart"/>
      <w:r w:rsidR="009855DF">
        <w:t>anaplerotic</w:t>
      </w:r>
      <w:proofErr w:type="spellEnd"/>
      <w:r w:rsidR="009855DF" w:rsidRPr="00E34F3D">
        <w:t xml:space="preserve"> function. Portions of the TCA cycle, gluconeogenesis, and the pentose-phosphate cycle were also operating to provide intracellular metabolites for biomass.</w:t>
      </w:r>
    </w:p>
    <w:p w14:paraId="530D89F8" w14:textId="4F129E95" w:rsidR="00E920FA" w:rsidRPr="00E34F3D" w:rsidRDefault="00E920FA" w:rsidP="009855DF">
      <w:pPr>
        <w:divId w:val="1326516459"/>
        <w:rPr>
          <w:rFonts w:ascii="Times New Roman" w:hAnsi="Times New Roman"/>
          <w:sz w:val="24"/>
        </w:rPr>
      </w:pPr>
      <w:r>
        <w:rPr>
          <w:rFonts w:ascii="Times New Roman" w:hAnsi="Times New Roman"/>
          <w:noProof/>
          <w:sz w:val="24"/>
          <w:lang w:eastAsia="zh-CN"/>
        </w:rPr>
        <w:lastRenderedPageBreak/>
        <w:drawing>
          <wp:inline distT="0" distB="0" distL="0" distR="0" wp14:anchorId="5BFDD52C" wp14:editId="62DFD990">
            <wp:extent cx="5541264" cy="4700016"/>
            <wp:effectExtent l="0" t="0" r="2540" b="571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1264" cy="4700016"/>
                    </a:xfrm>
                    <a:prstGeom prst="rect">
                      <a:avLst/>
                    </a:prstGeom>
                    <a:noFill/>
                  </pic:spPr>
                </pic:pic>
              </a:graphicData>
            </a:graphic>
          </wp:inline>
        </w:drawing>
      </w:r>
    </w:p>
    <w:p w14:paraId="0A9EBCDA" w14:textId="54311317" w:rsidR="009855DF" w:rsidRDefault="009855DF" w:rsidP="00437FD6">
      <w:pPr>
        <w:pStyle w:val="Caption"/>
        <w:divId w:val="1326516459"/>
      </w:pPr>
      <w:r>
        <w:t>Figure 2.</w:t>
      </w:r>
      <w:r w:rsidR="00B57951">
        <w:t>2.</w:t>
      </w:r>
      <w:r w:rsidRPr="003207EC">
        <w:t xml:space="preserve"> Representative growth curves for two strain variants with different concentration of cobalt supplement. Time points for supernatant methanol concentration measurements were highlighted by shapes corresponding to each condition. Growth rate </w:t>
      </w:r>
      <w:r>
        <w:t xml:space="preserve">and biomass yield </w:t>
      </w:r>
      <w:r w:rsidRPr="003207EC">
        <w:t xml:space="preserve">were reported for each condition with p values from student t-test with n&gt;=3. </w:t>
      </w:r>
    </w:p>
    <w:p w14:paraId="40AA48C5" w14:textId="5FD438DC" w:rsidR="00E920FA" w:rsidRPr="003207EC" w:rsidRDefault="00F00D15" w:rsidP="009855DF">
      <w:pPr>
        <w:divId w:val="1326516459"/>
        <w:rPr>
          <w:rFonts w:ascii="Times New Roman" w:hAnsi="Times New Roman"/>
          <w:sz w:val="24"/>
        </w:rPr>
      </w:pPr>
      <w:r>
        <w:rPr>
          <w:rFonts w:ascii="Times New Roman" w:hAnsi="Times New Roman"/>
          <w:noProof/>
          <w:sz w:val="24"/>
          <w:lang w:eastAsia="zh-CN"/>
        </w:rPr>
        <w:lastRenderedPageBreak/>
        <w:drawing>
          <wp:inline distT="0" distB="0" distL="0" distR="0" wp14:anchorId="21D3AD61" wp14:editId="6B96366C">
            <wp:extent cx="6126480" cy="4709160"/>
            <wp:effectExtent l="0" t="0" r="762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6480" cy="4709160"/>
                    </a:xfrm>
                    <a:prstGeom prst="rect">
                      <a:avLst/>
                    </a:prstGeom>
                    <a:noFill/>
                  </pic:spPr>
                </pic:pic>
              </a:graphicData>
            </a:graphic>
          </wp:inline>
        </w:drawing>
      </w:r>
    </w:p>
    <w:p w14:paraId="06BFB431" w14:textId="3E198744" w:rsidR="009855DF" w:rsidRPr="00E34F3D" w:rsidRDefault="009855DF" w:rsidP="00437FD6">
      <w:pPr>
        <w:pStyle w:val="Caption"/>
        <w:divId w:val="1326516459"/>
      </w:pPr>
      <w:r>
        <w:t xml:space="preserve"> Figure </w:t>
      </w:r>
      <w:r w:rsidR="00A970DC">
        <w:t>2.</w:t>
      </w:r>
      <w:r>
        <w:t>3</w:t>
      </w:r>
      <w:r w:rsidRPr="00E34F3D">
        <w:t>.  Flux distribution map showing flux value</w:t>
      </w:r>
      <w:r>
        <w:t>s normalized to the methanol uptake rate</w:t>
      </w:r>
      <w:r w:rsidRPr="00E34F3D">
        <w:t xml:space="preserve">. The major differences </w:t>
      </w:r>
      <w:r>
        <w:t>are</w:t>
      </w:r>
      <w:r w:rsidRPr="00E34F3D">
        <w:t xml:space="preserve"> highlighted in colors. In green, the increased fluxes correlated with higher growth rate; in red and pink, the increased fluxes correlated with higher </w:t>
      </w:r>
      <w:r>
        <w:t xml:space="preserve">biomass </w:t>
      </w:r>
      <w:r w:rsidRPr="00E34F3D">
        <w:t xml:space="preserve">yield. </w:t>
      </w:r>
      <w:r>
        <w:t xml:space="preserve">a) </w:t>
      </w:r>
      <w:r w:rsidRPr="00E34F3D">
        <w:t xml:space="preserve">flux partition </w:t>
      </w:r>
      <w:r>
        <w:t>at the</w:t>
      </w:r>
      <w:r w:rsidRPr="00E34F3D">
        <w:t xml:space="preserve"> </w:t>
      </w:r>
      <w:proofErr w:type="spellStart"/>
      <w:r w:rsidRPr="00E34F3D">
        <w:t>formate</w:t>
      </w:r>
      <w:proofErr w:type="spellEnd"/>
      <w:r w:rsidRPr="00E34F3D">
        <w:t xml:space="preserve"> nod</w:t>
      </w:r>
      <w:r>
        <w:t xml:space="preserve">e; b) </w:t>
      </w:r>
      <w:r w:rsidRPr="00E34F3D">
        <w:t xml:space="preserve">fluxes from PEP to </w:t>
      </w:r>
      <w:proofErr w:type="spellStart"/>
      <w:r w:rsidRPr="00E34F3D">
        <w:t>AcCoA</w:t>
      </w:r>
      <w:proofErr w:type="spellEnd"/>
      <w:r w:rsidRPr="00E34F3D">
        <w:t xml:space="preserve"> using PK and PYRDH pathway, and OAA to PEP with PEPCK. </w:t>
      </w:r>
      <w:r>
        <w:t xml:space="preserve">c) </w:t>
      </w:r>
      <w:r w:rsidRPr="00E34F3D">
        <w:t xml:space="preserve">flux through MDH and MCL. </w:t>
      </w:r>
      <w:r>
        <w:t xml:space="preserve">d) </w:t>
      </w:r>
      <w:r w:rsidRPr="00E34F3D">
        <w:t>flux through PEPCL and ME</w:t>
      </w:r>
      <w:r>
        <w:t>.</w:t>
      </w:r>
      <w:r w:rsidRPr="00E34F3D">
        <w:t xml:space="preserve"> </w:t>
      </w:r>
      <w:r w:rsidRPr="001E4590">
        <w:t xml:space="preserve">Data represent the averages from 3 biological replicates </w:t>
      </w:r>
      <w:r>
        <w:t>±</w:t>
      </w:r>
      <w:r w:rsidRPr="001E4590">
        <w:t xml:space="preserve"> standard deviations.</w:t>
      </w:r>
    </w:p>
    <w:p w14:paraId="037069BC" w14:textId="0EACDD19" w:rsidR="009855DF" w:rsidRDefault="009855DF" w:rsidP="00437FD6">
      <w:pPr>
        <w:pStyle w:val="Heading2"/>
        <w:divId w:val="1326516459"/>
      </w:pPr>
      <w:bookmarkStart w:id="56" w:name="_Toc468311725"/>
      <w:r w:rsidRPr="00075D6E">
        <w:t>Supplementary material</w:t>
      </w:r>
      <w:r w:rsidR="00A86DC6">
        <w:t>s</w:t>
      </w:r>
      <w:bookmarkEnd w:id="56"/>
    </w:p>
    <w:p w14:paraId="0A95120A" w14:textId="2FB28F2A" w:rsidR="009855DF" w:rsidRPr="00DB1659" w:rsidRDefault="003553D5" w:rsidP="00CB091A">
      <w:pPr>
        <w:divId w:val="1326516459"/>
        <w:rPr>
          <w:b/>
        </w:rPr>
      </w:pPr>
      <w:r>
        <w:t>Table</w:t>
      </w:r>
      <w:r w:rsidR="009855DF" w:rsidRPr="00A67A00">
        <w:t xml:space="preserve"> S</w:t>
      </w:r>
      <w:r>
        <w:t>2</w:t>
      </w:r>
      <w:r w:rsidR="00B878E5">
        <w:t>_</w:t>
      </w:r>
      <w:r w:rsidR="009855DF" w:rsidRPr="00A67A00">
        <w:t xml:space="preserve">1 Genomic differences between different </w:t>
      </w:r>
      <w:r w:rsidR="009855DF" w:rsidRPr="00A67A00">
        <w:rPr>
          <w:i/>
        </w:rPr>
        <w:t xml:space="preserve">M. </w:t>
      </w:r>
      <w:proofErr w:type="spellStart"/>
      <w:r w:rsidR="009855DF" w:rsidRPr="00A67A00">
        <w:rPr>
          <w:i/>
        </w:rPr>
        <w:t>extorquens</w:t>
      </w:r>
      <w:proofErr w:type="spellEnd"/>
      <w:r w:rsidR="009855DF" w:rsidRPr="00A67A00">
        <w:rPr>
          <w:i/>
        </w:rPr>
        <w:t xml:space="preserve"> </w:t>
      </w:r>
      <w:r w:rsidR="009855DF" w:rsidRPr="00A67A00">
        <w:t xml:space="preserve">AM1 strains.  Genome of the Marx laboratory strain has been published </w:t>
      </w:r>
      <w:r w:rsidR="009855DF" w:rsidRPr="00A67A00">
        <w:fldChar w:fldCharType="begin" w:fldLock="1"/>
      </w:r>
      <w:r w:rsidR="008C0508">
        <w:instrText>ADDIN CSL_CITATION { "citationItems" : [ { "id" : "ITEM-1", "itemData" : { "DOI" : "10.1126/science.1203799", "ISSN" : "1095-9203", "PMID" : "21636771", "abstract" : "Epistasis has substantial impacts on evolution, in particular, the rate of adaptation. We generated combinations of beneficial mutations that arose in a lineage during rapid adaptation of a bacterium whose growth depended on a newly introduced metabolic pathway. The proportional selective benefit for three of the four loci consistently decreased when they were introduced onto more fit backgrounds. These three alleles all reduced morphological defects caused by expression of the foreign pathway. A simple theoretical model segregating the apparent contribution of individual alleles to benefits and costs effectively predicted the interactions between them. These results provide the first evidence that patterns of epistasis may differ for within- and between-gene interactions during adaptation and that diminishing returns epistasis contributes to the consistent observation of decelerating fitness gains during adaptation.", "author" : [ { "dropping-particle" : "", "family" : "Chou", "given" : "Hsin-Hung", "non-dropping-particle" : "", "parse-names" : false, "suffix" : "" }, { "dropping-particle" : "", "family" : "Chiu", "given" : "Hsuan-Chao", "non-dropping-particle" : "", "parse-names" : false, "suffix" : "" }, { "dropping-particle" : "", "family" : "Delaney", "given" : "Nigel F", "non-dropping-particle" : "", "parse-names" : false, "suffix" : "" }, { "dropping-particle" : "", "family" : "Segr\u00e8", "given" : "Daniel", "non-dropping-particle" : "", "parse-names" : false, "suffix" : "" }, { "dropping-particle" : "", "family" : "Marx", "given" : "Christopher J", "non-dropping-particle" : "", "parse-names" : false, "suffix" : "" } ], "container-title" : "Science (New York, N.Y.)", "id" : "ITEM-1", "issue" : "6034", "issued" : { "date-parts" : [ [ "2011", "6", "3" ] ] }, "page" : "1190-2", "title" : "Diminishing returns epistasis among beneficial mutations decelerates adaptation.", "type" : "article-journal", "volume" : "332" }, "uris" : [ "http://www.mendeley.com/documents/?uuid=cc1c31a6-4a7a-4bc2-9980-d33950f88c5d" ] } ], "mendeley" : { "formattedCitation" : "[55]", "plainTextFormattedCitation" : "[55]", "previouslyFormattedCitation" : "[55]" }, "properties" : { "noteIndex" : 0 }, "schema" : "https://github.com/citation-style-language/schema/raw/master/csl-citation.json" }</w:instrText>
      </w:r>
      <w:r w:rsidR="009855DF" w:rsidRPr="00A67A00">
        <w:fldChar w:fldCharType="separate"/>
      </w:r>
      <w:r w:rsidR="0005386F" w:rsidRPr="0005386F">
        <w:rPr>
          <w:noProof/>
        </w:rPr>
        <w:t>[55]</w:t>
      </w:r>
      <w:r w:rsidR="009855DF" w:rsidRPr="00A67A00">
        <w:fldChar w:fldCharType="end"/>
      </w:r>
    </w:p>
    <w:p w14:paraId="13E1BAB7" w14:textId="3C0C9983" w:rsidR="009855DF" w:rsidRPr="00A67A00" w:rsidRDefault="007951E8" w:rsidP="00CB091A">
      <w:pPr>
        <w:divId w:val="1326516459"/>
      </w:pPr>
      <w:r>
        <w:t>Supporting file 2</w:t>
      </w:r>
      <w:r w:rsidR="00B878E5">
        <w:t>_</w:t>
      </w:r>
      <w:r w:rsidR="00763BD2">
        <w:t>1</w:t>
      </w:r>
      <w:r w:rsidR="009855DF" w:rsidRPr="00A67A00">
        <w:t xml:space="preserve">: central carbon metabolism model for </w:t>
      </w:r>
      <w:r w:rsidR="009855DF" w:rsidRPr="00A67A00">
        <w:rPr>
          <w:i/>
        </w:rPr>
        <w:t xml:space="preserve">M. </w:t>
      </w:r>
      <w:proofErr w:type="spellStart"/>
      <w:r w:rsidR="009855DF" w:rsidRPr="00A67A00">
        <w:rPr>
          <w:i/>
        </w:rPr>
        <w:t>extorquens</w:t>
      </w:r>
      <w:proofErr w:type="spellEnd"/>
      <w:r w:rsidR="009855DF" w:rsidRPr="00A67A00">
        <w:rPr>
          <w:i/>
        </w:rPr>
        <w:t xml:space="preserve"> </w:t>
      </w:r>
      <w:r w:rsidR="009855DF" w:rsidRPr="00A67A00">
        <w:t>AM1 and list of metabolites with full name</w:t>
      </w:r>
    </w:p>
    <w:p w14:paraId="55C4B0FB" w14:textId="696B67C0" w:rsidR="009855DF" w:rsidRPr="00A67A00" w:rsidRDefault="009855DF" w:rsidP="00CB091A">
      <w:pPr>
        <w:divId w:val="1326516459"/>
      </w:pPr>
      <w:r w:rsidRPr="00A67A00">
        <w:lastRenderedPageBreak/>
        <w:t xml:space="preserve">Supporting file </w:t>
      </w:r>
      <w:r w:rsidR="007951E8">
        <w:t>2</w:t>
      </w:r>
      <w:r w:rsidR="00A054CA">
        <w:t>_</w:t>
      </w:r>
      <w:r w:rsidRPr="00A67A00">
        <w:t xml:space="preserve">2: three replicates of </w:t>
      </w:r>
      <w:proofErr w:type="spellStart"/>
      <w:r w:rsidRPr="00A67A00">
        <w:t>isotopomer</w:t>
      </w:r>
      <w:proofErr w:type="spellEnd"/>
      <w:r w:rsidRPr="00A67A00">
        <w:t xml:space="preserve"> labeling pattern of metabolites used in the simulation</w:t>
      </w:r>
    </w:p>
    <w:p w14:paraId="75C6775B" w14:textId="157F37E0" w:rsidR="009855DF" w:rsidRPr="00A67A00" w:rsidRDefault="009855DF" w:rsidP="00CB091A">
      <w:pPr>
        <w:divId w:val="1326516459"/>
      </w:pPr>
      <w:r w:rsidRPr="00A67A00">
        <w:t xml:space="preserve">Supporting file </w:t>
      </w:r>
      <w:r w:rsidR="007951E8">
        <w:t>2</w:t>
      </w:r>
      <w:r w:rsidR="00A054CA">
        <w:t>_</w:t>
      </w:r>
      <w:r w:rsidRPr="00A67A00">
        <w:t>3: detailed table for simulated flux with absolute values for all four conditions with 3 replicates each</w:t>
      </w:r>
    </w:p>
    <w:p w14:paraId="59DDC6A8" w14:textId="320F57A6" w:rsidR="009855DF" w:rsidRDefault="009855DF" w:rsidP="00CB091A">
      <w:pPr>
        <w:divId w:val="1326516459"/>
      </w:pPr>
      <w:r w:rsidRPr="00A67A00">
        <w:t xml:space="preserve">Supporting file </w:t>
      </w:r>
      <w:r w:rsidR="007951E8">
        <w:t>2</w:t>
      </w:r>
      <w:r w:rsidR="00A054CA">
        <w:t>_</w:t>
      </w:r>
      <w:r w:rsidRPr="00A67A00">
        <w:t>4: detailed table for simulated flux distribution with relative values to specific methanol uptake rate for all four conditions with 3 replicates each</w:t>
      </w:r>
    </w:p>
    <w:p w14:paraId="56D7B0D5" w14:textId="49D10F69" w:rsidR="00E640F8" w:rsidRPr="001A7179" w:rsidRDefault="00E640F8">
      <w:pPr>
        <w:spacing w:line="240" w:lineRule="auto"/>
        <w:rPr>
          <w:rFonts w:cs="Arial"/>
          <w:szCs w:val="20"/>
          <w:lang w:eastAsia="zh-CN"/>
        </w:rPr>
      </w:pPr>
      <w:r w:rsidRPr="001A7179">
        <w:rPr>
          <w:rFonts w:cs="Arial"/>
          <w:szCs w:val="20"/>
        </w:rPr>
        <w:br w:type="page"/>
      </w:r>
    </w:p>
    <w:p w14:paraId="4E9905F1" w14:textId="5190124C" w:rsidR="00FA063B" w:rsidRDefault="003629FF" w:rsidP="0053052B">
      <w:pPr>
        <w:pStyle w:val="Heading1"/>
      </w:pPr>
      <w:bookmarkStart w:id="57" w:name="_Toc468311726"/>
      <w:r w:rsidRPr="0053052B">
        <w:lastRenderedPageBreak/>
        <w:t>Chapter 3</w:t>
      </w:r>
      <w:bookmarkStart w:id="58" w:name="header-c18"/>
      <w:bookmarkEnd w:id="58"/>
      <w:r w:rsidR="00B4754D">
        <w:t>:</w:t>
      </w:r>
      <w:r w:rsidR="0053052B" w:rsidRPr="0053052B">
        <w:t xml:space="preserve"> </w:t>
      </w:r>
      <w:r w:rsidR="00FA063B" w:rsidRPr="0053052B">
        <w:t xml:space="preserve">Oxidative TCA cycle operating during </w:t>
      </w:r>
      <w:proofErr w:type="spellStart"/>
      <w:r w:rsidR="00FA063B" w:rsidRPr="0053052B">
        <w:t>metha</w:t>
      </w:r>
      <w:r w:rsidR="00DC70EB">
        <w:t>notrophic</w:t>
      </w:r>
      <w:proofErr w:type="spellEnd"/>
      <w:r w:rsidR="00DC70EB">
        <w:t xml:space="preserve"> growth of the Type I m</w:t>
      </w:r>
      <w:r w:rsidR="00FA063B" w:rsidRPr="0053052B">
        <w:t xml:space="preserve">ethanotroph </w:t>
      </w:r>
      <w:proofErr w:type="spellStart"/>
      <w:r w:rsidR="00FA063B" w:rsidRPr="0053052B">
        <w:t>Methylomicrobium</w:t>
      </w:r>
      <w:proofErr w:type="spellEnd"/>
      <w:r w:rsidR="00FA063B" w:rsidRPr="0053052B">
        <w:t xml:space="preserve"> buryatense 5GB1</w:t>
      </w:r>
      <w:bookmarkEnd w:id="57"/>
    </w:p>
    <w:p w14:paraId="637FE6C2" w14:textId="77777777" w:rsidR="0026247A" w:rsidRPr="0026247A" w:rsidRDefault="0026247A" w:rsidP="0026247A">
      <w:pPr>
        <w:pStyle w:val="Heading2"/>
      </w:pPr>
      <w:bookmarkStart w:id="59" w:name="_Toc468311727"/>
      <w:r w:rsidRPr="0026247A">
        <w:t>Abstract</w:t>
      </w:r>
      <w:bookmarkEnd w:id="59"/>
    </w:p>
    <w:p w14:paraId="3CC49ECE" w14:textId="77777777" w:rsidR="0026247A" w:rsidRPr="0026247A" w:rsidRDefault="0026247A" w:rsidP="0026247A">
      <w:proofErr w:type="spellStart"/>
      <w:r w:rsidRPr="0026247A">
        <w:t>Methanotrophs</w:t>
      </w:r>
      <w:proofErr w:type="spellEnd"/>
      <w:r w:rsidRPr="0026247A">
        <w:t xml:space="preserve"> are a group of bacteria that use methane as sole carbon and energy source. Type I </w:t>
      </w:r>
      <w:proofErr w:type="spellStart"/>
      <w:r w:rsidRPr="0026247A">
        <w:t>methanotrophs</w:t>
      </w:r>
      <w:proofErr w:type="spellEnd"/>
      <w:r w:rsidRPr="0026247A">
        <w:t xml:space="preserve"> are gamma-</w:t>
      </w:r>
      <w:proofErr w:type="spellStart"/>
      <w:r w:rsidRPr="0026247A">
        <w:t>proteobacterial</w:t>
      </w:r>
      <w:proofErr w:type="spellEnd"/>
      <w:r w:rsidRPr="0026247A">
        <w:t xml:space="preserve"> </w:t>
      </w:r>
      <w:proofErr w:type="spellStart"/>
      <w:r w:rsidRPr="0026247A">
        <w:t>methanotrophs</w:t>
      </w:r>
      <w:proofErr w:type="spellEnd"/>
      <w:r w:rsidRPr="0026247A">
        <w:t xml:space="preserve"> using the ribulose monophosphate cycle (</w:t>
      </w:r>
      <w:proofErr w:type="spellStart"/>
      <w:r w:rsidRPr="0026247A">
        <w:t>RuMP</w:t>
      </w:r>
      <w:proofErr w:type="spellEnd"/>
      <w:r w:rsidRPr="0026247A">
        <w:t xml:space="preserve">) cycle for methane assimilation. In order to facilitate metabolic engineering in the industrially promising Type I methanotroph </w:t>
      </w:r>
      <w:proofErr w:type="spellStart"/>
      <w:r w:rsidRPr="0026247A">
        <w:rPr>
          <w:i/>
        </w:rPr>
        <w:t>Methylomicrobium</w:t>
      </w:r>
      <w:proofErr w:type="spellEnd"/>
      <w:r w:rsidRPr="0026247A">
        <w:rPr>
          <w:i/>
        </w:rPr>
        <w:t xml:space="preserve"> buryatense</w:t>
      </w:r>
      <w:r w:rsidRPr="0026247A">
        <w:t xml:space="preserve"> 5GB1, flux analysis of cellular metabolism is needed and </w:t>
      </w:r>
      <w:r w:rsidRPr="0026247A">
        <w:rPr>
          <w:vertAlign w:val="superscript"/>
        </w:rPr>
        <w:t>13</w:t>
      </w:r>
      <w:r w:rsidRPr="0026247A">
        <w:t xml:space="preserve">C tracer analysis is a foundational tool for such work. This biological system has a single-carbon input and a special network topology that together pose challenges to the current well-established methodology for </w:t>
      </w:r>
      <w:r w:rsidRPr="0026247A">
        <w:rPr>
          <w:vertAlign w:val="superscript"/>
        </w:rPr>
        <w:t>13</w:t>
      </w:r>
      <w:r w:rsidRPr="0026247A">
        <w:t xml:space="preserve">C tracer analysis using a multi-carbon input such as glucose, and to date, no </w:t>
      </w:r>
      <w:r w:rsidRPr="0026247A">
        <w:rPr>
          <w:vertAlign w:val="superscript"/>
        </w:rPr>
        <w:t>13</w:t>
      </w:r>
      <w:r w:rsidRPr="0026247A">
        <w:t xml:space="preserve">C tracer analysis of flux in a Type I methanotroph has been reported. In this study, we showed that by monitoring labeling patterns of several key intermediate metabolites in core metabolism, it is possible to quantitate the relative flux ratios for important branch points, such as the malate node. In addition, it is possible to assess the operation of the TCA cycle, which has been thought to be incomplete in Type I </w:t>
      </w:r>
      <w:proofErr w:type="spellStart"/>
      <w:r w:rsidRPr="0026247A">
        <w:t>methanotrophs</w:t>
      </w:r>
      <w:proofErr w:type="spellEnd"/>
      <w:r w:rsidRPr="0026247A">
        <w:t xml:space="preserve">.  Surprisingly, our analysis provides direct evidence of a complete, oxidative TCA cycle operating in </w:t>
      </w:r>
      <w:r w:rsidRPr="0026247A">
        <w:rPr>
          <w:i/>
        </w:rPr>
        <w:t xml:space="preserve">M. buryatense </w:t>
      </w:r>
      <w:r w:rsidRPr="0026247A">
        <w:t xml:space="preserve">5GB1 using methane as the carbon and energy substrate, contributing about 45% of the total flux for </w:t>
      </w:r>
      <w:r w:rsidRPr="0026247A">
        <w:rPr>
          <w:i/>
        </w:rPr>
        <w:t>de novo</w:t>
      </w:r>
      <w:r w:rsidRPr="0026247A">
        <w:t xml:space="preserve"> malate production. Combined with mutant analysis, this method was able to identify </w:t>
      </w:r>
      <w:proofErr w:type="spellStart"/>
      <w:r w:rsidRPr="0026247A">
        <w:rPr>
          <w:i/>
        </w:rPr>
        <w:t>fumA</w:t>
      </w:r>
      <w:proofErr w:type="spellEnd"/>
      <w:r w:rsidRPr="0026247A">
        <w:t xml:space="preserve"> (METBUDRAFT_1453/MBURv2__60244) as the primary </w:t>
      </w:r>
      <w:proofErr w:type="spellStart"/>
      <w:r w:rsidRPr="0026247A">
        <w:t>fumarase</w:t>
      </w:r>
      <w:proofErr w:type="spellEnd"/>
      <w:r w:rsidRPr="0026247A">
        <w:t xml:space="preserve"> involved in the oxidative TCA cycle, among 2 predicted </w:t>
      </w:r>
      <w:proofErr w:type="spellStart"/>
      <w:r w:rsidRPr="0026247A">
        <w:t>fumarases</w:t>
      </w:r>
      <w:proofErr w:type="spellEnd"/>
      <w:r w:rsidRPr="0026247A">
        <w:t xml:space="preserve">, supported by </w:t>
      </w:r>
      <w:r w:rsidRPr="0026247A">
        <w:rPr>
          <w:vertAlign w:val="superscript"/>
        </w:rPr>
        <w:t>13</w:t>
      </w:r>
      <w:r w:rsidRPr="0026247A">
        <w:t xml:space="preserve">C tracer analysis on both </w:t>
      </w:r>
      <w:proofErr w:type="spellStart"/>
      <w:r w:rsidRPr="0026247A">
        <w:rPr>
          <w:i/>
        </w:rPr>
        <w:t>fumA</w:t>
      </w:r>
      <w:proofErr w:type="spellEnd"/>
      <w:r w:rsidRPr="0026247A">
        <w:t xml:space="preserve"> and </w:t>
      </w:r>
      <w:proofErr w:type="spellStart"/>
      <w:r w:rsidRPr="0026247A">
        <w:rPr>
          <w:i/>
        </w:rPr>
        <w:t>fumC</w:t>
      </w:r>
      <w:proofErr w:type="spellEnd"/>
      <w:r w:rsidRPr="0026247A">
        <w:t xml:space="preserve"> single knockouts. Interrupting the oxidative TCA cycle leads to a severe growth defect, suggesting that the oxidative TCA cycle functions to not only provide precursors for </w:t>
      </w:r>
      <w:r w:rsidRPr="0026247A">
        <w:rPr>
          <w:i/>
        </w:rPr>
        <w:t>de novo</w:t>
      </w:r>
      <w:r w:rsidRPr="0026247A">
        <w:t xml:space="preserve"> biomass synthesis, but also to provide reducing power to the system. This information provides new opportunities for metabolic engineering of </w:t>
      </w:r>
      <w:r w:rsidRPr="0026247A">
        <w:rPr>
          <w:i/>
        </w:rPr>
        <w:t xml:space="preserve">M. buryatense </w:t>
      </w:r>
      <w:r w:rsidRPr="0026247A">
        <w:t>for the production of industrially relevant products.</w:t>
      </w:r>
    </w:p>
    <w:p w14:paraId="7A1F076B" w14:textId="77777777" w:rsidR="0026247A" w:rsidRPr="0026247A" w:rsidRDefault="0026247A" w:rsidP="0026247A"/>
    <w:p w14:paraId="4F504C18" w14:textId="1DAFF32C" w:rsidR="008C670A" w:rsidRPr="00A003B0" w:rsidRDefault="008C670A" w:rsidP="00A003B0">
      <w:pPr>
        <w:pStyle w:val="Heading2"/>
      </w:pPr>
      <w:bookmarkStart w:id="60" w:name="_Toc468311728"/>
      <w:bookmarkStart w:id="61" w:name="_Toc301521571"/>
      <w:r w:rsidRPr="00A003B0">
        <w:lastRenderedPageBreak/>
        <w:t>Introduction</w:t>
      </w:r>
      <w:bookmarkEnd w:id="60"/>
    </w:p>
    <w:p w14:paraId="51B17FA9" w14:textId="4FFD7B11" w:rsidR="001A7179" w:rsidRPr="00587737" w:rsidRDefault="001A7179" w:rsidP="001A7179">
      <w:bookmarkStart w:id="62" w:name="header-c36"/>
      <w:bookmarkEnd w:id="62"/>
      <w:r w:rsidRPr="00587737">
        <w:t xml:space="preserve">Methane is the second most prevalent greenhouse gas, </w:t>
      </w:r>
      <w:r>
        <w:t>and</w:t>
      </w:r>
      <w:r w:rsidRPr="00587737">
        <w:t xml:space="preserve"> is also a cheap, abundant and renewable carbon source</w:t>
      </w:r>
      <w:r>
        <w:fldChar w:fldCharType="begin" w:fldLock="1"/>
      </w:r>
      <w:r w:rsidR="008C0508">
        <w:instrText>ADDIN CSL_CITATION { "citationItems" : [ { "id" : "ITEM-1", "itemData" : { "DOI" : "10.1016/j.biotechadv.2014.03.011", "ISSN" : "1873-1899", "PMID" : "24726715", "abstract" : "Natural gas is a mixture of low molecular weight hydrocarbon gases that can be generated from either fossil or anthropogenic resources. Although natural gas is used as a transportation fuel, constraints in storage, relatively low energy content (MJ/L), and delivery have limited widespread adoption. Advanced utilization of natural gas has been explored for biofuel production by microorganisms. In recent years, the aerobic bioconversion of natural gas (or primarily the methane content of natural gas) into liquid fuels (Bio-GTL) by biocatalysts (methanotrophs) has gained increasing attention as a promising alternative for drop-in biofuel production. Methanotrophic bacteria are capable of converting methane into microbial lipids, which can in turn be converted into renewable diesel via a hydrotreating process. In this paper, biodiversity, catalytic properties and key enzymes and pathways of these microbes are summarized. Bioprocess technologies are discussed based upon existing literature, including cultivation conditions, fermentation modes, bioreactor design, and lipid extraction and upgrading. This review also outlines the potential of Bio-GTL using methane as an alternative carbon source as well as the major challenges and future research needs of microbial lipid accumulation derived from methane, key performance index, and techno-economic analysis. An analysis of raw material costs suggests that methane-derived diesel fuel has the potential to be competitive with petroleum-derived diesel.", "author" : [ { "dropping-particle" : "", "family" : "Fei", "given" : "Qiang", "non-dropping-particle" : "", "parse-names" : false, "suffix" : "" }, { "dropping-particle" : "", "family" : "Guarnieri", "given" : "Michael T", "non-dropping-particle" : "", "parse-names" : false, "suffix" : "" }, { "dropping-particle" : "", "family" : "Tao", "given" : "Ling", "non-dropping-particle" : "", "parse-names" : false, "suffix" : "" }, { "dropping-particle" : "", "family" : "Laurens", "given" : "Lieve M L", "non-dropping-particle" : "", "parse-names" : false, "suffix" : "" }, { "dropping-particle" : "", "family" : "Dowe", "given" : "Nancy", "non-dropping-particle" : "", "parse-names" : false, "suffix" : "" }, { "dropping-particle" : "", "family" : "Pienkos", "given" : "Philip T", "non-dropping-particle" : "", "parse-names" : false, "suffix" : "" } ], "container-title" : "Biotechnology advances", "id" : "ITEM-1", "issue" : "3", "issued" : { "date-parts" : [ [ "2014", "1" ] ] }, "page" : "596-614", "title" : "Bioconversion of natural gas to liquid fuel: opportunities and challenges.", "type" : "article-journal", "volume" : "32" }, "uris" : [ "http://www.mendeley.com/documents/?uuid=07a9e746-9dc8-40ee-9bb1-5d31e5752d9e" ] }, { "id" : "ITEM-2", "itemData" : { "DOI" : "10.1038/nchembio.1509", "ISSN" : "1552-4469", "PMID" : "24743257", "abstract" : "If methane, the main component of natural gas, can be efficiently converted to liquid fuels, world reserves of methane could satisfy the demand for transportation fuels in addition to use in other sectors. However, the direct activation of strong C-H bonds in methane and conversion to desired products remains a difficult technological challenge. This perspective reveals an opportunity to rethink the logic of biological methane activation and conversion to liquid fuels. We formulate a vision for a new foundation for methane bioconversion and suggest paths to develop technologies for the production of liquid transportation fuels from methane at high carbon yield and high energy efficiency and with low CO2 emissions. These technologies could support natural gas bioconversion facilities with a low capital cost and at small scales, which in turn could monetize the use of natural gas resources that are frequently flared, vented or emitted.", "author" : [ { "dropping-particle" : "", "family" : "Haynes", "given" : "Chad A", "non-dropping-particle" : "", "parse-names" : false, "suffix" : "" }, { "dropping-particle" : "", "family" : "Gonzalez", "given" : "Ramon", "non-dropping-particle" : "", "parse-names" : false, "suffix" : "" } ], "container-title" : "Nature chemical biology", "id" : "ITEM-2", "issue" : "5", "issued" : { "date-parts" : [ [ "2014", "5" ] ] }, "page" : "331-9", "publisher" : "Nature Publishing Group, a division of Macmillan Publishers Limited. All Rights Reserved.", "title" : "Rethinking biological activation of methane and conversion to liquid fuels.", "title-short" : "Nat Chem Biol", "type" : "article-journal", "volume" : "10" }, "uris" : [ "http://www.mendeley.com/documents/?uuid=972059fb-98fb-40d5-ba94-40fe4e2ba9f7" ] } ], "mendeley" : { "formattedCitation" : "[10, 60]", "plainTextFormattedCitation" : "[10, 60]", "previouslyFormattedCitation" : "[10, 60]" }, "properties" : { "noteIndex" : 0 }, "schema" : "https://github.com/citation-style-language/schema/raw/master/csl-citation.json" }</w:instrText>
      </w:r>
      <w:r>
        <w:fldChar w:fldCharType="separate"/>
      </w:r>
      <w:r w:rsidR="0005386F" w:rsidRPr="0005386F">
        <w:rPr>
          <w:noProof/>
        </w:rPr>
        <w:t>[10, 60]</w:t>
      </w:r>
      <w:r>
        <w:fldChar w:fldCharType="end"/>
      </w:r>
      <w:r>
        <w:t xml:space="preserve">. </w:t>
      </w:r>
      <w:r w:rsidRPr="00587737">
        <w:t xml:space="preserve">Converting methane to valuable </w:t>
      </w:r>
      <w:r>
        <w:t>products</w:t>
      </w:r>
      <w:r w:rsidRPr="00587737">
        <w:t xml:space="preserve"> </w:t>
      </w:r>
      <w:r>
        <w:t>at an industrial scale using</w:t>
      </w:r>
      <w:r w:rsidRPr="00587737">
        <w:t xml:space="preserve"> </w:t>
      </w:r>
      <w:proofErr w:type="spellStart"/>
      <w:r w:rsidRPr="00587737">
        <w:t>methanotrophs</w:t>
      </w:r>
      <w:proofErr w:type="spellEnd"/>
      <w:r w:rsidRPr="00587737">
        <w:t xml:space="preserve"> </w:t>
      </w:r>
      <w:r>
        <w:t xml:space="preserve">will </w:t>
      </w:r>
      <w:r w:rsidRPr="00587737">
        <w:t>require iteration</w:t>
      </w:r>
      <w:r>
        <w:t>s</w:t>
      </w:r>
      <w:r w:rsidRPr="00587737">
        <w:t xml:space="preserve"> of strain optimization for higher yield and efficiency. </w:t>
      </w:r>
      <w:r w:rsidRPr="00587737">
        <w:rPr>
          <w:i/>
        </w:rPr>
        <w:t>M. buryatense</w:t>
      </w:r>
      <w:r>
        <w:t xml:space="preserve"> 5GB1</w:t>
      </w:r>
      <w:r w:rsidRPr="00587737">
        <w:t xml:space="preserve"> is a robust and fast-growing </w:t>
      </w:r>
      <w:r>
        <w:t>Type I (gamma-</w:t>
      </w:r>
      <w:proofErr w:type="spellStart"/>
      <w:r>
        <w:t>proteobacterial</w:t>
      </w:r>
      <w:proofErr w:type="spellEnd"/>
      <w:r>
        <w:t xml:space="preserve">) </w:t>
      </w:r>
      <w:r w:rsidRPr="00587737">
        <w:t>methanotroph, which is also highly resistant to contamination due to the</w:t>
      </w:r>
      <w:r>
        <w:t xml:space="preserve"> </w:t>
      </w:r>
      <w:r w:rsidRPr="00587737">
        <w:t>high pH</w:t>
      </w:r>
      <w:r>
        <w:t xml:space="preserve"> and</w:t>
      </w:r>
      <w:r w:rsidRPr="00587737">
        <w:t xml:space="preserve"> </w:t>
      </w:r>
      <w:r>
        <w:t>salt in optimal culture conditions</w:t>
      </w:r>
      <w:r>
        <w:fldChar w:fldCharType="begin" w:fldLock="1"/>
      </w:r>
      <w:r w:rsidR="008C0508">
        <w:instrText>ADDIN CSL_CITATION { "citationItems" : [ { "id" : "ITEM-1", "itemData" : { "DOI" : "10.1007/s002849900249", "ISSN" : "0343-8651", "author" : [ { "dropping-particle" : "", "family" : "Khmelenina", "given" : "Valentina N.", "non-dropping-particle" : "", "parse-names" : false, "suffix" : "" }, { "dropping-particle" : "", "family" : "Kalyuzhnaya", "given" : "Marina G.", "non-dropping-particle" : "", "parse-names" : false, "suffix" : "" }, { "dropping-particle" : "", "family" : "Starostina", "given" : "Natalia G.", "non-dropping-particle" : "", "parse-names" : false, "suffix" : "" }, { "dropping-particle" : "", "family" : "Suzina", "given" : "Natalia E.", "non-dropping-particle" : "", "parse-names" : false, "suffix" : "" }, { "dropping-particle" : "", "family" : "Trotsenko", "given" : "Yuri A.", "non-dropping-particle" : "", "parse-names" : false, "suffix" : "" } ], "container-title" : "Current Microbiology", "id" : "ITEM-1", "issue" : "5", "issued" : { "date-parts" : [ [ "1997", "11", "1" ] ] }, "page" : "257-261", "publisher" : "Springer-Verlag", "title" : "Isolation and Characterization of Halotolerant Alkaliphilic Methanotrophic Bacteria from Tuva Soda Lakes", "type" : "article-journal", "volume" : "35" }, "uris" : [ "http://www.mendeley.com/documents/?uuid=1b97d7c8-b93c-3012-b217-7e5c23ec1c65" ] } ], "mendeley" : { "formattedCitation" : "[61]", "plainTextFormattedCitation" : "[61]", "previouslyFormattedCitation" : "[61]" }, "properties" : { "noteIndex" : 0 }, "schema" : "https://github.com/citation-style-language/schema/raw/master/csl-citation.json" }</w:instrText>
      </w:r>
      <w:r>
        <w:fldChar w:fldCharType="separate"/>
      </w:r>
      <w:r w:rsidR="0005386F" w:rsidRPr="0005386F">
        <w:rPr>
          <w:noProof/>
        </w:rPr>
        <w:t>[61]</w:t>
      </w:r>
      <w:r>
        <w:fldChar w:fldCharType="end"/>
      </w:r>
      <w:r>
        <w:t xml:space="preserve">. </w:t>
      </w:r>
      <w:r w:rsidRPr="00587737">
        <w:rPr>
          <w:i/>
        </w:rPr>
        <w:t>M. buryatense</w:t>
      </w:r>
      <w:r>
        <w:t xml:space="preserve"> 5GB1</w:t>
      </w:r>
      <w:r w:rsidRPr="00587737">
        <w:t xml:space="preserve"> is a good candidate for </w:t>
      </w:r>
      <w:r>
        <w:t>the industrial scale</w:t>
      </w:r>
      <w:r w:rsidRPr="00587737">
        <w:t xml:space="preserve"> application</w:t>
      </w:r>
      <w:r>
        <w:t xml:space="preserve"> of methane bioconversion to valuable chemicals</w:t>
      </w:r>
      <w:r>
        <w:fldChar w:fldCharType="begin" w:fldLock="1"/>
      </w:r>
      <w:r w:rsidR="00AF0B7D">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"142-152", "title" : "Metabolic engineering in methanotrophic bacteria.", "type" : "article-journal", "volume" : "29" }, "uris" : [ "http://www.mendeley.com/documents/?uuid=c1eb0f99-f2fa-4666-9994-4a45e87be165" ] } ], "mendeley" : { "formattedCitation" : "[4]", "plainTextFormattedCitation" : "[4]", "previouslyFormattedCitation" : "[4]" }, "properties" : { "noteIndex" : 0 }, "schema" : "https://github.com/citation-style-language/schema/raw/master/csl-citation.json" }</w:instrText>
      </w:r>
      <w:r>
        <w:fldChar w:fldCharType="separate"/>
      </w:r>
      <w:r w:rsidR="00300EB6" w:rsidRPr="00300EB6">
        <w:rPr>
          <w:noProof/>
        </w:rPr>
        <w:t>[4]</w:t>
      </w:r>
      <w:r>
        <w:fldChar w:fldCharType="end"/>
      </w:r>
      <w:r w:rsidRPr="00587737">
        <w:t>, with a series of developed genetic manipulation tools</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"id" : "ITEM-2",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"ITEM-2",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"[62, 63]", "plainTextFormattedCitation" : "[62, 63]", "previouslyFormattedCitation" : "[62, 63]" }, "properties" : { "noteIndex" : 0 }, "schema" : "https://github.com/citation-style-language/schema/raw/master/csl-citation.json" }</w:instrText>
      </w:r>
      <w:r>
        <w:fldChar w:fldCharType="separate"/>
      </w:r>
      <w:r w:rsidR="0005386F" w:rsidRPr="0005386F">
        <w:rPr>
          <w:noProof/>
        </w:rPr>
        <w:t>[62, 63]</w:t>
      </w:r>
      <w:r>
        <w:fldChar w:fldCharType="end"/>
      </w:r>
      <w:r>
        <w:t xml:space="preserve"> as well as bioreactor performance datasets</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available. The whole genome of </w:t>
      </w:r>
      <w:r w:rsidRPr="00587737">
        <w:rPr>
          <w:i/>
        </w:rPr>
        <w:t>M. buryatense</w:t>
      </w:r>
      <w:r>
        <w:t xml:space="preserve"> 5GB1 was also annotated and published</w:t>
      </w:r>
      <w:r>
        <w:fldChar w:fldCharType="begin" w:fldLock="1"/>
      </w:r>
      <w:r w:rsidR="00CF7D99">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fldChar w:fldCharType="separate"/>
      </w:r>
      <w:r w:rsidR="008F71E9" w:rsidRPr="008F71E9">
        <w:rPr>
          <w:noProof/>
        </w:rPr>
        <w:t>[28]</w:t>
      </w:r>
      <w:r>
        <w:fldChar w:fldCharType="end"/>
      </w:r>
      <w:r>
        <w:t xml:space="preserve">. </w:t>
      </w:r>
      <w:r w:rsidRPr="00587737">
        <w:t>However, in order to facilitate the process o</w:t>
      </w:r>
      <w:r>
        <w:t xml:space="preserve">f metabolic engineering of </w:t>
      </w:r>
      <w:r w:rsidRPr="00587737">
        <w:rPr>
          <w:i/>
        </w:rPr>
        <w:t>M. buryatense</w:t>
      </w:r>
      <w:r>
        <w:t xml:space="preserve"> 5GB1</w:t>
      </w:r>
      <w:r w:rsidRPr="00587737">
        <w:t xml:space="preserve">, quantitative characterization of cellular metabolism using </w:t>
      </w:r>
      <w:r w:rsidRPr="00587737">
        <w:rPr>
          <w:vertAlign w:val="superscript"/>
        </w:rPr>
        <w:t>13</w:t>
      </w:r>
      <w:r w:rsidRPr="00587737">
        <w:t xml:space="preserve">C tracer </w:t>
      </w:r>
      <w:r>
        <w:t xml:space="preserve">analysis needs to be developed. </w:t>
      </w:r>
      <w:r w:rsidRPr="00587737">
        <w:t>Stable isotope tracer experiment</w:t>
      </w:r>
      <w:r>
        <w:t>s</w:t>
      </w:r>
      <w:r w:rsidRPr="00587737">
        <w:t xml:space="preserve"> along with flux estimatio</w:t>
      </w:r>
      <w:r>
        <w:t>n and analysis is a key component of</w:t>
      </w:r>
      <w:r w:rsidRPr="00587737">
        <w:t xml:space="preserve"> </w:t>
      </w:r>
      <w:r>
        <w:t xml:space="preserve">the </w:t>
      </w:r>
      <w:r w:rsidRPr="00587737">
        <w:t>metabolic engineering toolbox</w:t>
      </w:r>
      <w:r>
        <w:fldChar w:fldCharType="begin" w:fldLock="1"/>
      </w:r>
      <w:r w:rsidR="008C0508">
        <w:instrText>ADDIN CSL_CITATION { "citationItems" : [ { "id" : "ITEM-1", "itemData" : { "DOI" : "10.1093/pcp/pci042", "ISBN" : "0849318211", "author" : [ { "dropping-particle" : "", "family" : "Klapa", "given" : "Mi", "non-dropping-particle" : "", "parse-names" : false, "suffix" : "" }, { "dropping-particle" : "", "family" : "Stephanopoulos", "given" : "G", "non-dropping-particle" : "", "parse-names" : false, "suffix" : "" } ], "container-title" : "Bioreaction Engineering", "id" : "ITEM-1", "issue" : "5", "issued" : { "date-parts" : [ [ "2000" ] ] }, "number-of-pages" : "279-306", "title" : "Metabolic flux analysis", "type" : "book" }, "uris" : [ "http://www.mendeley.com/documents/?uuid=cb7c2aa0-630c-4870-9af0-9d557ee0ec9d" ] }, { "id" : "ITEM-2", "itemData" : { "DOI" : "10.1016/j.copbio.2015.02.003", "ISSN" : "09581669", "PMID" : "25731751", "abstract" : "Measuring intracellular metabolism has increasingly led to important insights in biomedical research. (13)C tracer analysis, although less information-rich than quantitative (13)C flux analysis that requires computational data integration, has been established as a time-efficient method to unravel relative pathway activities, qualitative changes in pathway contributions, and nutrient contributions. Here, we review selected key issues in interpreting (13)C metabolite labeling patterns, with the goal of drawing accurate conclusions from steady state and dynamic stable isotopic tracer experiments.", "author" : [ { "dropping-particle" : "", "family" : "Buescher", "given" : "Joerg M", "non-dropping-particle" : "", "parse-names" : false, "suffix" : "" }, { "dropping-particle" : "", "family" : "Antoniewicz", "given" : "Maciek R", "non-dropping-particle" : "", "parse-names" : false, "suffix" : "" }, { "dropping-particle" : "", "family" : "Boros", "given" : "Laszlo G", "non-dropping-particle" : "", "parse-names" : false, "suffix" : "" }, { "dropping-particle" : "", "family" : "Burgess", "given" : "Shawn C", "non-dropping-particle" : "", "parse-names" : false, "suffix" : "" }, { "dropping-particle" : "", "family" : "Brunengraber", "given" : "Henri", "non-dropping-particle" : "", "parse-names" : false, "suffix" : "" }, { "dropping-particle" : "", "family" : "Clish", "given" : "Clary B", "non-dropping-particle" : "", "parse-names" : false, "suffix" : "" }, { "dropping-particle" : "", "family" : "DeBerardinis", "given" : "Ralph J", "non-dropping-particle" : "", "parse-names" : false, "suffix" : "" }, { "dropping-particle" : "", "family" : "Feron", "given" : "Olivier", "non-dropping-particle" : "", "parse-names" : false, "suffix" : "" }, { "dropping-particle" : "", "family" : "Frezza", "given" : "Christian", "non-dropping-particle" : "", "parse-names" : false, "suffix" : "" }, { "dropping-particle" : "", "family" : "Ghesquiere", "given" : "Bart", "non-dropping-particle" : "", "parse-names" : false, "suffix" : "" }, { "dropping-particle" : "", "family" : "Gottlieb", "given" : "Eyal", "non-dropping-particle" : "", "parse-names" : false, "suffix" : "" }, { "dropping-particle" : "", "family" : "Hiller", "given" : "Karsten", "non-dropping-particle" : "", "parse-names" : false, "suffix" : "" }, { "dropping-particle" : "", "family" : "Jones", "given" : "Russell G", "non-dropping-particle" : "", "parse-names" : false, "suffix" : "" }, { "dropping-particle" : "", "family" : "Kamphorst", "given" : "Jurre J", "non-dropping-particle" : "", "parse-names" : false, "suffix" : "" }, { "dropping-particle" : "", "family" : "Kibbey", "given" : "Richard G", "non-dropping-particle" : "", "parse-names" : false, "suffix" : "" }, { "dropping-particle" : "", "family" : "Kimmelman", "given" : "Alec C", "non-dropping-particle" : "", "parse-names" : false, "suffix" : "" }, { "dropping-particle" : "", "family" : "Locasale", "given" : "Jason W", "non-dropping-particle" : "", "parse-names" : false, "suffix" : "" }, { "dropping-particle" : "", "family" : "Lunt", "given" : "Sophia Y", "non-dropping-particle" : "", "parse-names" : false, "suffix" : "" }, { "dropping-particle" : "", "family" : "Maddocks", "given" : "Oliver DK", "non-dropping-particle" : "", "parse-names" : false, "suffix" : "" }, { "dropping-particle" : "", "family" : "Malloy", "given" : "Craig", "non-dropping-particle" : "", "parse-names" : false, "suffix" : "" }, { "dropping-particle" : "", "family" : "Metallo", "given" : "Christian M", "non-dropping-particle" : "", "parse-names" : false, "suffix" : "" }, { "dropping-particle" : "", "family" : "Meuillet", "given" : "Emmanuelle J", "non-dropping-particle" : "", "parse-names" : false, "suffix" : "" }, { "dropping-particle" : "", "family" : "Munger", "given" : "Joshua", "non-dropping-particle" : "", "parse-names" : false, "suffix" : "" }, { "dropping-particle" : "", "family" : "N\u00f6h", "given" : "Katharina", "non-dropping-particle" : "", "parse-names" : false, "suffix" : "" }, { "dropping-particle" : "", "family" : "Rabinowitz", "given" : "Joshua D", "non-dropping-particle" : "", "parse-names" : false, "suffix" : "" }, { "dropping-particle" : "", "family" : "Ralser", "given" : "Markus", "non-dropping-particle" : "", "parse-names" : false, "suffix" : "" }, { "dropping-particle" : "", "family" : "Sauer", "given" : "Uwe", "non-dropping-particle" : "", "parse-names" : false, "suffix" : "" }, { "dropping-particle" : "", "family" : "Stephanopoulos", "given" : "Gregory", "non-dropping-particle" : "", "parse-names" : false, "suffix" : "" }, { "dropping-particle" : "", "family" : "St-Pierre", "given" : "Julie", "non-dropping-particle" : "", "parse-names" : false, "suffix" : "" }, { "dropping-particle" : "", "family" : "Tennant", "given" : "Daniel A", "non-dropping-particle" : "", "parse-names" : false, "suffix" : "" }, { "dropping-particle" : "", "family" : "Wittmann", "given" : "Christoph", "non-dropping-particle" : "", "parse-names" : false, "suffix" : "" }, { "dropping-particle" : "", "family" : "Heiden", "given" : "Matthew G", "non-dropping-particle" : "Vander", "parse-names" : false, "suffix" : "" }, { "dropping-particle" : "", "family" : "Vazquez", "given" : "Alexei", "non-dropping-particle" : "", "parse-names" : false, "suffix" : "" }, { "dropping-particle" : "", "family" : "Vousden", "given" : "Karen", "non-dropping-particle" : "", "parse-names" : false, "suffix" : "" }, { "dropping-particle" : "", "family" : "Young", "given" : "Jamey D", "non-dropping-particle" : "", "parse-names" : false, "suffix" : "" }, { "dropping-particle" : "", "family" : "Zamboni", "given" : "Nicola", "non-dropping-particle" : "", "parse-names" : false, "suffix" : "" }, { "dropping-particle" : "", "family" : "Fendt", "given" : "Sarah-Maria", "non-dropping-particle" : "", "parse-names" : false, "suffix" : "" } ], "container-title" : "Current Opinion in Biotechnology", "id" : "ITEM-2", "issued" : { "date-parts" : [ [ "2015", "8", "28" ] ] }, "page" : "189-201", "title" : "A roadmap for interpreting 13C metabolite labeling patterns from cells", "type" : "article-journal", "volume" : "34" }, "uris" : [ "http://www.mendeley.com/documents/?uuid=bd41556c-5502-4742-99d8-4acf1e3d85c9" ] }, { "id" : "ITEM-3", "itemData" : { "DOI" : "10.1016/j.biotechadv.2013.05.002", "ISSN" : "1873-1899", "PMID" : "23680193", "abstract" : "Rational engineering of metabolism is important for bio-production using microorganisms. Metabolic design based on in silico simulations and experimental validation of the metabolic state in the engineered strain helps in accomplishing systematic metabolic engineering. Flux balance analysis (FBA) is a method for the prediction of metabolic phenotype, and many applications have been developed using FBA to design metabolic networks. Elementary mode analysis (EMA) and ensemble modeling techniques are also useful tools for in silico strain design. The metabolome and flux distribution of the metabolic pathways enable us to evaluate the metabolic state and provide useful clues to improve target productivity. Here, we reviewed several computational applications for metabolic engineering by using genome-scale metabolic models of microorganisms. We also discussed the recent progress made in the field of metabolomics and (13)C-metabolic flux analysis techniques, and reviewed these applications pertaining to bio-production development. Because these in silico or experimental approaches have their respective advantages and disadvantages, the combined usage of these methods is complementary and effective for metabolic engineering.", "author" : [ { "dropping-particle" : "", "family" : "Toya", "given" : "Yoshihiro", "non-dropping-particle" : "", "parse-names" : false, "suffix" : "" }, { "dropping-particle" : "", "family" : "Shimizu", "given" : "Hiroshi", "non-dropping-particle" : "", "parse-names" : false, "suffix" : "" } ], "container-title" : "Biotechnology advances", "id" : "ITEM-3", "issue" : "6", "issued" : { "date-parts" : [ [ "2013", "11" ] ] }, "note" : "from Shimizu group", "page" : "818-26", "title" : "Flux analysis and metabolomics for systematic metabolic engineering of microorganisms.", "type" : "article-journal", "volume" : "31" }, "uris" : [ "http://www.mendeley.com/documents/?uuid=5c46cbf7-9c1a-4728-830f-380a510d92c5" ] } ], "mendeley" : { "formattedCitation" : "[65\u201367]", "plainTextFormattedCitation" : "[65\u201367]", "previouslyFormattedCitation" : "[65\u201367]" }, "properties" : { "noteIndex" : 0 }, "schema" : "https://github.com/citation-style-language/schema/raw/master/csl-citation.json" }</w:instrText>
      </w:r>
      <w:r>
        <w:fldChar w:fldCharType="separate"/>
      </w:r>
      <w:r w:rsidR="0005386F" w:rsidRPr="0005386F">
        <w:rPr>
          <w:noProof/>
        </w:rPr>
        <w:t>[65–67]</w:t>
      </w:r>
      <w:r>
        <w:fldChar w:fldCharType="end"/>
      </w:r>
      <w:r w:rsidRPr="00587737">
        <w:t xml:space="preserve">. This </w:t>
      </w:r>
      <w:r>
        <w:t>approach has not yet</w:t>
      </w:r>
      <w:r w:rsidRPr="00587737">
        <w:t xml:space="preserve"> been </w:t>
      </w:r>
      <w:r>
        <w:t>developed and used</w:t>
      </w:r>
      <w:r w:rsidRPr="00587737">
        <w:t xml:space="preserve"> in Type I </w:t>
      </w:r>
      <w:proofErr w:type="spellStart"/>
      <w:r w:rsidRPr="00587737">
        <w:t>methanotrophs</w:t>
      </w:r>
      <w:proofErr w:type="spellEnd"/>
      <w:r w:rsidRPr="00587737">
        <w:t xml:space="preserve"> to quantitatively describe the metabolic phenotype of cells. </w:t>
      </w:r>
      <w:r>
        <w:t>S</w:t>
      </w:r>
      <w:r w:rsidRPr="00587737">
        <w:t xml:space="preserve">teady state </w:t>
      </w:r>
      <w:r w:rsidRPr="00587737">
        <w:rPr>
          <w:vertAlign w:val="superscript"/>
        </w:rPr>
        <w:t>13</w:t>
      </w:r>
      <w:r w:rsidRPr="00587737">
        <w:t xml:space="preserve">C flux analysis is well-established </w:t>
      </w:r>
      <w:r>
        <w:t>i</w:t>
      </w:r>
      <w:r w:rsidRPr="00587737">
        <w:t>n other organisms wi</w:t>
      </w:r>
      <w:r>
        <w:t>th multi-carbon inputs</w:t>
      </w:r>
      <w:r>
        <w:fldChar w:fldCharType="begin" w:fldLock="1"/>
      </w:r>
      <w:r w:rsidR="008C0508">
        <w:instrText>ADDIN CSL_CITATION { "citationItems" : [ { "id" : "ITEM-1", "itemData" : { "DOI" : "10.1006/mben.2001.0187", "ISSN" : "1096-7176", "PMID" : "11461141", "abstract" : "Metabolic flux analysis using 13C-labeled substrates has become an important tool in metabolic engineering. It allows the detailed quantification of all intracellular fluxes in the central metabolism of a microorganism. The method has strongly evolved in recent years by the introduction of new experimental procedures, measurement techniques, and mathematical data evaluation methods. Many of these improvements require advanced skills in the application of nuclear magnetic resonance and mass spectrometry techniques on the one hand and computational and statistical experience on the other hand. This minireview summarizes these recent developments and sketches the major practical problems. An outlook to possible future developments concludes the text.", "author" : [ { "dropping-particle" : "", "family" : "Wiechert", "given" : "W", "non-dropping-particle" : "", "parse-names" : false, "suffix" : "" } ], "container-title" : "Metabolic engineering", "id" : "ITEM-1", "issue" : "3", "issued" : { "date-parts" : [ [ "2001", "7" ] ] }, "page" : "195-206", "title" : "13C metabolic flux analysis.", "type" : "article-journal", "volume" : "3" }, "uris" : [ "http://www.mendeley.com/documents/?uuid=733a9315-9ef7-4a14-a866-d1e18c60b968" ] }, { "id" : "ITEM-2", "itemData" : { "DOI" : "10.1038/nprot.2009.58", "ISSN" : "1750-2799", "PMID" : "19478804", "abstract" : "Stable isotope, and in particular (13)C-based flux analysis, is the exclusive approach to experimentally quantify the integrated responses of metabolic networks. Here we describe a protocol that is based on growing microbes on (13)C-labeled glucose and subsequent gas chromatography mass spectrometric detection of (13)C-patterns in protein-bound amino acids. Relying on publicly available software packages, we then describe two complementary mathematical approaches to estimate either local ratios of converging fluxes or absolute fluxes through different pathways. As amino acids in cell protein are abundant and stable, this protocol requires a minimum of equipment and analytical expertise. Most other flux methods are variants of the principles presented here. A true alternative is the analytically more demanding dynamic flux analysis that relies on (13)C-pattern in free intracellular metabolites. The presented protocols take 5-10 d, have been used extensively in the past decade and are exemplified here for the central metabolism of Escherichia coli.", "author" : [ { "dropping-particle" : "", "family" : "Zamboni", "given" : "Nicola", "non-dropping-particle" : "", "parse-names" : false, "suffix" : "" }, { "dropping-particle" : "", "family" : "Fendt", "given" : "Sarah-Maria", "non-dropping-particle" : "", "parse-names" : false, "suffix" : "" }, { "dropping-particle" : "", "family" : "R\u00fchl", "given" : "Martin", "non-dropping-particle" : "", "parse-names" : false, "suffix" : "" }, { "dropping-particle" : "", "family" : "Sauer", "given" : "Uwe", "non-dropping-particle" : "", "parse-names" : false, "suffix" : "" } ], "container-title" : "Nature protocols", "id" : "ITEM-2", "issue" : "6", "issued" : { "date-parts" : [ [ "2009", "1" ] ] }, "note" : "figure about the flux ratio simulation", "page" : "878-92", "title" : "(13)C-based metabolic flux analysis.", "type" : "article-journal", "volume" : "4" }, "uris" : [ "http://www.mendeley.com/documents/?uuid=c4caf749-0b8c-4255-8c9f-7bb3774bdbc9" ] }, { "id" : "ITEM-3", "itemData" : { "DOI" : "10.1186/1475-2859-6-6", "ISSN" : "1475-2859", "PMID" : "17286851", "abstract" : "Fluxome analysis aims at the quantitative analysis of in vivo carbon fluxes in metabolic networks, i. e. intracellular activities of enzymes and pathways. It allows investigating the effects of genetic or environmental modifications and thus precisely provides a global perspective on the integrated genetic and metabolic regulation within the intact metabolic network. The experimental and computational approaches developed in this area have revealed fascinating insights into metabolic properties of various biological systems. Most of the comprehensive approaches for metabolic flux studies today involve isotopic tracer studies and GC-MS for measurement of the labeling pattern of metabolites. Initially developed and applied mainly in the field of biomedicine these GC-MS based metabolic flux approaches have been substantially extended and optimized during recent years and today display a key technology in metabolic physiology and biotechnology.", "author" : [ { "dropping-particle" : "", "family" : "Wittmann", "given" : "Christoph", "non-dropping-particle" : "", "parse-names" : false, "suffix" : "" } ], "container-title" : "Microbial cell factories", "id" : "ITEM-3", "issue" : "1", "issued" : { "date-parts" : [ [ "2007", "1" ] ] }, "page" : "6", "title" : "Fluxome analysis using GC-MS.", "type" : "article-journal", "volume" : "6" }, "uris" : [ "http://www.mendeley.com/documents/?uuid=cf1a0fda-e39a-4b18-8a70-caadbddc4b94" ] } ], "mendeley" : { "formattedCitation" : "[30\u201332]", "plainTextFormattedCitation" : "[30\u201332]", "previouslyFormattedCitation" : "[30\u201332]" }, "properties" : { "noteIndex" : 0 }, "schema" : "https://github.com/citation-style-language/schema/raw/master/csl-citation.json" }</w:instrText>
      </w:r>
      <w:r>
        <w:fldChar w:fldCharType="separate"/>
      </w:r>
      <w:r w:rsidR="0005386F" w:rsidRPr="0005386F">
        <w:rPr>
          <w:noProof/>
        </w:rPr>
        <w:t>[30–32]</w:t>
      </w:r>
      <w:r>
        <w:fldChar w:fldCharType="end"/>
      </w:r>
      <w:r w:rsidRPr="00587737">
        <w:t xml:space="preserve">. However, the </w:t>
      </w:r>
      <w:r>
        <w:t>details of the</w:t>
      </w:r>
      <w:r w:rsidRPr="00587737">
        <w:t xml:space="preserve"> network topology and </w:t>
      </w:r>
      <w:r>
        <w:t xml:space="preserve">the </w:t>
      </w:r>
      <w:r w:rsidRPr="00587737">
        <w:t>single carbon input</w:t>
      </w:r>
      <w:r>
        <w:t xml:space="preserve"> of </w:t>
      </w:r>
      <w:proofErr w:type="spellStart"/>
      <w:r>
        <w:t>methanotrophs</w:t>
      </w:r>
      <w:proofErr w:type="spellEnd"/>
      <w:r>
        <w:t xml:space="preserve"> results in</w:t>
      </w:r>
      <w:r w:rsidRPr="00587737">
        <w:t xml:space="preserve"> </w:t>
      </w:r>
      <w:r>
        <w:t xml:space="preserve">only </w:t>
      </w:r>
      <w:r w:rsidRPr="00587737">
        <w:t xml:space="preserve">partial flux elucidation </w:t>
      </w:r>
      <w:r>
        <w:t xml:space="preserve">from </w:t>
      </w:r>
      <w:r w:rsidRPr="00587737">
        <w:t>steady state isotope tracer experiment</w:t>
      </w:r>
      <w:r>
        <w:t>s</w:t>
      </w:r>
      <w:r w:rsidRPr="00587737">
        <w:t>. The predicted core metab</w:t>
      </w:r>
      <w:r>
        <w:t xml:space="preserve">olic pathways operating in </w:t>
      </w:r>
      <w:r w:rsidRPr="00587737">
        <w:rPr>
          <w:i/>
        </w:rPr>
        <w:t>M. buryatense</w:t>
      </w:r>
      <w:r>
        <w:t xml:space="preserve"> 5GB1</w:t>
      </w:r>
      <w:r w:rsidRPr="00587737">
        <w:t xml:space="preserve"> summarized in Figure </w:t>
      </w:r>
      <w:r w:rsidR="0009371F">
        <w:t>3.</w:t>
      </w:r>
      <w:r w:rsidRPr="00587737">
        <w:t>1 have been identified through both genome sequence</w:t>
      </w:r>
      <w:r>
        <w:t xml:space="preserve"> </w:t>
      </w:r>
      <w:r w:rsidRPr="00587737">
        <w:t>as well as transcriptome analysis</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rsidRPr="00587737">
        <w:t xml:space="preserve">. Methane </w:t>
      </w:r>
      <w:r>
        <w:t>is</w:t>
      </w:r>
      <w:r w:rsidRPr="00587737">
        <w:t xml:space="preserve"> first oxidized to methanol through </w:t>
      </w:r>
      <w:proofErr w:type="spellStart"/>
      <w:r w:rsidRPr="00587737">
        <w:t>pMMO</w:t>
      </w:r>
      <w:proofErr w:type="spellEnd"/>
      <w:r w:rsidRPr="00587737">
        <w:t xml:space="preserve"> (particulate methane </w:t>
      </w:r>
      <w:r>
        <w:t>mono</w:t>
      </w:r>
      <w:r w:rsidRPr="00587737">
        <w:t>ox</w:t>
      </w:r>
      <w:r>
        <w:t>ygen</w:t>
      </w:r>
      <w:r w:rsidRPr="00587737">
        <w:t xml:space="preserve">ase), and then converted into formaldehyde </w:t>
      </w:r>
      <w:r>
        <w:t>via</w:t>
      </w:r>
      <w:r w:rsidRPr="00587737">
        <w:t xml:space="preserve"> methanol dehydrogenase. Formaldehyde is the first branch point, where it </w:t>
      </w:r>
      <w:r>
        <w:t>can</w:t>
      </w:r>
      <w:r w:rsidRPr="00587737">
        <w:t xml:space="preserve"> either enter assim</w:t>
      </w:r>
      <w:r>
        <w:t>ilation using the ribulose m</w:t>
      </w:r>
      <w:r w:rsidRPr="00587737">
        <w:t>onophosphate cycle (</w:t>
      </w:r>
      <w:proofErr w:type="spellStart"/>
      <w:r w:rsidRPr="00587737">
        <w:t>RuMP</w:t>
      </w:r>
      <w:proofErr w:type="spellEnd"/>
      <w:r w:rsidRPr="00587737">
        <w:t xml:space="preserve"> cycle) or </w:t>
      </w:r>
      <w:r>
        <w:t xml:space="preserve">be </w:t>
      </w:r>
      <w:r w:rsidRPr="00587737">
        <w:t xml:space="preserve">further oxidized to </w:t>
      </w:r>
      <w:proofErr w:type="spellStart"/>
      <w:r w:rsidRPr="00587737">
        <w:t>formate</w:t>
      </w:r>
      <w:proofErr w:type="spellEnd"/>
      <w:r w:rsidRPr="00587737">
        <w:t xml:space="preserve"> and CO</w:t>
      </w:r>
      <w:r w:rsidRPr="00587737">
        <w:rPr>
          <w:vertAlign w:val="subscript"/>
        </w:rPr>
        <w:t>2</w:t>
      </w:r>
      <w:r w:rsidRPr="00587737">
        <w:t xml:space="preserve"> to produce NADH. There are two variants of </w:t>
      </w:r>
      <w:r>
        <w:t xml:space="preserve">the </w:t>
      </w:r>
      <w:proofErr w:type="spellStart"/>
      <w:r w:rsidRPr="00587737">
        <w:t>RuMP</w:t>
      </w:r>
      <w:proofErr w:type="spellEnd"/>
      <w:r w:rsidRPr="00587737">
        <w:t xml:space="preserve"> cycle </w:t>
      </w:r>
      <w:r>
        <w:t xml:space="preserve">in </w:t>
      </w:r>
      <w:r w:rsidRPr="00587737">
        <w:rPr>
          <w:i/>
        </w:rPr>
        <w:t>M. buryatense</w:t>
      </w:r>
      <w:r>
        <w:t xml:space="preserve"> 5GB1, the </w:t>
      </w:r>
      <w:proofErr w:type="spellStart"/>
      <w:r>
        <w:t>Embden</w:t>
      </w:r>
      <w:proofErr w:type="spellEnd"/>
      <w:r>
        <w:t>-Meyerhof-</w:t>
      </w:r>
      <w:proofErr w:type="spellStart"/>
      <w:r>
        <w:t>Parnas</w:t>
      </w:r>
      <w:proofErr w:type="spellEnd"/>
      <w:r>
        <w:t xml:space="preserve"> (</w:t>
      </w:r>
      <w:r w:rsidRPr="00587737">
        <w:t>EMP</w:t>
      </w:r>
      <w:r>
        <w:t>)</w:t>
      </w:r>
      <w:r w:rsidRPr="00587737">
        <w:t xml:space="preserve"> variant as well as </w:t>
      </w:r>
      <w:r>
        <w:t xml:space="preserve">the </w:t>
      </w:r>
      <w:proofErr w:type="spellStart"/>
      <w:r>
        <w:rPr>
          <w:rStyle w:val="tgc"/>
        </w:rPr>
        <w:t>Entner</w:t>
      </w:r>
      <w:proofErr w:type="spellEnd"/>
      <w:r>
        <w:rPr>
          <w:rStyle w:val="tgc"/>
        </w:rPr>
        <w:t>–</w:t>
      </w:r>
      <w:proofErr w:type="spellStart"/>
      <w:r>
        <w:rPr>
          <w:rStyle w:val="tgc"/>
        </w:rPr>
        <w:t>Doudoroff</w:t>
      </w:r>
      <w:proofErr w:type="spellEnd"/>
      <w:r>
        <w:rPr>
          <w:rStyle w:val="tgc"/>
        </w:rPr>
        <w:t xml:space="preserve"> (</w:t>
      </w:r>
      <w:r w:rsidRPr="00587737">
        <w:t>ED</w:t>
      </w:r>
      <w:r>
        <w:t>)</w:t>
      </w:r>
      <w:r w:rsidRPr="00587737">
        <w:t xml:space="preserve"> variant</w:t>
      </w:r>
      <w:r>
        <w:t>, which</w:t>
      </w:r>
      <w:r w:rsidRPr="00587737">
        <w:t xml:space="preserve"> convert formaldehyde into C3 intermediate metabolites, such as pyruvate</w:t>
      </w:r>
      <w:r>
        <w:t xml:space="preserve"> and phosphoenolpyruvate (PEP)</w:t>
      </w:r>
      <w:r w:rsidRPr="00587737">
        <w:t xml:space="preserve">. Downstream of </w:t>
      </w:r>
      <w:r>
        <w:t xml:space="preserve">the </w:t>
      </w:r>
      <w:r w:rsidRPr="00587737">
        <w:t>pyruvate node, a series of multi-carbon compound inter</w:t>
      </w:r>
      <w:r>
        <w:t>-</w:t>
      </w:r>
      <w:r w:rsidRPr="00587737">
        <w:t>conversion</w:t>
      </w:r>
      <w:r>
        <w:t>s</w:t>
      </w:r>
      <w:r w:rsidRPr="00587737">
        <w:t xml:space="preserve"> lead to carbon precursors for biosynthes</w:t>
      </w:r>
      <w:r>
        <w:t>is, such as oxaloacetate (OAA), 2-oxo</w:t>
      </w:r>
      <w:r w:rsidRPr="00587737">
        <w:t xml:space="preserve">glutarate and </w:t>
      </w:r>
      <w:proofErr w:type="gramStart"/>
      <w:r w:rsidRPr="00587737">
        <w:t>acetyl</w:t>
      </w:r>
      <w:proofErr w:type="gramEnd"/>
      <w:r w:rsidRPr="00587737">
        <w:t>-CoA</w:t>
      </w:r>
      <w:r>
        <w:t xml:space="preserve"> (</w:t>
      </w:r>
      <w:proofErr w:type="spellStart"/>
      <w:r>
        <w:t>AcCoA</w:t>
      </w:r>
      <w:proofErr w:type="spellEnd"/>
      <w:r>
        <w:t>)</w:t>
      </w:r>
      <w:r w:rsidRPr="00587737">
        <w:t>.</w:t>
      </w:r>
    </w:p>
    <w:p w14:paraId="217B5BA0" w14:textId="0A216B94" w:rsidR="001A7179" w:rsidRDefault="001A7179" w:rsidP="001A7179">
      <w:r w:rsidRPr="00587737">
        <w:lastRenderedPageBreak/>
        <w:t xml:space="preserve">One essential foundation of steady state </w:t>
      </w:r>
      <w:r w:rsidRPr="00587737">
        <w:rPr>
          <w:vertAlign w:val="superscript"/>
        </w:rPr>
        <w:t>13</w:t>
      </w:r>
      <w:r w:rsidRPr="00587737">
        <w:t>C tracer analysis is differentiated carbon rearrangement</w:t>
      </w:r>
      <w:r>
        <w:t>s</w:t>
      </w:r>
      <w:r w:rsidRPr="00587737">
        <w:t xml:space="preserve"> </w:t>
      </w:r>
      <w:r>
        <w:t>resulting from</w:t>
      </w:r>
      <w:r w:rsidRPr="00587737">
        <w:t xml:space="preserve"> different</w:t>
      </w:r>
      <w:r>
        <w:t xml:space="preserve"> metabolic</w:t>
      </w:r>
      <w:r w:rsidRPr="00587737">
        <w:t xml:space="preserve"> pathways. However, this </w:t>
      </w:r>
      <w:r>
        <w:t xml:space="preserve">condition is not met in the </w:t>
      </w:r>
      <w:r w:rsidRPr="00587737">
        <w:rPr>
          <w:i/>
        </w:rPr>
        <w:t>M. buryatense</w:t>
      </w:r>
      <w:r>
        <w:t xml:space="preserve"> 5GB1</w:t>
      </w:r>
      <w:r w:rsidRPr="00587737">
        <w:t xml:space="preserve"> metabolic network topology. The net outcome of </w:t>
      </w:r>
      <w:r>
        <w:t xml:space="preserve">the </w:t>
      </w:r>
      <w:proofErr w:type="spellStart"/>
      <w:r w:rsidRPr="00587737">
        <w:t>RuMP</w:t>
      </w:r>
      <w:proofErr w:type="spellEnd"/>
      <w:r w:rsidRPr="00587737">
        <w:t xml:space="preserve"> </w:t>
      </w:r>
      <w:r>
        <w:t xml:space="preserve">cycle </w:t>
      </w:r>
      <w:r w:rsidRPr="00587737">
        <w:t>is condensing 3 molecule</w:t>
      </w:r>
      <w:r>
        <w:t>s</w:t>
      </w:r>
      <w:r w:rsidRPr="00587737">
        <w:t xml:space="preserve"> of formaldehyde into 1 molecule of C3 compound</w:t>
      </w:r>
      <w:r>
        <w:t>s</w:t>
      </w:r>
      <w:r w:rsidRPr="00587737">
        <w:t xml:space="preserve"> such as pyruvate. </w:t>
      </w:r>
      <w:r>
        <w:t>In this case, a</w:t>
      </w:r>
      <w:r w:rsidRPr="00587737">
        <w:t xml:space="preserve">ll intermediate metabolites will </w:t>
      </w:r>
      <w:r>
        <w:t>become</w:t>
      </w:r>
      <w:r w:rsidRPr="00587737">
        <w:t xml:space="preserve"> fully labeled with</w:t>
      </w:r>
      <w:r>
        <w:t xml:space="preserve"> the</w:t>
      </w:r>
      <w:r w:rsidRPr="00587737">
        <w:t xml:space="preserve"> </w:t>
      </w:r>
      <w:r w:rsidRPr="00587737">
        <w:rPr>
          <w:vertAlign w:val="superscript"/>
        </w:rPr>
        <w:t>13</w:t>
      </w:r>
      <w:r w:rsidRPr="00587737">
        <w:t xml:space="preserve">C input. The two pathway variants </w:t>
      </w:r>
      <w:r>
        <w:t xml:space="preserve">both </w:t>
      </w:r>
      <w:r w:rsidRPr="00587737">
        <w:t>lead to fully labeled product, which makes the flux partition between EMP and ED variants unresolvable</w:t>
      </w:r>
      <w:r>
        <w:t xml:space="preserve"> by steady state </w:t>
      </w:r>
      <w:r w:rsidRPr="00587737">
        <w:rPr>
          <w:vertAlign w:val="superscript"/>
        </w:rPr>
        <w:t>13</w:t>
      </w:r>
      <w:r w:rsidRPr="00587737">
        <w:t xml:space="preserve">C tracer analysis. </w:t>
      </w:r>
      <w:r>
        <w:t>However</w:t>
      </w:r>
      <w:r w:rsidRPr="00587737">
        <w:t xml:space="preserve">, carboxylation </w:t>
      </w:r>
      <w:r>
        <w:t>and</w:t>
      </w:r>
      <w:r w:rsidRPr="00587737">
        <w:t xml:space="preserve"> decarboxylation step</w:t>
      </w:r>
      <w:r>
        <w:t>s</w:t>
      </w:r>
      <w:r w:rsidRPr="00587737">
        <w:t xml:space="preserve"> downstream of </w:t>
      </w:r>
      <w:r>
        <w:t xml:space="preserve">the </w:t>
      </w:r>
      <w:r w:rsidRPr="00587737">
        <w:t xml:space="preserve">pyruvate and PEP nodes </w:t>
      </w:r>
      <w:r>
        <w:t>result in</w:t>
      </w:r>
      <w:r w:rsidRPr="00587737">
        <w:t xml:space="preserve"> pathways </w:t>
      </w:r>
      <w:r>
        <w:t xml:space="preserve">that </w:t>
      </w:r>
      <w:r w:rsidRPr="00587737">
        <w:t xml:space="preserve">lead to </w:t>
      </w:r>
      <w:r>
        <w:t>differentiated labeling patterns</w:t>
      </w:r>
      <w:r w:rsidRPr="00587737">
        <w:t xml:space="preserve">. Several carboxylation reactions and decarboxylation </w:t>
      </w:r>
      <w:r>
        <w:t>re</w:t>
      </w:r>
      <w:r w:rsidRPr="00587737">
        <w:t xml:space="preserve">actions are involved in </w:t>
      </w:r>
      <w:proofErr w:type="spellStart"/>
      <w:r w:rsidRPr="00587737">
        <w:t>anaplerotic</w:t>
      </w:r>
      <w:proofErr w:type="spellEnd"/>
      <w:r w:rsidRPr="00587737">
        <w:t xml:space="preserve"> reactions as well as </w:t>
      </w:r>
      <w:r>
        <w:t xml:space="preserve">the </w:t>
      </w:r>
      <w:r w:rsidRPr="00587737">
        <w:t xml:space="preserve">TCA cycle. </w:t>
      </w:r>
      <w:r>
        <w:t>The c</w:t>
      </w:r>
      <w:r w:rsidRPr="00587737">
        <w:t xml:space="preserve">arbon skeleton is also rearranged through </w:t>
      </w:r>
      <w:proofErr w:type="spellStart"/>
      <w:r w:rsidRPr="00587737">
        <w:t>malyl</w:t>
      </w:r>
      <w:proofErr w:type="spellEnd"/>
      <w:r w:rsidRPr="00587737">
        <w:t xml:space="preserve">-CoA </w:t>
      </w:r>
      <w:proofErr w:type="spellStart"/>
      <w:r w:rsidRPr="00587737">
        <w:t>lyase</w:t>
      </w:r>
      <w:proofErr w:type="spellEnd"/>
      <w:r w:rsidRPr="00587737">
        <w:t xml:space="preserve"> reactions. Table </w:t>
      </w:r>
      <w:r w:rsidR="00A50A17">
        <w:t>3.</w:t>
      </w:r>
      <w:r w:rsidRPr="00587737">
        <w:t>1 summarizes all the carbon atom transition</w:t>
      </w:r>
      <w:r>
        <w:t>s</w:t>
      </w:r>
      <w:r w:rsidRPr="00587737">
        <w:t xml:space="preserve"> for the sub-network downstream</w:t>
      </w:r>
      <w:r>
        <w:t xml:space="preserve"> of the PEP node. These transitions create</w:t>
      </w:r>
      <w:r w:rsidRPr="00587737">
        <w:t xml:space="preserve"> the opportunity </w:t>
      </w:r>
      <w:r>
        <w:t>to</w:t>
      </w:r>
      <w:r w:rsidRPr="00587737">
        <w:t xml:space="preserve"> determin</w:t>
      </w:r>
      <w:r>
        <w:t>e</w:t>
      </w:r>
      <w:r w:rsidRPr="00587737">
        <w:t xml:space="preserve"> fluxes through </w:t>
      </w:r>
      <w:r>
        <w:t xml:space="preserve">the </w:t>
      </w:r>
      <w:r w:rsidRPr="00587737">
        <w:t>steady sta</w:t>
      </w:r>
      <w:r>
        <w:t xml:space="preserve">te </w:t>
      </w:r>
      <w:proofErr w:type="spellStart"/>
      <w:r>
        <w:t>isotopomer</w:t>
      </w:r>
      <w:proofErr w:type="spellEnd"/>
      <w:r>
        <w:t xml:space="preserve"> labeling patterns</w:t>
      </w:r>
      <w:r w:rsidRPr="00587737">
        <w:t>. However, several parallel reactions (</w:t>
      </w:r>
      <w:proofErr w:type="spellStart"/>
      <w:r w:rsidRPr="00587737">
        <w:t>R_pyc</w:t>
      </w:r>
      <w:proofErr w:type="spellEnd"/>
      <w:r w:rsidRPr="00587737">
        <w:t xml:space="preserve">, </w:t>
      </w:r>
      <w:proofErr w:type="spellStart"/>
      <w:r w:rsidRPr="00587737">
        <w:t>R_me</w:t>
      </w:r>
      <w:proofErr w:type="spellEnd"/>
      <w:r w:rsidRPr="00587737">
        <w:t xml:space="preserve">, and </w:t>
      </w:r>
      <w:proofErr w:type="spellStart"/>
      <w:r w:rsidRPr="00587737">
        <w:t>R_mdh</w:t>
      </w:r>
      <w:proofErr w:type="spellEnd"/>
      <w:r w:rsidRPr="00587737">
        <w:t xml:space="preserve">) with identical </w:t>
      </w:r>
      <w:r>
        <w:t>atom transitions exist</w:t>
      </w:r>
      <w:r w:rsidRPr="00587737">
        <w:t xml:space="preserve"> in the network, which places more challenges on resolving the flux between those reactions. Here we use mutant analysis coupled with </w:t>
      </w:r>
      <w:r w:rsidRPr="00587737">
        <w:rPr>
          <w:vertAlign w:val="superscript"/>
        </w:rPr>
        <w:t>13</w:t>
      </w:r>
      <w:r w:rsidRPr="00587737">
        <w:t>C tracer analysis to solve this challenge</w:t>
      </w:r>
      <w:r>
        <w:t>.</w:t>
      </w:r>
    </w:p>
    <w:p w14:paraId="1476CBD0" w14:textId="4ED36A1E" w:rsidR="001A7179" w:rsidRPr="00587737" w:rsidRDefault="001A7179" w:rsidP="001A7179">
      <w:r>
        <w:t xml:space="preserve">One important question this approach can address is whether </w:t>
      </w:r>
      <w:r w:rsidRPr="00587737">
        <w:rPr>
          <w:i/>
        </w:rPr>
        <w:t>M. buryatense</w:t>
      </w:r>
      <w:r>
        <w:t xml:space="preserve"> 5GB1</w:t>
      </w:r>
      <w:r w:rsidRPr="00587737">
        <w:t xml:space="preserve"> </w:t>
      </w:r>
      <w:r>
        <w:t>operates</w:t>
      </w:r>
      <w:r w:rsidRPr="00587737">
        <w:t xml:space="preserve"> </w:t>
      </w:r>
      <w:r>
        <w:t xml:space="preserve">an incomplete </w:t>
      </w:r>
      <w:r w:rsidRPr="00587737">
        <w:t xml:space="preserve">TCA cycle when growing on methane. </w:t>
      </w:r>
      <w:r>
        <w:t xml:space="preserve">An incomplete TCA cycle has been proposed for Type I </w:t>
      </w:r>
      <w:proofErr w:type="spellStart"/>
      <w:r>
        <w:t>methanotrophs</w:t>
      </w:r>
      <w:proofErr w:type="spellEnd"/>
      <w:r>
        <w:t xml:space="preserve"> including </w:t>
      </w:r>
      <w:r>
        <w:rPr>
          <w:i/>
        </w:rPr>
        <w:t>M. buryatense</w:t>
      </w:r>
      <w:r>
        <w:t xml:space="preserve">, </w:t>
      </w:r>
      <w:r w:rsidRPr="00587737">
        <w:t>based on</w:t>
      </w:r>
      <w:r>
        <w:t xml:space="preserve"> the</w:t>
      </w:r>
      <w:r w:rsidRPr="00587737">
        <w:t xml:space="preserve"> </w:t>
      </w:r>
      <w:r>
        <w:t xml:space="preserve">inability to detect </w:t>
      </w:r>
      <w:r w:rsidRPr="00587737">
        <w:t>2-</w:t>
      </w:r>
      <w:r>
        <w:t>oxo</w:t>
      </w:r>
      <w:r w:rsidRPr="00587737">
        <w:t>glutarate dehydrogenase</w:t>
      </w:r>
      <w:r>
        <w:t xml:space="preserve"> enzyme activity as well as radioactive tracer studies</w:t>
      </w:r>
      <w:r>
        <w:fldChar w:fldCharType="begin" w:fldLock="1"/>
      </w:r>
      <w:r w:rsidR="008C0508">
        <w:instrText>ADDIN CSL_CITATION { "citationItems" : [ { "id" : "ITEM-1", "itemData" : { "DOI" : "10.1007/BF00409135", "ISSN" : "0302-8933", "author" : [ { "dropping-particle" : "", "family" : "Davey", "given" : "John F.", "non-dropping-particle" : "", "parse-names" : false, "suffix" : "" }, { "dropping-particle" : "", "family" : "Whittenbury", "given" : "Roger", "non-dropping-particle" : "", "parse-names" : false, "suffix" : "" }, { "dropping-particle" : "", "family" : "Wilkinson", "given" : "John F.", "non-dropping-particle" : "", "parse-names" : false, "suffix" : "" } ], "container-title" : "Archiv f\u00fcr Mikrobiologie", "id" : "ITEM-1", "issue" : "4", "issued" : { "date-parts" : [ [ "1972" ] ] }, "page" : "359-366", "publisher" : "Springer-Verlag", "title" : "The distribution in the methylobacteria of some key enzymes concerned with intermediary metabolism", "type" : "article-journal", "volume" : "87" }, "uris" : [ "http://www.mendeley.com/documents/?uuid=f298e365-9632-396e-8759-5f629407779e" ] }, { "id" : "ITEM-2",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"ITEM-2", "issue" : "2-3", "issued" : { "date-parts" : [ [ "1980", "2" ] ] }, "page" : "211-220", "publisher" : "Springer-Verlag", "title" : "Some characteristics of Methylococcus mobilis sp. nov.", "type" : "article-journal", "volume" : "124-124" }, "uris" : [ "http://www.mendeley.com/documents/?uuid=1a59290c-36a9-3a10-a0e5-7a852c007c20" ] }, { "id" : "ITEM-3",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"ITEM-3",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"ITEM-4", "itemData" : { "DOI" : "10.1078/0723-2020-00028", "ISSN" : "0723-2020", "PMID" : "11518319", "abstract" : "Five strains of obligate methanotrophic bacteria (4G, 5G, 6G, 7G and 5B) isolated from bottom sediments of Southeastern Transbaikal soda lakes (pH 9.5-10.5) are taxonomically described. These bacteria are aerobic, Gram-negative monotrichous rods having tightly packed cup-shaped structures on the outer cell wall surface (S-layers) and Type I intracytoplasmic membranes. All the isolates possess particulate methane monooxygenase (pMMO) and one strain (5G) also contains soluble methane monooxygenase (sMMO). They assimilate methane and methanol via the ribulose monophosphate pathway (RuMP). The isolates are alkalitolerant or facultatively alkaliphilic, able to grow at pH 10.5-11.0 and optimally at pH 8.5-9.5. These organisms are obligately dependent on the presence of sodium ions in the growth medium and tolerate up to 0.9-1.4 M NaCl or 1 M NaHCO3. Although being mesophilic, all the isolates are resistant to heating (80 degrees C, 20 min), freezing and drying. Their cellular fatty acids profiles primarily consist of C(16:1). The major phospholipids are phosphatidylethanolamine and phosphatidylglycerol. The main quinone is Q-8. The DNA G+C content ranges from 49.2-51.5 mol %. Comparative 16S rDNA sequencing showed that the newly isolated methanotrophs are related to membres of the Methylomicrobium genus. However, they differ from the known members of this genus by DNA-DNA relatedness. Based on pheno- and genotypic characteristics, we propose a new species of the genus Methylomicrobium Methylomicrobium buryatense sp. nov.", "author" : [ { "dropping-particle" : "", "family" : "KALUZHNAYA", "given" : "MARINA", "non-dropping-particle" : "", "parse-names" : false, "suffix" : "" }, { "dropping-particle" : "", "family" : "KHMELENINA", "given" : "VALENTINA", "non-dropping-particle" : "", "parse-names" : false, "suffix" : "" }, { "dropping-particle" : "", "family" : "ESHINIMAEV", "given" : "BULAT", "non-dropping-particle" : "", "parse-names" : false, "suffix" : "" }, { "dropping-particle" : "", "family" : "SUZINA", "given" : "NATALIA", "non-dropping-particle" : "", "parse-names" : false, "suffix" : "" }, { "dropping-particle" : "", "family" : "NIKITIN", "given" : "DIMITRY", "non-dropping-particle" : "", "parse-names" : false, "suffix" : "" }, { "dropping-particle" : "", "family" : "SOLONIN", "given" : "ALEXANDER", "non-dropping-particle" : "", "parse-names" : false, "suffix" : "" }, { "dropping-particle" : "", "family" : "LIN", "given" : "JU-LING", "non-dropping-particle" : "", "parse-names" : false, "suffix" : "" }, { "dropping-particle" : "", "family" : "MCDONALD", "given" : "IAN", "non-dropping-particle" : "", "parse-names" : false, "suffix" : "" }, { "dropping-particle" : "", "family" : "MURRELL", "given" : "COLIN", "non-dropping-particle" : "", "parse-names" : false, "suffix" : "" }, { "dropping-particle" : "", "family" : "TROTSENKO", "given" : "YURI", "non-dropping-particle" : "", "parse-names" : false, "suffix" : "" } ], "container-title" : "Systematic and applied microbiology", "id" : "ITEM-4", "issued" : { "date-parts" : [ [ "2001" ] ] }, "page" : "166-176", "title" : "Taxonomic characterization of new alkaliphilic and alkalitolerant methanotrophs from soda lakes of the Southeastern Transbaikal region and description of Methylomicrobium buryatense sp.nov.", "type" : "article-journal", "volume" : "24" }, "uris" : [ "http://www.mendeley.com/documents/?uuid=275a83c0-53d2-41a2-9059-686805474e17" ] } ], "mendeley" : { "formattedCitation" : "[69\u201372]", "plainTextFormattedCitation" : "[69\u201372]", "previouslyFormattedCitation" : "[69\u201372]" }, "properties" : { "noteIndex" : 0 }, "schema" : "https://github.com/citation-style-language/schema/raw/master/csl-citation.json" }</w:instrText>
      </w:r>
      <w:r>
        <w:fldChar w:fldCharType="separate"/>
      </w:r>
      <w:r w:rsidR="0005386F" w:rsidRPr="0005386F">
        <w:rPr>
          <w:noProof/>
        </w:rPr>
        <w:t>[69–72]</w:t>
      </w:r>
      <w:r>
        <w:fldChar w:fldCharType="end"/>
      </w:r>
      <w:r w:rsidRPr="00587737">
        <w:t xml:space="preserve">. </w:t>
      </w:r>
      <w:r>
        <w:t>From these results, i</w:t>
      </w:r>
      <w:r w:rsidRPr="00587737">
        <w:t xml:space="preserve">t </w:t>
      </w:r>
      <w:r>
        <w:t>has been</w:t>
      </w:r>
      <w:r w:rsidRPr="00587737">
        <w:t xml:space="preserve"> assumed that in </w:t>
      </w:r>
      <w:r>
        <w:t>Type I</w:t>
      </w:r>
      <w:r w:rsidRPr="00587737">
        <w:t xml:space="preserve"> </w:t>
      </w:r>
      <w:proofErr w:type="spellStart"/>
      <w:r w:rsidRPr="00587737">
        <w:t>methanotrophs</w:t>
      </w:r>
      <w:proofErr w:type="spellEnd"/>
      <w:r w:rsidRPr="00587737">
        <w:t xml:space="preserve">, the major function of </w:t>
      </w:r>
      <w:r>
        <w:t xml:space="preserve">the </w:t>
      </w:r>
      <w:r w:rsidRPr="00587737">
        <w:t>TCA cycle is to provide precursors for biomass</w:t>
      </w:r>
      <w:r>
        <w:fldChar w:fldCharType="begin" w:fldLock="1"/>
      </w:r>
      <w:r w:rsidR="00AF0B7D">
        <w:instrText>ADDIN CSL_CITATION { "citationItems" : [ { "id" : "ITEM-1", "itemData" : { "DOI" : "10.1016/0968-0004(83)90116-0", "ISBN" : "012058820X", "ISSN" : "09680004", "abstract" : "N/A", "id" : "ITEM-1", "issued" : { "date-parts" : [ [ "1983" ] ] }, "title" : "the Biochemistry of Methylotrophs - Anthony,C", "type" : "book" }, "uris" : [ "http://www.mendeley.com/documents/?uuid=5c4ddac1-4633-460c-89a6-6bab1117aaf8" ] } ], "mendeley" : { "formattedCitation" : "[1]", "plainTextFormattedCitation" : "[1]", "previouslyFormattedCitation" : "[1]" }, "properties" : { "noteIndex" : 0 }, "schema" : "https://github.com/citation-style-language/schema/raw/master/csl-citation.json" }</w:instrText>
      </w:r>
      <w:r>
        <w:fldChar w:fldCharType="separate"/>
      </w:r>
      <w:r w:rsidR="00300EB6" w:rsidRPr="00300EB6">
        <w:rPr>
          <w:noProof/>
        </w:rPr>
        <w:t>[1]</w:t>
      </w:r>
      <w:r>
        <w:fldChar w:fldCharType="end"/>
      </w:r>
      <w:r w:rsidRPr="00587737">
        <w:t>. However, no direct evidence of intermediate metabolite labeling pattern</w:t>
      </w:r>
      <w:r>
        <w:t>s</w:t>
      </w:r>
      <w:r w:rsidRPr="00587737">
        <w:t xml:space="preserve"> has been provided</w:t>
      </w:r>
      <w:r>
        <w:t xml:space="preserve"> to support this conclusion</w:t>
      </w:r>
      <w:r w:rsidRPr="00587737">
        <w:t xml:space="preserve">. </w:t>
      </w:r>
      <w:r>
        <w:t xml:space="preserve">For metabolic modeling, it is important to determine flux through the branches of the TCA cycle and whether the TCA cycle is incomplete, as a baseline for accurate predictions. </w:t>
      </w:r>
    </w:p>
    <w:p w14:paraId="2C75B75E" w14:textId="77777777" w:rsidR="001A7179" w:rsidRPr="00587737" w:rsidRDefault="001A7179" w:rsidP="001A7179">
      <w:r w:rsidRPr="00587737">
        <w:t>In this study, we appl</w:t>
      </w:r>
      <w:r>
        <w:t>ied</w:t>
      </w:r>
      <w:r w:rsidRPr="00587737">
        <w:t xml:space="preserve"> steady state </w:t>
      </w:r>
      <w:r w:rsidRPr="00587737">
        <w:rPr>
          <w:vertAlign w:val="superscript"/>
        </w:rPr>
        <w:t>13</w:t>
      </w:r>
      <w:r w:rsidRPr="00587737">
        <w:t xml:space="preserve">C </w:t>
      </w:r>
      <w:r>
        <w:t xml:space="preserve">metabolic flux analysis to </w:t>
      </w:r>
      <w:r w:rsidRPr="00587737">
        <w:rPr>
          <w:i/>
        </w:rPr>
        <w:t>M. buryatense</w:t>
      </w:r>
      <w:r>
        <w:t xml:space="preserve"> 5GB1</w:t>
      </w:r>
      <w:r w:rsidRPr="00587737">
        <w:t xml:space="preserve">, focusing on </w:t>
      </w:r>
      <w:r>
        <w:t xml:space="preserve">reactions </w:t>
      </w:r>
      <w:r w:rsidRPr="00587737">
        <w:t xml:space="preserve">downstream of </w:t>
      </w:r>
      <w:r>
        <w:t xml:space="preserve">the </w:t>
      </w:r>
      <w:r w:rsidRPr="00587737">
        <w:t>pyruvate and phosphoenolpyruvate (PEP) node</w:t>
      </w:r>
      <w:r>
        <w:t>s</w:t>
      </w:r>
      <w:r w:rsidRPr="00587737">
        <w:t xml:space="preserve">. First, we </w:t>
      </w:r>
      <w:r>
        <w:t>obtained</w:t>
      </w:r>
      <w:r w:rsidRPr="00587737">
        <w:t xml:space="preserve"> </w:t>
      </w:r>
      <w:r>
        <w:t xml:space="preserve">the surprising </w:t>
      </w:r>
      <w:r w:rsidRPr="00587737">
        <w:t xml:space="preserve">evidence </w:t>
      </w:r>
      <w:r>
        <w:t>that the</w:t>
      </w:r>
      <w:r w:rsidRPr="00587737">
        <w:t xml:space="preserve"> TCA cycle</w:t>
      </w:r>
      <w:r>
        <w:t xml:space="preserve"> is complete during growth on methane, </w:t>
      </w:r>
      <w:proofErr w:type="spellStart"/>
      <w:r>
        <w:t>operateing</w:t>
      </w:r>
      <w:proofErr w:type="spellEnd"/>
      <w:r>
        <w:t xml:space="preserve"> in the full oxidative mode, and we </w:t>
      </w:r>
      <w:r w:rsidRPr="00587737">
        <w:t>quantitatively determine</w:t>
      </w:r>
      <w:r>
        <w:t>d</w:t>
      </w:r>
      <w:r w:rsidRPr="00587737">
        <w:t xml:space="preserve"> </w:t>
      </w:r>
      <w:r>
        <w:t xml:space="preserve">the </w:t>
      </w:r>
      <w:r w:rsidRPr="00587737">
        <w:t xml:space="preserve">relative flux ratio of </w:t>
      </w:r>
      <w:r>
        <w:t xml:space="preserve">the </w:t>
      </w:r>
      <w:r w:rsidRPr="00587737">
        <w:t>TCA cycle</w:t>
      </w:r>
      <w:r>
        <w:t>. Second</w:t>
      </w:r>
      <w:r w:rsidRPr="00587737">
        <w:t xml:space="preserve">, we </w:t>
      </w:r>
      <w:r>
        <w:t>were</w:t>
      </w:r>
      <w:r w:rsidRPr="00587737">
        <w:t xml:space="preserve"> able to</w:t>
      </w:r>
      <w:r>
        <w:t xml:space="preserve"> disrupt the TCA cycle by mutating genes encoding </w:t>
      </w:r>
      <w:proofErr w:type="spellStart"/>
      <w:r>
        <w:t>fumarase</w:t>
      </w:r>
      <w:proofErr w:type="spellEnd"/>
      <w:r>
        <w:t xml:space="preserve">, and then assessed phenotype </w:t>
      </w:r>
      <w:r>
        <w:lastRenderedPageBreak/>
        <w:t xml:space="preserve">and labeling patterns. Third, using the same approach, the flux partition through the partial serine cycle present in </w:t>
      </w:r>
      <w:r w:rsidRPr="00587737">
        <w:rPr>
          <w:i/>
        </w:rPr>
        <w:t>M. buryatense</w:t>
      </w:r>
      <w:r>
        <w:t xml:space="preserve"> 5GB1 was determined.</w:t>
      </w:r>
    </w:p>
    <w:p w14:paraId="65573996" w14:textId="77777777" w:rsidR="008C670A" w:rsidRPr="00265C19" w:rsidRDefault="008C670A" w:rsidP="00265C19">
      <w:pPr>
        <w:pStyle w:val="Heading2"/>
      </w:pPr>
      <w:bookmarkStart w:id="63" w:name="_Toc468311729"/>
      <w:r w:rsidRPr="00265C19">
        <w:t>Results</w:t>
      </w:r>
      <w:bookmarkEnd w:id="63"/>
    </w:p>
    <w:p w14:paraId="5E491039" w14:textId="4015C1EB" w:rsidR="008C670A" w:rsidRPr="00265C19" w:rsidRDefault="002E681F" w:rsidP="00265C19">
      <w:pPr>
        <w:pStyle w:val="Heading3"/>
      </w:pPr>
      <w:bookmarkStart w:id="64" w:name="header-c37"/>
      <w:bookmarkStart w:id="65" w:name="_Toc468311730"/>
      <w:bookmarkEnd w:id="64"/>
      <w:r w:rsidRPr="00265C19">
        <w:t xml:space="preserve">3.1 </w:t>
      </w:r>
      <w:r w:rsidR="008C670A" w:rsidRPr="00265C19">
        <w:rPr>
          <w:rStyle w:val="Heading4Char"/>
          <w:rFonts w:ascii="Arial" w:hAnsi="Arial"/>
          <w:b/>
          <w:bCs/>
          <w:iCs w:val="0"/>
          <w:sz w:val="22"/>
        </w:rPr>
        <w:t>Steady state labeling patterns of key metabolites</w:t>
      </w:r>
      <w:bookmarkEnd w:id="65"/>
    </w:p>
    <w:p w14:paraId="07143D46" w14:textId="3BB23F73" w:rsidR="005B7FAE" w:rsidRDefault="008C670A" w:rsidP="00C83471">
      <w:r>
        <w:t xml:space="preserve">In order to initiate flux studies in </w:t>
      </w:r>
      <w:r>
        <w:rPr>
          <w:i/>
        </w:rPr>
        <w:t xml:space="preserve">M. buryatense </w:t>
      </w:r>
      <w:r>
        <w:t xml:space="preserve">5GB1, labeling patterns of key metabolites were determined for cultures grown on methane. Cultures were exposed to </w:t>
      </w:r>
      <w:r w:rsidRPr="00587737">
        <w:rPr>
          <w:vertAlign w:val="superscript"/>
        </w:rPr>
        <w:t>13</w:t>
      </w:r>
      <w:r>
        <w:t>C methane</w:t>
      </w:r>
      <w:r w:rsidRPr="00587737">
        <w:t xml:space="preserve"> </w:t>
      </w:r>
      <w:r>
        <w:t>for 5-6 generations, w</w:t>
      </w:r>
      <w:r w:rsidRPr="00587737">
        <w:t xml:space="preserve">hen the </w:t>
      </w:r>
      <w:r>
        <w:t>culture</w:t>
      </w:r>
      <w:r w:rsidRPr="00587737">
        <w:t xml:space="preserve"> </w:t>
      </w:r>
      <w:r>
        <w:t xml:space="preserve">was assumed to </w:t>
      </w:r>
      <w:r w:rsidRPr="00587737">
        <w:t>reach both metabolic steady state as well as isotopic steady state</w:t>
      </w:r>
      <w:r>
        <w:t xml:space="preserve">. Mass </w:t>
      </w:r>
      <w:proofErr w:type="spellStart"/>
      <w:r>
        <w:t>isotopomer</w:t>
      </w:r>
      <w:proofErr w:type="spellEnd"/>
      <w:r>
        <w:t xml:space="preserve"> </w:t>
      </w:r>
      <w:r w:rsidRPr="00587737">
        <w:t>distributions (MID</w:t>
      </w:r>
      <w:r>
        <w:t>s</w:t>
      </w:r>
      <w:r w:rsidRPr="00587737">
        <w:t xml:space="preserve">) of the metabolites listed in Table </w:t>
      </w:r>
      <w:r w:rsidR="005D198F">
        <w:t>3.</w:t>
      </w:r>
      <w:r w:rsidRPr="00587737">
        <w:t xml:space="preserve">2 </w:t>
      </w:r>
      <w:r>
        <w:t>were</w:t>
      </w:r>
      <w:r w:rsidRPr="00587737">
        <w:t xml:space="preserve"> monitored using LC-MS/MS. </w:t>
      </w:r>
      <w:r>
        <w:t>As expected</w:t>
      </w:r>
      <w:r w:rsidRPr="00587737">
        <w:t xml:space="preserve">, the intermediate metabolites in the </w:t>
      </w:r>
      <w:proofErr w:type="spellStart"/>
      <w:r w:rsidRPr="00587737">
        <w:t>RuMP</w:t>
      </w:r>
      <w:proofErr w:type="spellEnd"/>
      <w:r w:rsidRPr="00587737">
        <w:t xml:space="preserve"> cycle </w:t>
      </w:r>
      <w:r>
        <w:t>were</w:t>
      </w:r>
      <w:r w:rsidRPr="00587737">
        <w:t xml:space="preserve"> fully labeled, as shown </w:t>
      </w:r>
      <w:r>
        <w:t xml:space="preserve">for selected metabolites </w:t>
      </w:r>
      <w:r w:rsidRPr="00587737">
        <w:t xml:space="preserve">in Figure </w:t>
      </w:r>
      <w:r w:rsidR="0008721A">
        <w:t>3.</w:t>
      </w:r>
      <w:r w:rsidRPr="00587737">
        <w:t xml:space="preserve">1a (full list of labeled metabolites </w:t>
      </w:r>
      <w:r>
        <w:t xml:space="preserve">shown </w:t>
      </w:r>
      <w:r w:rsidRPr="00587737">
        <w:t>in Table S</w:t>
      </w:r>
      <w:r w:rsidR="00855D58">
        <w:t>3</w:t>
      </w:r>
      <w:r w:rsidR="00B6507C">
        <w:t>_</w:t>
      </w:r>
      <w:r w:rsidRPr="00587737">
        <w:t xml:space="preserve">1). </w:t>
      </w:r>
      <w:r>
        <w:t>These results provided validation</w:t>
      </w:r>
      <w:r w:rsidRPr="00587737">
        <w:t xml:space="preserve"> of isotopic steady state. Among </w:t>
      </w:r>
      <w:r>
        <w:t>the</w:t>
      </w:r>
      <w:r w:rsidRPr="00587737">
        <w:t xml:space="preserve"> metabolites </w:t>
      </w:r>
      <w:r>
        <w:t>of the</w:t>
      </w:r>
      <w:r w:rsidRPr="00587737">
        <w:t xml:space="preserve"> </w:t>
      </w:r>
      <w:proofErr w:type="spellStart"/>
      <w:r w:rsidRPr="00587737">
        <w:t>RuMP</w:t>
      </w:r>
      <w:proofErr w:type="spellEnd"/>
      <w:r w:rsidRPr="00587737">
        <w:t xml:space="preserve"> cycle, </w:t>
      </w:r>
      <w:r>
        <w:t>6-phosphogluconate (</w:t>
      </w:r>
      <w:r w:rsidRPr="003C4A8E">
        <w:t>6PG)</w:t>
      </w:r>
      <w:r>
        <w:t xml:space="preserve"> </w:t>
      </w:r>
      <w:r w:rsidRPr="00587737">
        <w:t>ha</w:t>
      </w:r>
      <w:r>
        <w:t>d</w:t>
      </w:r>
      <w:r w:rsidRPr="00587737">
        <w:t xml:space="preserve"> a</w:t>
      </w:r>
      <w:r>
        <w:t xml:space="preserve">n unexpected </w:t>
      </w:r>
      <w:r w:rsidRPr="00587737">
        <w:t xml:space="preserve">peak at M+4, which </w:t>
      </w:r>
      <w:r>
        <w:t>was</w:t>
      </w:r>
      <w:r w:rsidRPr="00587737">
        <w:t xml:space="preserve"> further identified as interferen</w:t>
      </w:r>
      <w:r>
        <w:t>ce from the sample using Q-TOF (</w:t>
      </w:r>
      <w:r w:rsidRPr="00587737">
        <w:t>MS spectra of Q-</w:t>
      </w:r>
      <w:proofErr w:type="spellStart"/>
      <w:r w:rsidRPr="00587737">
        <w:t>tof</w:t>
      </w:r>
      <w:proofErr w:type="spellEnd"/>
      <w:r w:rsidRPr="00587737">
        <w:t xml:space="preserve"> data shown in supplemental materials</w:t>
      </w:r>
      <w:r>
        <w:t xml:space="preserve"> Figure S</w:t>
      </w:r>
      <w:r w:rsidR="00E95E51">
        <w:t>3_</w:t>
      </w:r>
      <w:r>
        <w:t>1</w:t>
      </w:r>
      <w:r w:rsidRPr="00587737">
        <w:t xml:space="preserve">). </w:t>
      </w:r>
    </w:p>
    <w:p w14:paraId="475280C0" w14:textId="2227235A" w:rsidR="00E640F8" w:rsidRDefault="008C670A" w:rsidP="00C83471">
      <w:r w:rsidRPr="00587737">
        <w:t>C4 metabolites downs</w:t>
      </w:r>
      <w:r>
        <w:t>tream</w:t>
      </w:r>
      <w:r w:rsidRPr="00587737">
        <w:t xml:space="preserve"> of </w:t>
      </w:r>
      <w:r>
        <w:t xml:space="preserve">the </w:t>
      </w:r>
      <w:r w:rsidRPr="00587737">
        <w:t xml:space="preserve">pyruvate node </w:t>
      </w:r>
      <w:r>
        <w:t>such as malate and</w:t>
      </w:r>
      <w:r w:rsidRPr="00587737">
        <w:t xml:space="preserve"> citrate</w:t>
      </w:r>
      <w:r w:rsidRPr="00587737" w:rsidDel="00157FE0">
        <w:t xml:space="preserve"> </w:t>
      </w:r>
      <w:r>
        <w:t>were</w:t>
      </w:r>
      <w:r w:rsidRPr="00587737">
        <w:t xml:space="preserve"> partially labeled</w:t>
      </w:r>
      <w:r>
        <w:t xml:space="preserve"> in </w:t>
      </w:r>
      <w:r w:rsidRPr="00587737">
        <w:t xml:space="preserve">a </w:t>
      </w:r>
      <w:r>
        <w:t xml:space="preserve">specific </w:t>
      </w:r>
      <w:r w:rsidRPr="00587737">
        <w:t xml:space="preserve">pattern </w:t>
      </w:r>
      <w:r>
        <w:t>of</w:t>
      </w:r>
      <w:r w:rsidRPr="00587737">
        <w:t xml:space="preserve"> adjacent peaks of two </w:t>
      </w:r>
      <w:proofErr w:type="spellStart"/>
      <w:r w:rsidRPr="00587737">
        <w:t>isotopomers</w:t>
      </w:r>
      <w:proofErr w:type="spellEnd"/>
      <w:r w:rsidRPr="00587737">
        <w:t xml:space="preserve"> with 1 mass shift, illustrated in Figure </w:t>
      </w:r>
      <w:r w:rsidR="00C97EC9">
        <w:t>3.</w:t>
      </w:r>
      <w:r w:rsidRPr="00587737">
        <w:t>1.</w:t>
      </w:r>
      <w:r>
        <w:t xml:space="preserve"> This pattern was</w:t>
      </w:r>
      <w:r w:rsidRPr="00587737">
        <w:t xml:space="preserve"> identified as </w:t>
      </w:r>
      <w:r>
        <w:t xml:space="preserve">a </w:t>
      </w:r>
      <w:r w:rsidRPr="00587737">
        <w:t>carboxylation signature pattern</w:t>
      </w:r>
      <w:r>
        <w:t xml:space="preserve"> shown in Figure </w:t>
      </w:r>
      <w:r w:rsidR="00F477CF">
        <w:t>3.</w:t>
      </w:r>
      <w:r>
        <w:t xml:space="preserve">1, consistent with </w:t>
      </w:r>
      <w:r>
        <w:rPr>
          <w:rFonts w:hint="eastAsia"/>
          <w:lang w:eastAsia="zh-CN"/>
        </w:rPr>
        <w:t xml:space="preserve">a </w:t>
      </w:r>
      <w:r>
        <w:t>mixed labeled CO</w:t>
      </w:r>
      <w:r w:rsidRPr="00DD0CD7">
        <w:rPr>
          <w:vertAlign w:val="subscript"/>
        </w:rPr>
        <w:t>2</w:t>
      </w:r>
      <w:r>
        <w:t xml:space="preserve"> pool (which contains a mixture of M0 and M1 with one mass shift).</w:t>
      </w:r>
    </w:p>
    <w:p w14:paraId="39BAA963" w14:textId="73E7988D" w:rsidR="00DE653B" w:rsidRDefault="004166EC" w:rsidP="00DE653B">
      <w:pPr>
        <w:pStyle w:val="BodyText"/>
        <w:keepNext/>
      </w:pPr>
      <w:r>
        <w:rPr>
          <w:noProof/>
          <w:lang w:eastAsia="zh-CN"/>
        </w:rPr>
        <w:lastRenderedPageBreak/>
        <w:drawing>
          <wp:inline distT="0" distB="0" distL="0" distR="0" wp14:anchorId="651E6558" wp14:editId="3E709CFA">
            <wp:extent cx="5861304" cy="4416552"/>
            <wp:effectExtent l="0" t="0" r="0" b="317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1304" cy="4416552"/>
                    </a:xfrm>
                    <a:prstGeom prst="rect">
                      <a:avLst/>
                    </a:prstGeom>
                    <a:noFill/>
                  </pic:spPr>
                </pic:pic>
              </a:graphicData>
            </a:graphic>
          </wp:inline>
        </w:drawing>
      </w:r>
    </w:p>
    <w:p w14:paraId="6A36B17C" w14:textId="5D12FA52" w:rsidR="00DE653B" w:rsidRDefault="00DE653B" w:rsidP="00DE653B">
      <w:pPr>
        <w:pStyle w:val="Caption"/>
      </w:pPr>
      <w:r>
        <w:t>Figure</w:t>
      </w:r>
      <w:r w:rsidR="00C83471">
        <w:t xml:space="preserve"> 3.1</w:t>
      </w:r>
      <w:r w:rsidR="009543D2">
        <w:t xml:space="preserve"> </w:t>
      </w:r>
      <w:r w:rsidRPr="00DE653B">
        <w:t xml:space="preserve">Central carbon metabolism </w:t>
      </w:r>
      <w:r w:rsidR="00FF00FD" w:rsidRPr="00DE653B">
        <w:t>pathways</w:t>
      </w:r>
      <w:r w:rsidRPr="00DE653B">
        <w:t xml:space="preserve"> and steady state labeling patterns of key metabolites of M. buryatense 5GB1 with </w:t>
      </w:r>
      <w:proofErr w:type="spellStart"/>
      <w:r w:rsidRPr="00DE653B">
        <w:t>methanotrophic</w:t>
      </w:r>
      <w:proofErr w:type="spellEnd"/>
      <w:r w:rsidRPr="00DE653B">
        <w:t xml:space="preserve"> growth. Carboxylation signature is also shown in mass </w:t>
      </w:r>
      <w:proofErr w:type="spellStart"/>
      <w:r w:rsidRPr="00DE653B">
        <w:t>isotopomer</w:t>
      </w:r>
      <w:proofErr w:type="spellEnd"/>
      <w:r w:rsidRPr="00DE653B">
        <w:t xml:space="preserve"> distribution (MID) of malate, threonine and citric acid. 3 molecules of methane are converted into 1 molecule of a C3 compound through ribulose monophosphate (</w:t>
      </w:r>
      <w:proofErr w:type="spellStart"/>
      <w:r w:rsidRPr="00DE653B">
        <w:t>RuMP</w:t>
      </w:r>
      <w:proofErr w:type="spellEnd"/>
      <w:r w:rsidRPr="00DE653B">
        <w:t xml:space="preserve">) cycle assimilation. Metabolite highlighted in red is the </w:t>
      </w:r>
      <w:r w:rsidRPr="004166EC">
        <w:rPr>
          <w:vertAlign w:val="superscript"/>
        </w:rPr>
        <w:t>13</w:t>
      </w:r>
      <w:r w:rsidRPr="00DE653B">
        <w:t xml:space="preserve">C tracer substrate, metabolites in bold are measured using LC-MS/MS for </w:t>
      </w:r>
      <w:proofErr w:type="spellStart"/>
      <w:r w:rsidRPr="00DE653B">
        <w:t>MIDs.</w:t>
      </w:r>
      <w:proofErr w:type="spellEnd"/>
      <w:r w:rsidRPr="00DE653B">
        <w:t xml:space="preserve"> In WT, the MIDs</w:t>
      </w:r>
      <w:r w:rsidR="004166EC">
        <w:t xml:space="preserve"> of malate (Figure e</w:t>
      </w:r>
      <w:r w:rsidR="00C932FA">
        <w:t xml:space="preserve">) and OAA (Figure </w:t>
      </w:r>
      <w:r w:rsidR="004166EC">
        <w:t>c</w:t>
      </w:r>
      <w:r w:rsidRPr="00DE653B">
        <w:t>) suggest a complete TCA c</w:t>
      </w:r>
      <w:r w:rsidR="00C932FA">
        <w:t xml:space="preserve">ycle while the citrate (Figure </w:t>
      </w:r>
      <w:r w:rsidR="004166EC">
        <w:t>d</w:t>
      </w:r>
      <w:r w:rsidRPr="00DE653B">
        <w:t xml:space="preserve">) labeling pattern suggests minor activity through </w:t>
      </w:r>
      <w:proofErr w:type="spellStart"/>
      <w:r w:rsidRPr="00DE653B">
        <w:t>malyl</w:t>
      </w:r>
      <w:proofErr w:type="spellEnd"/>
      <w:r w:rsidRPr="00DE653B">
        <w:t xml:space="preserve">-CoA </w:t>
      </w:r>
      <w:proofErr w:type="spellStart"/>
      <w:r w:rsidRPr="00DE653B">
        <w:t>lyase</w:t>
      </w:r>
      <w:proofErr w:type="spellEnd"/>
      <w:r w:rsidRPr="00DE653B">
        <w:t xml:space="preserve"> and the serine cycle. Metabolites in the </w:t>
      </w:r>
      <w:proofErr w:type="spellStart"/>
      <w:r w:rsidRPr="00DE653B">
        <w:t>RuMP</w:t>
      </w:r>
      <w:proofErr w:type="spellEnd"/>
      <w:r w:rsidRPr="00DE653B">
        <w:t xml:space="preserve"> cycle are fully labeled, shown representati</w:t>
      </w:r>
      <w:r w:rsidR="004166EC">
        <w:t>vely using F6P (Figure b</w:t>
      </w:r>
      <w:r w:rsidRPr="00DE653B">
        <w:t>)</w:t>
      </w:r>
    </w:p>
    <w:p w14:paraId="49246535" w14:textId="06437C71" w:rsidR="00F267C6" w:rsidRDefault="00F267C6" w:rsidP="00F267C6">
      <w:bookmarkStart w:id="66" w:name="header-c44"/>
      <w:bookmarkEnd w:id="66"/>
      <w:r w:rsidRPr="00587737">
        <w:t xml:space="preserve">Pyruvate </w:t>
      </w:r>
      <w:r>
        <w:t>could not</w:t>
      </w:r>
      <w:r w:rsidRPr="00587737">
        <w:t xml:space="preserve"> be detected in the cell extracts</w:t>
      </w:r>
      <w:r>
        <w:t>, likely</w:t>
      </w:r>
      <w:r w:rsidRPr="00587737">
        <w:t xml:space="preserve"> due to </w:t>
      </w:r>
      <w:r>
        <w:t xml:space="preserve">a </w:t>
      </w:r>
      <w:r w:rsidRPr="00587737">
        <w:t xml:space="preserve">low pool </w:t>
      </w:r>
      <w:r>
        <w:t>and/or</w:t>
      </w:r>
      <w:r w:rsidRPr="00587737">
        <w:t xml:space="preserve"> inefficient ionization. </w:t>
      </w:r>
      <w:r>
        <w:t>In addition, o</w:t>
      </w:r>
      <w:r w:rsidRPr="00587737">
        <w:t>xa</w:t>
      </w:r>
      <w:r>
        <w:t>lo</w:t>
      </w:r>
      <w:r w:rsidRPr="00587737">
        <w:t>ac</w:t>
      </w:r>
      <w:r>
        <w:t>e</w:t>
      </w:r>
      <w:r w:rsidRPr="00587737">
        <w:t>tate (OAA) could</w:t>
      </w:r>
      <w:r>
        <w:t xml:space="preserve"> </w:t>
      </w:r>
      <w:r w:rsidRPr="00587737">
        <w:t>n</w:t>
      </w:r>
      <w:r>
        <w:t>o</w:t>
      </w:r>
      <w:r w:rsidRPr="00587737">
        <w:t>t be detected due to its instability</w:t>
      </w:r>
      <w:r>
        <w:fldChar w:fldCharType="begin" w:fldLock="1"/>
      </w:r>
      <w:r w:rsidR="008C0508">
        <w:instrText>ADDIN CSL_CITATION { "citationItems" : [ { "id" : "ITEM-1", "itemData" : { "DOI" : "10.1016/j.chroma.2014.08.039", "ISBN" : "1415526443", "ISSN" : "18733778", "PMID" : "25160959", "abstract" : "It has been reported that HILIC column chemistry has a great effect on the number of detected metabolites in LC-HRMS-based untargeted metabolite profiling studies. However, no systematic investigation has been carried out with regard to the optimisation of mobile phase characteristics. In this study using 223 metabolite standards, we explored the retention mechanisms on three zwitterionic columns with varied mobile phase composition, demonstrated the interference from poor chromatographic peak shapes on the output of data extraction, and assessed the quality of chromatographic signals and the separation of isomers under each LC condition. As expected, on the ZIC-cHILIC column the acidic metabolites showed improved chromatographic performance at low pH which can be attributed to the opposite arrangement of the permanently charged groups on this column in comparison with the ZIC-HILIC column. Using extracts from the protozoan parasite Leishmania, we compared the numbers of repeatedly detected LC-HRMS features under different LC conditions with putative identification of metabolites not amongst the standards being based on accurate mass (??3. ppm). Besides column chemistry, the pH of the mobile phase plays a key role in not only determining the retention mechanisms of solutes but also the output of the LC-HRMS data processing. Fast evaporation of ammonium carbonate produced less ion suppression in ESI source and consequently improved the detectability of the metabolites in low abundance in comparison with other ammonium salts. Our results show that the combination of a ZIC-pHILIC column with an ammonium carbonate mobile phase, pH 9.2, at 20. mM in the aqueous phase or 10. mM in both aqueous and organic mobile phase components, provided the most suitable LC conditions for LC-HRMS-based untargeted metabolite profiling of Leishmania parasite extracts. The signal reliability of the mass spectrometer used in this study (Exactive Orbitrap) was also investigated.", "author" : [ { "dropping-particle" : "", "family" : "Zhang", "given" : "Rong", "non-dropping-particle" : "", "parse-names" : false, "suffix" : "" }, { "dropping-particle" : "", "family" : "Watson", "given" : "David G.", "non-dropping-particle" : "", "parse-names" : false, "suffix" : "" }, { "dropping-particle" : "", "family" : "Wang", "given" : "Lijie", "non-dropping-particle" : "", "parse-names" : false, "suffix" : "" }, { "dropping-particle" : "", "family" : "Westrop", "given" : "Gareth D.", "non-dropping-particle" : "", "parse-names" : false, "suffix" : "" }, { "dropping-particle" : "", "family" : "Coombs", "given" : "Graham H.", "non-dropping-particle" : "", "parse-names" : false, "suffix" : "" }, { "dropping-particle" : "", "family" : "Zhang", "given" : "Tong", "non-dropping-particle" : "", "parse-names" : false, "suffix" : "" } ], "container-title" : "Journal of Chromatography A", "id" : "ITEM-1", "issued" : { "date-parts" : [ [ "2014" ] ] }, "page" : "168-179", "publisher" : "Elsevier B.V.", "title" : "Evaluation of mobile phase characteristics on three zwitterionic columns in hydrophilic interaction liquid chromatography mode for liquid chromatography-high resolution mass spectrometry based untargeted metabolite profiling of Leishmania parasites", "type" : "article-journal", "volume" : "1362" }, "uris" : [ "http://www.mendeley.com/documents/?uuid=327fe1fc-671a-4144-b7e0-2f214df66128" ] } ], "mendeley" : { "formattedCitation" : "[73]", "plainTextFormattedCitation" : "[73]", "previouslyFormattedCitation" : "[73]" }, "properties" : { "noteIndex" : 0 }, "schema" : "https://github.com/citation-style-language/schema/raw/master/csl-citation.json" }</w:instrText>
      </w:r>
      <w:r>
        <w:fldChar w:fldCharType="separate"/>
      </w:r>
      <w:r w:rsidR="0005386F" w:rsidRPr="0005386F">
        <w:rPr>
          <w:noProof/>
        </w:rPr>
        <w:t>[73]</w:t>
      </w:r>
      <w:r>
        <w:fldChar w:fldCharType="end"/>
      </w:r>
      <w:r w:rsidRPr="00587737">
        <w:t xml:space="preserve">. Therefore, intracellular threonine </w:t>
      </w:r>
      <w:r>
        <w:t>wa</w:t>
      </w:r>
      <w:r w:rsidRPr="00587737">
        <w:t xml:space="preserve">s measured to reflect labeling of OAA, </w:t>
      </w:r>
      <w:r>
        <w:t xml:space="preserve">and intracellular </w:t>
      </w:r>
      <w:r w:rsidRPr="00587737">
        <w:t xml:space="preserve">alanine </w:t>
      </w:r>
      <w:r>
        <w:t>wa</w:t>
      </w:r>
      <w:r w:rsidRPr="00587737">
        <w:t xml:space="preserve">s measured to reflect the labeling of pyruvate. </w:t>
      </w:r>
      <w:r>
        <w:t xml:space="preserve">Based on the </w:t>
      </w:r>
      <w:r w:rsidRPr="00587737">
        <w:t>alanine labeling pattern</w:t>
      </w:r>
      <w:r>
        <w:t>, pyruvate</w:t>
      </w:r>
      <w:r w:rsidRPr="00587737">
        <w:t xml:space="preserve"> is fully labeled. </w:t>
      </w:r>
      <w:r>
        <w:t>The th</w:t>
      </w:r>
      <w:r w:rsidRPr="00587737">
        <w:t xml:space="preserve">reonine and </w:t>
      </w:r>
      <w:r w:rsidRPr="00587737">
        <w:lastRenderedPageBreak/>
        <w:t>citrate labeling pattern</w:t>
      </w:r>
      <w:r>
        <w:t>s were similar to each other</w:t>
      </w:r>
      <w:r w:rsidRPr="00587737">
        <w:t>, both contain</w:t>
      </w:r>
      <w:r>
        <w:t>ing</w:t>
      </w:r>
      <w:r w:rsidRPr="00587737">
        <w:t xml:space="preserve"> the carboxylation signature as shown in Figure </w:t>
      </w:r>
      <w:r>
        <w:t>3.</w:t>
      </w:r>
      <w:r w:rsidRPr="00587737">
        <w:t xml:space="preserve">1b. </w:t>
      </w:r>
    </w:p>
    <w:p w14:paraId="144B6FBC" w14:textId="7AC90DE7" w:rsidR="00F267C6" w:rsidRPr="00587737" w:rsidRDefault="00F267C6" w:rsidP="00F267C6">
      <w:r>
        <w:t>The m</w:t>
      </w:r>
      <w:r w:rsidRPr="00587737">
        <w:t xml:space="preserve">ass </w:t>
      </w:r>
      <w:proofErr w:type="spellStart"/>
      <w:r w:rsidRPr="00587737">
        <w:t>isotopomer</w:t>
      </w:r>
      <w:proofErr w:type="spellEnd"/>
      <w:r w:rsidRPr="00587737">
        <w:t xml:space="preserve"> distribution (MID) of </w:t>
      </w:r>
      <w:proofErr w:type="gramStart"/>
      <w:r w:rsidRPr="00587737">
        <w:t>acetyl</w:t>
      </w:r>
      <w:proofErr w:type="gramEnd"/>
      <w:r w:rsidRPr="00587737">
        <w:t xml:space="preserve">-CoA could be calculated through </w:t>
      </w:r>
      <w:r>
        <w:t xml:space="preserve">the </w:t>
      </w:r>
      <w:r w:rsidRPr="004772D3">
        <w:rPr>
          <w:vertAlign w:val="superscript"/>
        </w:rPr>
        <w:t>13</w:t>
      </w:r>
      <w:r w:rsidRPr="00587737">
        <w:t xml:space="preserve">C enrichment </w:t>
      </w:r>
      <w:r>
        <w:t xml:space="preserve">of </w:t>
      </w:r>
      <w:r w:rsidRPr="00587737">
        <w:t xml:space="preserve">OAA and citrate. The consistency of mass </w:t>
      </w:r>
      <w:proofErr w:type="spellStart"/>
      <w:r w:rsidRPr="00587737">
        <w:t>isotopomer</w:t>
      </w:r>
      <w:proofErr w:type="spellEnd"/>
      <w:r w:rsidRPr="00587737">
        <w:t xml:space="preserve"> distribution (MID) between OAA and citrate suggested that </w:t>
      </w:r>
      <w:proofErr w:type="gramStart"/>
      <w:r w:rsidRPr="00587737">
        <w:t>acetyl</w:t>
      </w:r>
      <w:proofErr w:type="gramEnd"/>
      <w:r w:rsidRPr="00587737">
        <w:t xml:space="preserve">-CoA is fully labeled with 2 mass shifts in </w:t>
      </w:r>
      <w:r>
        <w:t xml:space="preserve">the </w:t>
      </w:r>
      <w:r w:rsidRPr="00587737">
        <w:t>carbon backbone, which is a</w:t>
      </w:r>
      <w:r>
        <w:t>n</w:t>
      </w:r>
      <w:r w:rsidRPr="00587737">
        <w:t xml:space="preserve"> indication of </w:t>
      </w:r>
      <w:r w:rsidRPr="0060306C">
        <w:t>negligible</w:t>
      </w:r>
      <w:r>
        <w:t xml:space="preserve"> </w:t>
      </w:r>
      <w:r w:rsidRPr="00587737">
        <w:t xml:space="preserve">activity of </w:t>
      </w:r>
      <w:proofErr w:type="spellStart"/>
      <w:r w:rsidRPr="00587737">
        <w:t>malyl</w:t>
      </w:r>
      <w:proofErr w:type="spellEnd"/>
      <w:r w:rsidRPr="00587737">
        <w:t>-</w:t>
      </w:r>
      <w:r>
        <w:t>C</w:t>
      </w:r>
      <w:r w:rsidRPr="00587737">
        <w:t xml:space="preserve">oA </w:t>
      </w:r>
      <w:proofErr w:type="spellStart"/>
      <w:r w:rsidRPr="00587737">
        <w:t>lyase</w:t>
      </w:r>
      <w:proofErr w:type="spellEnd"/>
      <w:r w:rsidRPr="00587737">
        <w:t xml:space="preserve">. </w:t>
      </w:r>
      <w:r>
        <w:t xml:space="preserve">If </w:t>
      </w:r>
      <w:proofErr w:type="gramStart"/>
      <w:r>
        <w:t>acetyl</w:t>
      </w:r>
      <w:proofErr w:type="gramEnd"/>
      <w:r>
        <w:t xml:space="preserve">-CoA were generated from malate via </w:t>
      </w:r>
      <w:proofErr w:type="spellStart"/>
      <w:r>
        <w:t>malyl</w:t>
      </w:r>
      <w:proofErr w:type="spellEnd"/>
      <w:r>
        <w:t xml:space="preserve">-CoA, it would result in an acetyl-CoA pool that was partially labeled, changing the labeling pattern for citrate. </w:t>
      </w:r>
      <w:r w:rsidRPr="00587737">
        <w:t xml:space="preserve">This </w:t>
      </w:r>
      <w:r>
        <w:t>result</w:t>
      </w:r>
      <w:r w:rsidRPr="00587737">
        <w:t xml:space="preserve"> predict</w:t>
      </w:r>
      <w:r>
        <w:t>s</w:t>
      </w:r>
      <w:r w:rsidRPr="00587737">
        <w:t xml:space="preserve"> that </w:t>
      </w:r>
      <w:r>
        <w:t xml:space="preserve">the partial </w:t>
      </w:r>
      <w:r w:rsidRPr="00587737">
        <w:t xml:space="preserve">serine </w:t>
      </w:r>
      <w:proofErr w:type="gramStart"/>
      <w:r w:rsidRPr="00587737">
        <w:t>cycle</w:t>
      </w:r>
      <w:proofErr w:type="gramEnd"/>
      <w:r w:rsidRPr="00587737">
        <w:t xml:space="preserve"> </w:t>
      </w:r>
      <w:r>
        <w:t xml:space="preserve">present in </w:t>
      </w:r>
      <w:r>
        <w:rPr>
          <w:i/>
        </w:rPr>
        <w:t xml:space="preserve">M. buryatense </w:t>
      </w:r>
      <w:r>
        <w:t xml:space="preserve">5GB1 (Figure </w:t>
      </w:r>
      <w:r w:rsidR="00341384">
        <w:t>3.</w:t>
      </w:r>
      <w:r>
        <w:t xml:space="preserve">1) </w:t>
      </w:r>
      <w:r w:rsidRPr="00587737">
        <w:t xml:space="preserve">has minor </w:t>
      </w:r>
      <w:r>
        <w:t>flux during growth on methane</w:t>
      </w:r>
      <w:r w:rsidRPr="00587737">
        <w:t xml:space="preserve">. This prediction </w:t>
      </w:r>
      <w:r>
        <w:t>wa</w:t>
      </w:r>
      <w:r w:rsidRPr="00587737">
        <w:t xml:space="preserve">s tested </w:t>
      </w:r>
      <w:r>
        <w:t>by mutant analysis</w:t>
      </w:r>
      <w:r w:rsidRPr="00587737">
        <w:t xml:space="preserve"> </w:t>
      </w:r>
      <w:r>
        <w:t xml:space="preserve">(see </w:t>
      </w:r>
      <w:r w:rsidRPr="00587737">
        <w:t>section 3</w:t>
      </w:r>
      <w:r w:rsidR="00C15B5B">
        <w:t>.3</w:t>
      </w:r>
      <w:r>
        <w:t xml:space="preserve"> below)</w:t>
      </w:r>
      <w:r w:rsidRPr="00587737">
        <w:t xml:space="preserve">. </w:t>
      </w:r>
      <w:r>
        <w:t>A significant difference in the MID of malate (</w:t>
      </w:r>
      <w:r w:rsidRPr="00587737">
        <w:t xml:space="preserve">shown in Figure </w:t>
      </w:r>
      <w:r w:rsidR="00175CA5">
        <w:t>3.</w:t>
      </w:r>
      <w:r w:rsidRPr="00587737">
        <w:t xml:space="preserve">1c) </w:t>
      </w:r>
      <w:r>
        <w:t xml:space="preserve">compared to </w:t>
      </w:r>
      <w:r w:rsidRPr="00587737">
        <w:t xml:space="preserve">OAA (shown in Figure </w:t>
      </w:r>
      <w:r w:rsidR="00175CA5">
        <w:t>3.</w:t>
      </w:r>
      <w:r w:rsidRPr="00587737">
        <w:t>1b)</w:t>
      </w:r>
      <w:r>
        <w:t xml:space="preserve"> was observed</w:t>
      </w:r>
      <w:r w:rsidRPr="00587737">
        <w:t xml:space="preserve">, </w:t>
      </w:r>
      <w:r>
        <w:t>suggesting the operation of a</w:t>
      </w:r>
      <w:r w:rsidRPr="00587737">
        <w:t xml:space="preserve"> full oxidative TCA cycle contributing to malate </w:t>
      </w:r>
      <w:r w:rsidRPr="00587737">
        <w:rPr>
          <w:i/>
        </w:rPr>
        <w:t>de novo</w:t>
      </w:r>
      <w:r w:rsidRPr="00587737">
        <w:t xml:space="preserve"> production. This </w:t>
      </w:r>
      <w:r>
        <w:t>suggestion wa</w:t>
      </w:r>
      <w:r w:rsidRPr="00587737">
        <w:t xml:space="preserve">s also tested </w:t>
      </w:r>
      <w:r>
        <w:t xml:space="preserve">by </w:t>
      </w:r>
      <w:r w:rsidRPr="00587737">
        <w:t xml:space="preserve">mutant analysis </w:t>
      </w:r>
      <w:r>
        <w:t>(see</w:t>
      </w:r>
      <w:r w:rsidRPr="00587737">
        <w:t xml:space="preserve"> section </w:t>
      </w:r>
      <w:r w:rsidR="00175CA5">
        <w:t>3.</w:t>
      </w:r>
      <w:r w:rsidRPr="00587737">
        <w:t>2</w:t>
      </w:r>
      <w:r>
        <w:t xml:space="preserve"> below)</w:t>
      </w:r>
      <w:r w:rsidRPr="00587737">
        <w:t>.</w:t>
      </w:r>
    </w:p>
    <w:p w14:paraId="2D0A2BBB" w14:textId="731E64A8" w:rsidR="00F267C6" w:rsidRPr="00587737" w:rsidRDefault="00F267C6" w:rsidP="00F267C6">
      <w:r>
        <w:t xml:space="preserve">In the culture medium for </w:t>
      </w:r>
      <w:r>
        <w:rPr>
          <w:i/>
        </w:rPr>
        <w:t xml:space="preserve">M. buryatense </w:t>
      </w:r>
      <w:r>
        <w:t>5GB1</w:t>
      </w:r>
      <w:r w:rsidRPr="00587737">
        <w:t xml:space="preserve">, carbonate buffer </w:t>
      </w:r>
      <w:r>
        <w:t>is</w:t>
      </w:r>
      <w:r w:rsidRPr="00587737">
        <w:t xml:space="preserve"> provided to maintain</w:t>
      </w:r>
      <w:r>
        <w:t xml:space="preserve"> </w:t>
      </w:r>
      <w:proofErr w:type="spellStart"/>
      <w:r w:rsidRPr="00587737">
        <w:t>pH.</w:t>
      </w:r>
      <w:proofErr w:type="spellEnd"/>
      <w:r w:rsidRPr="00587737">
        <w:t xml:space="preserve"> </w:t>
      </w:r>
      <w:r>
        <w:t xml:space="preserve">With </w:t>
      </w:r>
      <w:r w:rsidRPr="00247511">
        <w:rPr>
          <w:vertAlign w:val="superscript"/>
        </w:rPr>
        <w:t>13</w:t>
      </w:r>
      <w:r>
        <w:t xml:space="preserve">C methane and </w:t>
      </w:r>
      <w:r>
        <w:rPr>
          <w:vertAlign w:val="superscript"/>
        </w:rPr>
        <w:t>12</w:t>
      </w:r>
      <w:r w:rsidRPr="00587737">
        <w:t>C carbonate buffer</w:t>
      </w:r>
      <w:r>
        <w:t xml:space="preserve"> experiments, t</w:t>
      </w:r>
      <w:r w:rsidRPr="00587737">
        <w:t>he intracellular pool of CO</w:t>
      </w:r>
      <w:r w:rsidRPr="00587737">
        <w:rPr>
          <w:vertAlign w:val="subscript"/>
        </w:rPr>
        <w:t>2</w:t>
      </w:r>
      <w:r w:rsidRPr="00587737">
        <w:t xml:space="preserve"> </w:t>
      </w:r>
      <w:r>
        <w:t>is partially labeled</w:t>
      </w:r>
      <w:r w:rsidRPr="00587737">
        <w:t xml:space="preserve">, due to the fact </w:t>
      </w:r>
      <w:r>
        <w:t>that</w:t>
      </w:r>
      <w:r w:rsidRPr="00587737">
        <w:t xml:space="preserve"> both </w:t>
      </w:r>
      <w:r>
        <w:rPr>
          <w:vertAlign w:val="superscript"/>
        </w:rPr>
        <w:t>13</w:t>
      </w:r>
      <w:r w:rsidRPr="00587737">
        <w:t>CO</w:t>
      </w:r>
      <w:r w:rsidRPr="00587737">
        <w:rPr>
          <w:vertAlign w:val="subscript"/>
        </w:rPr>
        <w:t>2</w:t>
      </w:r>
      <w:r w:rsidRPr="00587737">
        <w:t xml:space="preserve"> </w:t>
      </w:r>
      <w:r>
        <w:t xml:space="preserve">from </w:t>
      </w:r>
      <w:r w:rsidRPr="00587737">
        <w:t>methane</w:t>
      </w:r>
      <w:r>
        <w:t xml:space="preserve"> (</w:t>
      </w:r>
      <w:r w:rsidRPr="00247511">
        <w:rPr>
          <w:vertAlign w:val="superscript"/>
        </w:rPr>
        <w:t>13</w:t>
      </w:r>
      <w:r>
        <w:t>C labeled)</w:t>
      </w:r>
      <w:r w:rsidRPr="00587737">
        <w:t xml:space="preserve"> oxidation and extracellular </w:t>
      </w:r>
      <w:r>
        <w:rPr>
          <w:vertAlign w:val="superscript"/>
        </w:rPr>
        <w:t>12</w:t>
      </w:r>
      <w:r w:rsidRPr="00587737">
        <w:t>CO</w:t>
      </w:r>
      <w:r w:rsidRPr="00587737">
        <w:rPr>
          <w:vertAlign w:val="subscript"/>
        </w:rPr>
        <w:t>2</w:t>
      </w:r>
      <w:r w:rsidRPr="00587737">
        <w:t xml:space="preserve"> </w:t>
      </w:r>
      <w:r>
        <w:t xml:space="preserve">(from </w:t>
      </w:r>
      <w:r w:rsidRPr="00247511">
        <w:rPr>
          <w:vertAlign w:val="superscript"/>
        </w:rPr>
        <w:t>12</w:t>
      </w:r>
      <w:r>
        <w:t xml:space="preserve">C carbonate buffer) </w:t>
      </w:r>
      <w:r w:rsidRPr="00587737">
        <w:t xml:space="preserve">will contribute to the pool. The </w:t>
      </w:r>
      <w:r>
        <w:t>partially</w:t>
      </w:r>
      <w:r w:rsidRPr="00587737">
        <w:t xml:space="preserve"> labeled CO</w:t>
      </w:r>
      <w:r w:rsidRPr="00587737">
        <w:rPr>
          <w:vertAlign w:val="subscript"/>
        </w:rPr>
        <w:t>2</w:t>
      </w:r>
      <w:r>
        <w:t xml:space="preserve"> incorporates</w:t>
      </w:r>
      <w:r w:rsidRPr="00587737">
        <w:t xml:space="preserve"> into central metabolites through carboxylation steps</w:t>
      </w:r>
      <w:r>
        <w:t>. In order to estimate the contribution from methane oxidation and CO</w:t>
      </w:r>
      <w:r w:rsidRPr="006A1E2D">
        <w:rPr>
          <w:vertAlign w:val="subscript"/>
        </w:rPr>
        <w:t>2</w:t>
      </w:r>
      <w:r>
        <w:t xml:space="preserve"> from carbonate as well as to discover </w:t>
      </w:r>
      <w:r w:rsidRPr="00587737">
        <w:t>carboxylation steps</w:t>
      </w:r>
      <w:r>
        <w:t xml:space="preserve"> in central </w:t>
      </w:r>
      <w:r w:rsidRPr="00587737">
        <w:t>metabolism</w:t>
      </w:r>
      <w:r>
        <w:t>,</w:t>
      </w:r>
      <w:r>
        <w:rPr>
          <w:vertAlign w:val="subscript"/>
        </w:rPr>
        <w:t xml:space="preserve"> </w:t>
      </w:r>
      <w:r w:rsidRPr="00587737">
        <w:t xml:space="preserve">another experiment with </w:t>
      </w:r>
      <w:r w:rsidRPr="00587737">
        <w:rPr>
          <w:vertAlign w:val="superscript"/>
        </w:rPr>
        <w:t>13</w:t>
      </w:r>
      <w:r w:rsidRPr="00587737">
        <w:t>C carbonate buffer</w:t>
      </w:r>
      <w:r>
        <w:t xml:space="preserve"> and</w:t>
      </w:r>
      <w:r w:rsidRPr="00587737">
        <w:t xml:space="preserve"> </w:t>
      </w:r>
      <w:r w:rsidRPr="00587737">
        <w:rPr>
          <w:vertAlign w:val="superscript"/>
        </w:rPr>
        <w:t>12</w:t>
      </w:r>
      <w:r w:rsidRPr="00587737">
        <w:t xml:space="preserve">C methane </w:t>
      </w:r>
      <w:r>
        <w:t>was</w:t>
      </w:r>
      <w:r w:rsidRPr="00587737">
        <w:t xml:space="preserve"> conducted</w:t>
      </w:r>
      <w:r>
        <w:t>. In this case, the CO</w:t>
      </w:r>
      <w:r>
        <w:rPr>
          <w:vertAlign w:val="subscript"/>
        </w:rPr>
        <w:t>2</w:t>
      </w:r>
      <w:r>
        <w:t xml:space="preserve"> pool </w:t>
      </w:r>
      <w:r>
        <w:rPr>
          <w:rFonts w:hint="eastAsia"/>
          <w:lang w:eastAsia="zh-CN"/>
        </w:rPr>
        <w:t>wa</w:t>
      </w:r>
      <w:r>
        <w:t>s 48</w:t>
      </w:r>
      <w:r>
        <w:rPr>
          <w:rFonts w:cs="Arial"/>
        </w:rPr>
        <w:t xml:space="preserve">± 4% labeled (from methane oxidation), and 52± 4% unlabeled (from carbonate). Meanwhile, </w:t>
      </w:r>
      <w:r>
        <w:t>both</w:t>
      </w:r>
      <w:r w:rsidRPr="00587737">
        <w:t xml:space="preserve"> malate and citric acid showed </w:t>
      </w:r>
      <w:r>
        <w:t xml:space="preserve">a </w:t>
      </w:r>
      <w:r w:rsidRPr="00587737">
        <w:t>carboxylation signature pattern</w:t>
      </w:r>
      <w:r>
        <w:t xml:space="preserve"> that </w:t>
      </w:r>
      <w:r w:rsidRPr="00587737">
        <w:t>agree</w:t>
      </w:r>
      <w:r>
        <w:t>s</w:t>
      </w:r>
      <w:r w:rsidRPr="00587737">
        <w:t xml:space="preserve"> with</w:t>
      </w:r>
      <w:r>
        <w:t xml:space="preserve"> the</w:t>
      </w:r>
      <w:r w:rsidRPr="00587737">
        <w:t xml:space="preserve"> </w:t>
      </w:r>
      <w:r w:rsidRPr="00587737">
        <w:rPr>
          <w:vertAlign w:val="superscript"/>
        </w:rPr>
        <w:t>13</w:t>
      </w:r>
      <w:r w:rsidRPr="00587737">
        <w:t xml:space="preserve">C methane </w:t>
      </w:r>
      <w:r>
        <w:t xml:space="preserve">and </w:t>
      </w:r>
      <w:r w:rsidRPr="00903113">
        <w:rPr>
          <w:vertAlign w:val="superscript"/>
        </w:rPr>
        <w:t>12</w:t>
      </w:r>
      <w:r>
        <w:t xml:space="preserve">C carbonate </w:t>
      </w:r>
      <w:r w:rsidRPr="00587737">
        <w:t>experiment</w:t>
      </w:r>
      <w:r>
        <w:t xml:space="preserve">. </w:t>
      </w:r>
      <w:r w:rsidRPr="00587737">
        <w:t xml:space="preserve">Similarly, </w:t>
      </w:r>
      <w:r>
        <w:t>the results</w:t>
      </w:r>
      <w:r w:rsidRPr="00587737">
        <w:t xml:space="preserve"> showed </w:t>
      </w:r>
      <w:r>
        <w:t xml:space="preserve">a </w:t>
      </w:r>
      <w:r w:rsidRPr="00587737">
        <w:t xml:space="preserve">complete oxidative TCA cycle, </w:t>
      </w:r>
      <w:r>
        <w:t>again</w:t>
      </w:r>
      <w:r w:rsidRPr="00587737">
        <w:t xml:space="preserve"> consistent with</w:t>
      </w:r>
      <w:r>
        <w:t xml:space="preserve"> the</w:t>
      </w:r>
      <w:r w:rsidRPr="00587737">
        <w:t xml:space="preserve"> </w:t>
      </w:r>
      <w:r w:rsidRPr="00587737">
        <w:rPr>
          <w:vertAlign w:val="superscript"/>
        </w:rPr>
        <w:t>13</w:t>
      </w:r>
      <w:r w:rsidRPr="00587737">
        <w:t>C methane experiment. The full list of labeled metabolites</w:t>
      </w:r>
      <w:r>
        <w:t xml:space="preserve"> is</w:t>
      </w:r>
      <w:r w:rsidRPr="00587737">
        <w:t xml:space="preserve"> in Table S</w:t>
      </w:r>
      <w:r w:rsidR="00D9133E">
        <w:t>3_</w:t>
      </w:r>
      <w:r w:rsidRPr="00587737">
        <w:t xml:space="preserve">2. The metabolites in </w:t>
      </w:r>
      <w:r>
        <w:t xml:space="preserve">the </w:t>
      </w:r>
      <w:proofErr w:type="spellStart"/>
      <w:r w:rsidRPr="00587737">
        <w:t>RuMP</w:t>
      </w:r>
      <w:proofErr w:type="spellEnd"/>
      <w:r w:rsidRPr="00587737">
        <w:t xml:space="preserve"> cycle were not labeled, </w:t>
      </w:r>
      <w:r>
        <w:t>confirming that</w:t>
      </w:r>
      <w:r w:rsidRPr="00587737">
        <w:t xml:space="preserve"> no carboxylation step</w:t>
      </w:r>
      <w:r>
        <w:t>s occur</w:t>
      </w:r>
      <w:r w:rsidRPr="00587737">
        <w:t xml:space="preserve"> in </w:t>
      </w:r>
      <w:r>
        <w:t xml:space="preserve">the </w:t>
      </w:r>
      <w:proofErr w:type="spellStart"/>
      <w:r w:rsidRPr="00587737">
        <w:t>RuMP</w:t>
      </w:r>
      <w:proofErr w:type="spellEnd"/>
      <w:r w:rsidRPr="00587737">
        <w:t xml:space="preserve"> cycle</w:t>
      </w:r>
      <w:r>
        <w:t xml:space="preserve"> or contribute significantly to these intermediates</w:t>
      </w:r>
      <w:r w:rsidRPr="00587737">
        <w:t>.</w:t>
      </w:r>
    </w:p>
    <w:p w14:paraId="1960A4EB" w14:textId="420390C8" w:rsidR="008C670A" w:rsidRPr="00587737" w:rsidRDefault="00265C19" w:rsidP="00265C19">
      <w:pPr>
        <w:pStyle w:val="Heading3"/>
      </w:pPr>
      <w:bookmarkStart w:id="67" w:name="_Toc468311731"/>
      <w:r>
        <w:lastRenderedPageBreak/>
        <w:t>3.</w:t>
      </w:r>
      <w:r w:rsidR="008C670A" w:rsidRPr="00587737">
        <w:t xml:space="preserve">2. Complete oxidative TCA cycle in </w:t>
      </w:r>
      <w:r w:rsidR="008C670A">
        <w:rPr>
          <w:i/>
        </w:rPr>
        <w:t xml:space="preserve">M. buryatense </w:t>
      </w:r>
      <w:r w:rsidR="008C670A" w:rsidRPr="00587737">
        <w:t xml:space="preserve">5GB1 </w:t>
      </w:r>
      <w:r w:rsidR="008C670A">
        <w:t>grown on methane</w:t>
      </w:r>
      <w:r w:rsidR="008C670A" w:rsidRPr="00587737">
        <w:t xml:space="preserve"> and TCA cycle </w:t>
      </w:r>
      <w:r w:rsidR="008C670A" w:rsidRPr="00134ED6">
        <w:t>interruption</w:t>
      </w:r>
      <w:r w:rsidR="008C670A">
        <w:t xml:space="preserve"> by mutation</w:t>
      </w:r>
      <w:bookmarkEnd w:id="67"/>
    </w:p>
    <w:p w14:paraId="2BA3860B" w14:textId="77777777" w:rsidR="008C670A" w:rsidRPr="00587737" w:rsidRDefault="008C670A" w:rsidP="006C1184">
      <w:r>
        <w:t xml:space="preserve">As noted above, the </w:t>
      </w:r>
      <w:r w:rsidRPr="00587737">
        <w:t>labeling difference between OAA and malate</w:t>
      </w:r>
      <w:r>
        <w:t xml:space="preserve"> suggested that part of the malate pool was generated via the operation of a complete TCA cycle</w:t>
      </w:r>
      <w:r w:rsidRPr="00587737">
        <w:t xml:space="preserve">. Malate showed higher M+4 than threonine, which suggested </w:t>
      </w:r>
      <w:r>
        <w:t xml:space="preserve">a </w:t>
      </w:r>
      <w:r w:rsidRPr="00587737">
        <w:t xml:space="preserve">TCA cycle contribution through </w:t>
      </w:r>
      <w:r>
        <w:t xml:space="preserve">fumarate via </w:t>
      </w:r>
      <w:proofErr w:type="spellStart"/>
      <w:r w:rsidRPr="00587737">
        <w:t>fumarase</w:t>
      </w:r>
      <w:proofErr w:type="spellEnd"/>
      <w:r w:rsidRPr="00587737">
        <w:t>. Citrate, on the other hand, which is synthesi</w:t>
      </w:r>
      <w:r>
        <w:t>zed</w:t>
      </w:r>
      <w:r w:rsidRPr="00587737">
        <w:t xml:space="preserve"> from </w:t>
      </w:r>
      <w:r>
        <w:t xml:space="preserve">a </w:t>
      </w:r>
      <w:r w:rsidRPr="00587737">
        <w:t xml:space="preserve">condensation reaction between OAA and </w:t>
      </w:r>
      <w:proofErr w:type="gramStart"/>
      <w:r w:rsidRPr="00587737">
        <w:t>acetyl</w:t>
      </w:r>
      <w:proofErr w:type="gramEnd"/>
      <w:r w:rsidRPr="00587737">
        <w:t>-CoA (</w:t>
      </w:r>
      <w:proofErr w:type="spellStart"/>
      <w:r w:rsidRPr="00587737">
        <w:t>AcCoA</w:t>
      </w:r>
      <w:proofErr w:type="spellEnd"/>
      <w:r w:rsidRPr="00587737">
        <w:t xml:space="preserve">) showed </w:t>
      </w:r>
      <w:r>
        <w:t xml:space="preserve">a </w:t>
      </w:r>
      <w:r w:rsidRPr="00587737">
        <w:t>consistent labeling pattern with threonine</w:t>
      </w:r>
      <w:r>
        <w:t>, allowing the</w:t>
      </w:r>
      <w:r w:rsidRPr="00587737">
        <w:t xml:space="preserve"> OAA labeling pattern </w:t>
      </w:r>
      <w:r>
        <w:t>to be</w:t>
      </w:r>
      <w:r w:rsidRPr="00587737">
        <w:t xml:space="preserve"> calculated </w:t>
      </w:r>
      <w:r>
        <w:t>using</w:t>
      </w:r>
      <w:r w:rsidRPr="00587737">
        <w:t xml:space="preserve"> either citrate or threonine. The flux distribution of </w:t>
      </w:r>
      <w:r>
        <w:t xml:space="preserve">the </w:t>
      </w:r>
      <w:r w:rsidRPr="00587737">
        <w:t xml:space="preserve">TCA cycle to malate </w:t>
      </w:r>
      <w:r>
        <w:t>wa</w:t>
      </w:r>
      <w:r w:rsidRPr="00587737">
        <w:t xml:space="preserve">s then determined quantitatively using the method described in </w:t>
      </w:r>
      <w:r>
        <w:t xml:space="preserve">the </w:t>
      </w:r>
      <w:r w:rsidRPr="00587737">
        <w:t xml:space="preserve">Method section. Based on the calculation, TCA cycle fluxes contribute </w:t>
      </w:r>
      <w:r>
        <w:t>45</w:t>
      </w:r>
      <w:r w:rsidRPr="00587737">
        <w:t xml:space="preserve">% of </w:t>
      </w:r>
      <w:r>
        <w:t>the flux to malate</w:t>
      </w:r>
      <w:r w:rsidRPr="00587737">
        <w:t xml:space="preserve">. </w:t>
      </w:r>
    </w:p>
    <w:p w14:paraId="3B5A1017" w14:textId="43CF3187" w:rsidR="008C670A" w:rsidRDefault="008C670A" w:rsidP="006C1184">
      <w:r>
        <w:t xml:space="preserve">As a further test that the observed labeling pattern was the result of a complete TCA cycle, we also </w:t>
      </w:r>
      <w:r w:rsidRPr="00587737">
        <w:t>interrupt</w:t>
      </w:r>
      <w:r>
        <w:t>ed</w:t>
      </w:r>
      <w:r w:rsidRPr="00587737">
        <w:t xml:space="preserve"> the complete TCA cycle by mutating </w:t>
      </w:r>
      <w:proofErr w:type="spellStart"/>
      <w:r w:rsidRPr="00587737">
        <w:t>fumarase</w:t>
      </w:r>
      <w:proofErr w:type="spellEnd"/>
      <w:r>
        <w:t>, which converts fumarate to malate</w:t>
      </w:r>
      <w:r w:rsidRPr="00587737">
        <w:t>. Two copies of genes encod</w:t>
      </w:r>
      <w:r>
        <w:t>ing</w:t>
      </w:r>
      <w:r w:rsidRPr="00587737">
        <w:t xml:space="preserve"> </w:t>
      </w:r>
      <w:proofErr w:type="spellStart"/>
      <w:r w:rsidRPr="00587737">
        <w:t>fumarase</w:t>
      </w:r>
      <w:proofErr w:type="spellEnd"/>
      <w:r w:rsidRPr="00587737">
        <w:t xml:space="preserve"> </w:t>
      </w:r>
      <w:r>
        <w:t xml:space="preserve">are predicted in the genome </w:t>
      </w:r>
      <w:r w:rsidRPr="00587737">
        <w:t>(</w:t>
      </w:r>
      <w:proofErr w:type="spellStart"/>
      <w:r w:rsidRPr="00587737">
        <w:rPr>
          <w:i/>
        </w:rPr>
        <w:t>fumC</w:t>
      </w:r>
      <w:proofErr w:type="spellEnd"/>
      <w:r w:rsidRPr="00587737">
        <w:t xml:space="preserve">: </w:t>
      </w:r>
      <w:r w:rsidRPr="00844114">
        <w:t>METBUDRAFT_2764</w:t>
      </w:r>
      <w:r w:rsidRPr="00587737">
        <w:t>,</w:t>
      </w:r>
      <w:r>
        <w:t xml:space="preserve"> </w:t>
      </w:r>
      <w:proofErr w:type="spellStart"/>
      <w:r w:rsidRPr="00587737">
        <w:rPr>
          <w:i/>
        </w:rPr>
        <w:t>fumA</w:t>
      </w:r>
      <w:proofErr w:type="spellEnd"/>
      <w:r w:rsidRPr="00587737">
        <w:t xml:space="preserve">: </w:t>
      </w:r>
      <w:r w:rsidRPr="00844114">
        <w:t>METBUDRAFT_1453</w:t>
      </w:r>
      <w:r>
        <w:t>)</w:t>
      </w:r>
      <w:r w:rsidRPr="00587737">
        <w:t xml:space="preserve">. Both single knockouts were made successfully with </w:t>
      </w:r>
      <w:r>
        <w:t xml:space="preserve">the </w:t>
      </w:r>
      <w:r w:rsidRPr="00587737">
        <w:t>method descr</w:t>
      </w:r>
      <w:r>
        <w:t>ibed previously</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fldChar w:fldCharType="separate"/>
      </w:r>
      <w:r w:rsidR="0005386F" w:rsidRPr="0005386F">
        <w:rPr>
          <w:noProof/>
        </w:rPr>
        <w:t>[62]</w:t>
      </w:r>
      <w:r>
        <w:fldChar w:fldCharType="end"/>
      </w:r>
      <w:r w:rsidRPr="00587737">
        <w:t xml:space="preserve">. Steady state </w:t>
      </w:r>
      <w:r w:rsidRPr="00587737">
        <w:rPr>
          <w:vertAlign w:val="superscript"/>
        </w:rPr>
        <w:t>13</w:t>
      </w:r>
      <w:r w:rsidRPr="00587737">
        <w:t>C tracer analysis was then performed on both constructs. As shown in Fig</w:t>
      </w:r>
      <w:r>
        <w:t>ure</w:t>
      </w:r>
      <w:r w:rsidRPr="00587737">
        <w:t xml:space="preserve"> </w:t>
      </w:r>
      <w:r w:rsidR="006D089C">
        <w:t>3.</w:t>
      </w:r>
      <w:r w:rsidRPr="00587737">
        <w:t xml:space="preserve">2a, </w:t>
      </w:r>
      <w:r>
        <w:t xml:space="preserve">the </w:t>
      </w:r>
      <w:proofErr w:type="spellStart"/>
      <w:r w:rsidRPr="00587737">
        <w:rPr>
          <w:i/>
        </w:rPr>
        <w:t>fumC</w:t>
      </w:r>
      <w:proofErr w:type="spellEnd"/>
      <w:r w:rsidRPr="00587737">
        <w:t xml:space="preserve"> null mutant does</w:t>
      </w:r>
      <w:r>
        <w:t xml:space="preserve"> </w:t>
      </w:r>
      <w:r w:rsidRPr="00587737">
        <w:t>n</w:t>
      </w:r>
      <w:r>
        <w:t>ot</w:t>
      </w:r>
      <w:r w:rsidRPr="00587737">
        <w:t xml:space="preserve"> show </w:t>
      </w:r>
      <w:r>
        <w:t>significant</w:t>
      </w:r>
      <w:r w:rsidRPr="00587737">
        <w:t xml:space="preserve"> differences in labeling of malate and threonine (which reflects OAA) </w:t>
      </w:r>
      <w:r>
        <w:t>compared to the</w:t>
      </w:r>
      <w:r w:rsidRPr="00587737">
        <w:t xml:space="preserve"> </w:t>
      </w:r>
      <w:r>
        <w:t>wild type (</w:t>
      </w:r>
      <w:r w:rsidRPr="00587737">
        <w:t>WT</w:t>
      </w:r>
      <w:r>
        <w:t>)</w:t>
      </w:r>
      <w:r w:rsidRPr="00587737">
        <w:t xml:space="preserve">. The inconsistency between malate and OAA </w:t>
      </w:r>
      <w:r>
        <w:t xml:space="preserve">labeling </w:t>
      </w:r>
      <w:r w:rsidRPr="00587737">
        <w:t>persist</w:t>
      </w:r>
      <w:r>
        <w:t>s</w:t>
      </w:r>
      <w:r w:rsidRPr="00587737">
        <w:t xml:space="preserve"> in</w:t>
      </w:r>
      <w:r>
        <w:t xml:space="preserve"> the</w:t>
      </w:r>
      <w:r w:rsidRPr="00587737">
        <w:t xml:space="preserve"> </w:t>
      </w:r>
      <w:proofErr w:type="spellStart"/>
      <w:r w:rsidRPr="00587737">
        <w:rPr>
          <w:i/>
        </w:rPr>
        <w:t>fumC</w:t>
      </w:r>
      <w:proofErr w:type="spellEnd"/>
      <w:r>
        <w:t xml:space="preserve"> mutant, again </w:t>
      </w:r>
      <w:r w:rsidRPr="00587737">
        <w:t xml:space="preserve">suggesting </w:t>
      </w:r>
      <w:r>
        <w:t xml:space="preserve">a </w:t>
      </w:r>
      <w:r w:rsidRPr="00587737">
        <w:t xml:space="preserve">complete TCA cycle with around </w:t>
      </w:r>
      <w:r>
        <w:t>45</w:t>
      </w:r>
      <w:r w:rsidRPr="00587737">
        <w:t>% flux contribution</w:t>
      </w:r>
      <w:r>
        <w:t xml:space="preserve"> to malate</w:t>
      </w:r>
      <w:r w:rsidRPr="00587737">
        <w:t>. No growth defect is observed in</w:t>
      </w:r>
      <w:r>
        <w:t xml:space="preserve"> the</w:t>
      </w:r>
      <w:r w:rsidRPr="00587737">
        <w:t xml:space="preserve"> </w:t>
      </w:r>
      <w:proofErr w:type="spellStart"/>
      <w:r w:rsidRPr="00587737">
        <w:rPr>
          <w:i/>
        </w:rPr>
        <w:t>fumC</w:t>
      </w:r>
      <w:proofErr w:type="spellEnd"/>
      <w:r w:rsidRPr="00587737">
        <w:t xml:space="preserve"> mutant. </w:t>
      </w:r>
      <w:r>
        <w:t>However</w:t>
      </w:r>
      <w:r w:rsidRPr="00587737">
        <w:t xml:space="preserve">, </w:t>
      </w:r>
      <w:r>
        <w:t xml:space="preserve">the </w:t>
      </w:r>
      <w:proofErr w:type="spellStart"/>
      <w:r w:rsidRPr="00587737">
        <w:rPr>
          <w:i/>
        </w:rPr>
        <w:t>fumA</w:t>
      </w:r>
      <w:proofErr w:type="spellEnd"/>
      <w:r w:rsidRPr="00587737">
        <w:t xml:space="preserve"> null mutant showed </w:t>
      </w:r>
      <w:r>
        <w:t xml:space="preserve">a </w:t>
      </w:r>
      <w:r w:rsidRPr="00587737">
        <w:t xml:space="preserve">different labeling pattern of malate </w:t>
      </w:r>
      <w:r>
        <w:t>compared to</w:t>
      </w:r>
      <w:r w:rsidRPr="00587737">
        <w:t xml:space="preserve"> </w:t>
      </w:r>
      <w:r>
        <w:t xml:space="preserve">the </w:t>
      </w:r>
      <w:r w:rsidRPr="00587737">
        <w:t xml:space="preserve">WT </w:t>
      </w:r>
      <w:r>
        <w:t>(</w:t>
      </w:r>
      <w:r w:rsidRPr="00587737">
        <w:t>Fig</w:t>
      </w:r>
      <w:r>
        <w:t>ure</w:t>
      </w:r>
      <w:r w:rsidRPr="00587737">
        <w:t xml:space="preserve"> </w:t>
      </w:r>
      <w:r w:rsidR="006C1184">
        <w:t>3.</w:t>
      </w:r>
      <w:r w:rsidRPr="00587737">
        <w:t>2a</w:t>
      </w:r>
      <w:r>
        <w:t>)</w:t>
      </w:r>
      <w:r w:rsidRPr="00587737">
        <w:t xml:space="preserve">. Consistent labeling of malate and </w:t>
      </w:r>
      <w:r>
        <w:t>threonine</w:t>
      </w:r>
      <w:r w:rsidRPr="00587737">
        <w:t xml:space="preserve"> was also observed, which suggested </w:t>
      </w:r>
      <w:r>
        <w:t xml:space="preserve">the </w:t>
      </w:r>
      <w:r w:rsidRPr="00587737">
        <w:t xml:space="preserve">TCA cycle </w:t>
      </w:r>
      <w:r>
        <w:t>was</w:t>
      </w:r>
      <w:r w:rsidRPr="00587737">
        <w:t xml:space="preserve"> indeed interr</w:t>
      </w:r>
      <w:r>
        <w:t>u</w:t>
      </w:r>
      <w:r w:rsidRPr="00587737">
        <w:t>p</w:t>
      </w:r>
      <w:r>
        <w:t>t</w:t>
      </w:r>
      <w:r w:rsidRPr="00587737">
        <w:t xml:space="preserve">ed in this construct. The relative flux contribution of </w:t>
      </w:r>
      <w:r>
        <w:t xml:space="preserve">the </w:t>
      </w:r>
      <w:r w:rsidRPr="00587737">
        <w:t>TCA cycle</w:t>
      </w:r>
      <w:r>
        <w:t xml:space="preserve"> to malate</w:t>
      </w:r>
      <w:r w:rsidRPr="00587737">
        <w:t xml:space="preserve"> is</w:t>
      </w:r>
      <w:r>
        <w:t xml:space="preserve"> close to</w:t>
      </w:r>
      <w:r w:rsidRPr="00587737">
        <w:t xml:space="preserve"> 0 in </w:t>
      </w:r>
      <w:r>
        <w:t xml:space="preserve">the </w:t>
      </w:r>
      <w:proofErr w:type="spellStart"/>
      <w:r w:rsidRPr="00636F4D">
        <w:rPr>
          <w:i/>
        </w:rPr>
        <w:t>fumA</w:t>
      </w:r>
      <w:proofErr w:type="spellEnd"/>
      <w:r w:rsidRPr="00587737">
        <w:t xml:space="preserve"> mutant based on </w:t>
      </w:r>
      <w:r>
        <w:t xml:space="preserve">the </w:t>
      </w:r>
      <w:r w:rsidRPr="00587737">
        <w:t xml:space="preserve">relative flux ratio calculation described in </w:t>
      </w:r>
      <w:r>
        <w:t xml:space="preserve">the </w:t>
      </w:r>
      <w:r w:rsidRPr="00587737">
        <w:t xml:space="preserve">Method section, as shown in Figure </w:t>
      </w:r>
      <w:r w:rsidR="00215F3D">
        <w:t>3.</w:t>
      </w:r>
      <w:r w:rsidRPr="00587737">
        <w:t>2b. This suggests that</w:t>
      </w:r>
      <w:r>
        <w:t xml:space="preserve"> under these growth conditions,</w:t>
      </w:r>
      <w:r w:rsidRPr="00587737">
        <w:t xml:space="preserve"> </w:t>
      </w:r>
      <w:proofErr w:type="spellStart"/>
      <w:r w:rsidRPr="00587737">
        <w:rPr>
          <w:i/>
        </w:rPr>
        <w:t>fumA</w:t>
      </w:r>
      <w:proofErr w:type="spellEnd"/>
      <w:r w:rsidRPr="00587737">
        <w:t xml:space="preserve"> </w:t>
      </w:r>
      <w:r>
        <w:t>is</w:t>
      </w:r>
      <w:r w:rsidRPr="00587737">
        <w:t xml:space="preserve"> the domina</w:t>
      </w:r>
      <w:r>
        <w:t>nt</w:t>
      </w:r>
      <w:r w:rsidRPr="00587737">
        <w:t xml:space="preserve"> gene </w:t>
      </w:r>
      <w:r>
        <w:t xml:space="preserve">in </w:t>
      </w:r>
      <w:r>
        <w:rPr>
          <w:i/>
        </w:rPr>
        <w:t xml:space="preserve">M. buryatense </w:t>
      </w:r>
      <w:r>
        <w:t>5GB1 encoding</w:t>
      </w:r>
      <w:r w:rsidRPr="00587737">
        <w:t xml:space="preserve"> </w:t>
      </w:r>
      <w:proofErr w:type="spellStart"/>
      <w:r w:rsidRPr="00587737">
        <w:t>fumaras</w:t>
      </w:r>
      <w:r>
        <w:t>e</w:t>
      </w:r>
      <w:proofErr w:type="spellEnd"/>
      <w:r>
        <w:t>.  The</w:t>
      </w:r>
      <w:r w:rsidRPr="00587737">
        <w:t xml:space="preserve"> </w:t>
      </w:r>
      <w:proofErr w:type="spellStart"/>
      <w:r w:rsidRPr="00587737">
        <w:rPr>
          <w:i/>
        </w:rPr>
        <w:t>fumA</w:t>
      </w:r>
      <w:proofErr w:type="spellEnd"/>
      <w:r w:rsidRPr="00587737">
        <w:t xml:space="preserve"> </w:t>
      </w:r>
      <w:r>
        <w:t>mutant</w:t>
      </w:r>
      <w:r w:rsidRPr="00587737">
        <w:t xml:space="preserve"> </w:t>
      </w:r>
      <w:r>
        <w:t>has</w:t>
      </w:r>
      <w:r w:rsidRPr="00587737">
        <w:t xml:space="preserve"> a severe growth defect</w:t>
      </w:r>
      <w:r>
        <w:t xml:space="preserve">, </w:t>
      </w:r>
      <w:r w:rsidRPr="00587737">
        <w:t xml:space="preserve">with </w:t>
      </w:r>
      <w:r>
        <w:t xml:space="preserve">a </w:t>
      </w:r>
      <w:r w:rsidRPr="00587737">
        <w:t xml:space="preserve">doubling time </w:t>
      </w:r>
      <w:r>
        <w:t xml:space="preserve">on methane of </w:t>
      </w:r>
      <w:r w:rsidRPr="00587737">
        <w:t xml:space="preserve">17 </w:t>
      </w:r>
      <w:proofErr w:type="gramStart"/>
      <w:r w:rsidRPr="00587737">
        <w:t>hour</w:t>
      </w:r>
      <w:proofErr w:type="gramEnd"/>
      <w:r>
        <w:t xml:space="preserve"> (compared to 3 hour for the WT), further indicating the importance of a complete TCA cycle in growth of </w:t>
      </w:r>
      <w:r>
        <w:rPr>
          <w:i/>
        </w:rPr>
        <w:t xml:space="preserve">M. buryatense </w:t>
      </w:r>
      <w:r>
        <w:t>5GB1 on methane</w:t>
      </w:r>
      <w:r w:rsidRPr="00587737">
        <w:t>.</w:t>
      </w:r>
      <w:bookmarkStart w:id="68" w:name="header-c47"/>
      <w:bookmarkEnd w:id="68"/>
    </w:p>
    <w:p w14:paraId="6A249A6E" w14:textId="2B294742" w:rsidR="000E5B6A" w:rsidRDefault="00567B41" w:rsidP="000E5B6A">
      <w:pPr>
        <w:pStyle w:val="BodyText"/>
        <w:keepNext/>
      </w:pPr>
      <w:r>
        <w:rPr>
          <w:noProof/>
          <w:lang w:eastAsia="zh-CN"/>
        </w:rPr>
        <w:lastRenderedPageBreak/>
        <w:drawing>
          <wp:inline distT="0" distB="0" distL="0" distR="0" wp14:anchorId="420F6204" wp14:editId="244B79E6">
            <wp:extent cx="5477256" cy="3867912"/>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77256" cy="3867912"/>
                    </a:xfrm>
                    <a:prstGeom prst="rect">
                      <a:avLst/>
                    </a:prstGeom>
                    <a:noFill/>
                  </pic:spPr>
                </pic:pic>
              </a:graphicData>
            </a:graphic>
          </wp:inline>
        </w:drawing>
      </w:r>
    </w:p>
    <w:p w14:paraId="4319FC55" w14:textId="2C10B67E" w:rsidR="000E5B6A" w:rsidRDefault="000E5B6A" w:rsidP="000E5B6A">
      <w:pPr>
        <w:pStyle w:val="Caption"/>
      </w:pPr>
      <w:r>
        <w:t>Figure</w:t>
      </w:r>
      <w:r w:rsidR="006C2414">
        <w:t xml:space="preserve"> 3.2</w:t>
      </w:r>
      <w:r w:rsidR="00284895">
        <w:t xml:space="preserve">. </w:t>
      </w:r>
      <w:r w:rsidR="00DD6AE1" w:rsidRPr="00DD6AE1">
        <w:t xml:space="preserve">Labeling pattern of key metabolites (Figure </w:t>
      </w:r>
      <w:r w:rsidR="0011511F">
        <w:t>3.</w:t>
      </w:r>
      <w:r w:rsidR="00DD6AE1" w:rsidRPr="00DD6AE1">
        <w:t xml:space="preserve">2a) and relative flux through TCA cycle in WT, </w:t>
      </w:r>
      <w:proofErr w:type="spellStart"/>
      <w:r w:rsidR="00DD6AE1" w:rsidRPr="00DD6AE1">
        <w:t>ΔfumA</w:t>
      </w:r>
      <w:proofErr w:type="spellEnd"/>
      <w:r w:rsidR="00DD6AE1" w:rsidRPr="00DD6AE1">
        <w:t xml:space="preserve"> mutant and </w:t>
      </w:r>
      <w:proofErr w:type="spellStart"/>
      <w:r w:rsidR="00DD6AE1" w:rsidRPr="00DD6AE1">
        <w:t>ΔfumC</w:t>
      </w:r>
      <w:proofErr w:type="spellEnd"/>
      <w:r w:rsidR="00DD6AE1" w:rsidRPr="00DD6AE1">
        <w:t xml:space="preserve"> mutant (Figure </w:t>
      </w:r>
      <w:r w:rsidR="0011511F">
        <w:t>3.</w:t>
      </w:r>
      <w:r w:rsidR="00DD6AE1" w:rsidRPr="00DD6AE1">
        <w:t xml:space="preserve">2b). </w:t>
      </w:r>
      <w:proofErr w:type="spellStart"/>
      <w:r w:rsidR="00DD6AE1" w:rsidRPr="00DD6AE1">
        <w:t>ΔfumA</w:t>
      </w:r>
      <w:proofErr w:type="spellEnd"/>
      <w:r w:rsidR="00DD6AE1" w:rsidRPr="00DD6AE1">
        <w:t xml:space="preserve"> mutant showed higher M+3 of malate than WT and </w:t>
      </w:r>
      <w:proofErr w:type="spellStart"/>
      <w:r w:rsidR="00DD6AE1" w:rsidRPr="00DD6AE1">
        <w:t>ΔfumC</w:t>
      </w:r>
      <w:proofErr w:type="spellEnd"/>
      <w:r w:rsidR="00DD6AE1" w:rsidRPr="00DD6AE1">
        <w:t xml:space="preserve"> mutant, OAA showed same MID for all. The consistent MID between malate and OAA in the </w:t>
      </w:r>
      <w:proofErr w:type="spellStart"/>
      <w:r w:rsidR="00DD6AE1" w:rsidRPr="00DD6AE1">
        <w:t>ΔfumA</w:t>
      </w:r>
      <w:proofErr w:type="spellEnd"/>
      <w:r w:rsidR="00DD6AE1" w:rsidRPr="00DD6AE1">
        <w:t xml:space="preserve"> mutant suggested interrupted TCA cycle. Relative flux through TCA cycle was then quantitated, </w:t>
      </w:r>
      <w:proofErr w:type="spellStart"/>
      <w:r w:rsidR="00DD6AE1" w:rsidRPr="00DD6AE1">
        <w:t>ΔfumA</w:t>
      </w:r>
      <w:proofErr w:type="spellEnd"/>
      <w:r w:rsidR="00DD6AE1" w:rsidRPr="00DD6AE1">
        <w:t xml:space="preserve"> mutant showed interrupted TCA cycle flux.</w:t>
      </w:r>
    </w:p>
    <w:p w14:paraId="09280FC3" w14:textId="24CFE67E" w:rsidR="008C670A" w:rsidRDefault="008C670A" w:rsidP="00DE17A1">
      <w:r>
        <w:t xml:space="preserve">In order for </w:t>
      </w:r>
      <w:r>
        <w:rPr>
          <w:i/>
        </w:rPr>
        <w:t xml:space="preserve">M. buryatense </w:t>
      </w:r>
      <w:r>
        <w:t xml:space="preserve">5GB1 to operate a complete TCA cycle, it must have the ability to convert 2-oxoglutarate to </w:t>
      </w:r>
      <w:proofErr w:type="spellStart"/>
      <w:r>
        <w:t>succinylCoA</w:t>
      </w:r>
      <w:proofErr w:type="spellEnd"/>
      <w:r>
        <w:t xml:space="preserve"> or succinate, and the absence of detectable 2-oxoglutarate dehydrogenase activity has been used as part of the evidence for an incomplete TCA cycle in Type I </w:t>
      </w:r>
      <w:proofErr w:type="spellStart"/>
      <w:r>
        <w:t>methanotrophs</w:t>
      </w:r>
      <w:proofErr w:type="spellEnd"/>
      <w:r>
        <w:fldChar w:fldCharType="begin" w:fldLock="1"/>
      </w:r>
      <w:r w:rsidR="008C0508">
        <w:instrText>ADDIN CSL_CITATION { "citationItems" : [ { "id" : "ITEM-1",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"ITEM-1",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"ITEM-2",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"ITEM-2", "issue" : "2-3", "issued" : { "date-parts" : [ [ "1980", "2" ] ] }, "page" : "211-220", "publisher" : "Springer-Verlag", "title" : "Some characteristics of Methylococcus mobilis sp. nov.", "type" : "article-journal", "volume" : "124-124" }, "uris" : [ "http://www.mendeley.com/documents/?uuid=1a59290c-36a9-3a10-a0e5-7a852c007c20" ] } ], "mendeley" : { "formattedCitation" : "[70, 71]", "plainTextFormattedCitation" : "[70, 71]", "previouslyFormattedCitation" : "[70, 71]" }, "properties" : { "noteIndex" : 0 }, "schema" : "https://github.com/citation-style-language/schema/raw/master/csl-citation.json" }</w:instrText>
      </w:r>
      <w:r>
        <w:fldChar w:fldCharType="separate"/>
      </w:r>
      <w:r w:rsidR="0005386F" w:rsidRPr="0005386F">
        <w:rPr>
          <w:noProof/>
        </w:rPr>
        <w:t>[70, 71]</w:t>
      </w:r>
      <w:r>
        <w:fldChar w:fldCharType="end"/>
      </w:r>
      <w:r>
        <w:t xml:space="preserve"> .  The genome sequence predicts three paths for such a conversion, including a classic 2-oxoglutarate dehydrogenase complex, a 2-oxoglutarate ferredoxin oxidoreductase, and a pathway through succinate </w:t>
      </w:r>
      <w:proofErr w:type="spellStart"/>
      <w:r>
        <w:t>semialdehyde</w:t>
      </w:r>
      <w:proofErr w:type="spellEnd"/>
      <w:r>
        <w:t xml:space="preserve"> (Figure </w:t>
      </w:r>
      <w:r w:rsidR="00663642">
        <w:t>3.</w:t>
      </w:r>
      <w:r w:rsidR="008F4530">
        <w:t>3</w:t>
      </w:r>
      <w:r>
        <w:t>a). Transcriptomic data show that all sets of genes are expressed at levels similar to other TCA cycle genes, such as citrate synthase</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  A mutation was generated in the 2-oxoglutarate dehydrogenase complex E3 subunit (</w:t>
      </w:r>
      <w:r w:rsidRPr="0088250C">
        <w:t>METBUDRAFT_0801</w:t>
      </w:r>
      <w:r>
        <w:t>)</w:t>
      </w:r>
      <w:r w:rsidRPr="0088250C" w:rsidDel="0088250C">
        <w:t xml:space="preserve"> </w:t>
      </w:r>
      <w:r>
        <w:t xml:space="preserve">to remove the 2-oxoglutarate dehydrogenase activity, and unlike the </w:t>
      </w:r>
      <w:proofErr w:type="spellStart"/>
      <w:r>
        <w:rPr>
          <w:i/>
        </w:rPr>
        <w:t>fumA</w:t>
      </w:r>
      <w:proofErr w:type="spellEnd"/>
      <w:r>
        <w:rPr>
          <w:i/>
        </w:rPr>
        <w:t xml:space="preserve"> </w:t>
      </w:r>
      <w:r>
        <w:t xml:space="preserve">mutant, this mutant did not show a growth </w:t>
      </w:r>
      <w:r>
        <w:lastRenderedPageBreak/>
        <w:t xml:space="preserve">phenotype. Also unlike the </w:t>
      </w:r>
      <w:proofErr w:type="spellStart"/>
      <w:r>
        <w:rPr>
          <w:i/>
        </w:rPr>
        <w:t>fumA</w:t>
      </w:r>
      <w:proofErr w:type="spellEnd"/>
      <w:r>
        <w:rPr>
          <w:i/>
        </w:rPr>
        <w:t xml:space="preserve"> </w:t>
      </w:r>
      <w:r>
        <w:t xml:space="preserve">mutant, the labeling pattern of malate and citrate in this strain still shows the inconsistency of heavily labeled </w:t>
      </w:r>
      <w:proofErr w:type="spellStart"/>
      <w:r>
        <w:t>isotopomers</w:t>
      </w:r>
      <w:proofErr w:type="spellEnd"/>
      <w:r>
        <w:t xml:space="preserve">, as shown in Figure </w:t>
      </w:r>
      <w:r w:rsidR="000345C1">
        <w:t>3.</w:t>
      </w:r>
      <w:r>
        <w:t xml:space="preserve">4b, and </w:t>
      </w:r>
      <w:r w:rsidRPr="0060306C">
        <w:t>supplemental material Table S</w:t>
      </w:r>
      <w:r w:rsidR="00B53F1C">
        <w:t>3_</w:t>
      </w:r>
      <w:r w:rsidRPr="0060306C">
        <w:t>1</w:t>
      </w:r>
      <w:r>
        <w:t>. The flux ratio of the TCA cycle was determined using the method described above, and found to be 51%. These results strongly suggest the TCA cycle is still functioning as an oxidative cycle in this mutant, further supporting our results suggesting that other pathways can substitute for the functionality of 2-oxoglutarate dehydrogenase in this bacterium.</w:t>
      </w:r>
    </w:p>
    <w:p w14:paraId="50490E4A" w14:textId="503F4448" w:rsidR="00EC58F4" w:rsidRDefault="00C451CA" w:rsidP="00EC58F4">
      <w:pPr>
        <w:pStyle w:val="BodyText"/>
        <w:keepNext/>
      </w:pPr>
      <w:r>
        <w:rPr>
          <w:noProof/>
          <w:lang w:eastAsia="zh-CN"/>
        </w:rPr>
        <w:drawing>
          <wp:inline distT="0" distB="0" distL="0" distR="0" wp14:anchorId="4A342813" wp14:editId="6B1D3DCD">
            <wp:extent cx="6126480" cy="3840480"/>
            <wp:effectExtent l="0" t="0" r="7620" b="762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6480" cy="3840480"/>
                    </a:xfrm>
                    <a:prstGeom prst="rect">
                      <a:avLst/>
                    </a:prstGeom>
                    <a:noFill/>
                  </pic:spPr>
                </pic:pic>
              </a:graphicData>
            </a:graphic>
          </wp:inline>
        </w:drawing>
      </w:r>
    </w:p>
    <w:p w14:paraId="60F1514D" w14:textId="0C51CB0B" w:rsidR="008C670A" w:rsidRPr="00271A76" w:rsidRDefault="00EC58F4" w:rsidP="0018027A">
      <w:pPr>
        <w:pStyle w:val="Caption"/>
      </w:pPr>
      <w:r>
        <w:t xml:space="preserve">Figure </w:t>
      </w:r>
      <w:r w:rsidR="00E34DE9">
        <w:t>3.3</w:t>
      </w:r>
      <w:r>
        <w:t>. Three ways of converting 2-oxoglutarate to succinate</w:t>
      </w:r>
      <w:r w:rsidR="00DF6E45">
        <w:t xml:space="preserve"> in M. buryatense 5GB1 (Figure 3.3</w:t>
      </w:r>
      <w:r>
        <w:t xml:space="preserve">a). 1. Convert 2-oxo-glutarate into </w:t>
      </w:r>
      <w:proofErr w:type="spellStart"/>
      <w:r>
        <w:t>succinyl</w:t>
      </w:r>
      <w:proofErr w:type="spellEnd"/>
      <w:r>
        <w:t xml:space="preserve">-CoA with production of NADH using the 2-oxoglutarate dehydrogenase complex. 2. Catalyze the same reaction generating FdH2, with 2-oxoglutarate ferredoxin oxidoreductase. 3. Convert 2-oxoglutarate into succinate </w:t>
      </w:r>
      <w:proofErr w:type="spellStart"/>
      <w:r>
        <w:t>semialdehyde</w:t>
      </w:r>
      <w:proofErr w:type="spellEnd"/>
      <w:r>
        <w:t xml:space="preserve"> with 2-oxo-glutarate decarboxylase, and convert succinate </w:t>
      </w:r>
      <w:proofErr w:type="spellStart"/>
      <w:r>
        <w:t>semialdehyde</w:t>
      </w:r>
      <w:proofErr w:type="spellEnd"/>
      <w:r>
        <w:t xml:space="preserve"> to succinate with succinate-</w:t>
      </w:r>
      <w:proofErr w:type="spellStart"/>
      <w:r>
        <w:t>semialdehyde</w:t>
      </w:r>
      <w:proofErr w:type="spellEnd"/>
      <w:r>
        <w:t xml:space="preserve"> dehydrogenase.  Numbers on arrows are designation of genes and enzymes show as follows: 1: 2-oxoglutarate dehydrogenase complex METBUDRAFT_0802 (E2 subunit), METBUDRAFT_0803 (E1 subunit, decarboxylase), METBUDRAFT_0801 (E3 subunit). 2: 2-oxoglutarate ferredoxin oxidoreductase METBUDRAFT_3369 (</w:t>
      </w:r>
      <w:proofErr w:type="gramStart"/>
      <w:r>
        <w:t>alpha</w:t>
      </w:r>
      <w:proofErr w:type="gramEnd"/>
      <w:r>
        <w:t xml:space="preserve">-Sub Unit), </w:t>
      </w:r>
      <w:r>
        <w:lastRenderedPageBreak/>
        <w:t xml:space="preserve">METBUDRAFT_3370 (beta-sub unit) 3:2-oxoglutarate decarboxylase METBUDRAFT_3235. </w:t>
      </w:r>
      <w:proofErr w:type="gramStart"/>
      <w:r>
        <w:t>4:succinate</w:t>
      </w:r>
      <w:proofErr w:type="gramEnd"/>
      <w:r>
        <w:t xml:space="preserve">-semialdehyde dehydrogenase METBUDRAFT_0798, METBUDRAFT_3202. 5: </w:t>
      </w:r>
      <w:proofErr w:type="spellStart"/>
      <w:r>
        <w:t>succinyl</w:t>
      </w:r>
      <w:proofErr w:type="spellEnd"/>
      <w:r>
        <w:t xml:space="preserve">-CoA </w:t>
      </w:r>
      <w:proofErr w:type="spellStart"/>
      <w:r>
        <w:t>synthetase</w:t>
      </w:r>
      <w:proofErr w:type="spellEnd"/>
      <w:r>
        <w:t xml:space="preserve"> complex METBUDRAFT_2196 (</w:t>
      </w:r>
      <w:proofErr w:type="spellStart"/>
      <w:r>
        <w:t>succinyl-CoAsynthetase</w:t>
      </w:r>
      <w:proofErr w:type="spellEnd"/>
      <w:r>
        <w:t xml:space="preserve"> NAD(P)-binding, alpha subunit), METBUDRAFT_2197 (</w:t>
      </w:r>
      <w:proofErr w:type="spellStart"/>
      <w:r>
        <w:t>succinyl</w:t>
      </w:r>
      <w:proofErr w:type="spellEnd"/>
      <w:r>
        <w:t xml:space="preserve">-CoA </w:t>
      </w:r>
      <w:proofErr w:type="spellStart"/>
      <w:r>
        <w:t>synthetase</w:t>
      </w:r>
      <w:proofErr w:type="spellEnd"/>
      <w:r>
        <w:t>, beta subunit), METBUDRAFT_2277 (</w:t>
      </w:r>
      <w:proofErr w:type="spellStart"/>
      <w:r>
        <w:t>succinyl</w:t>
      </w:r>
      <w:proofErr w:type="spellEnd"/>
      <w:r>
        <w:t xml:space="preserve">-CoA </w:t>
      </w:r>
      <w:proofErr w:type="spellStart"/>
      <w:r>
        <w:t>synthetase</w:t>
      </w:r>
      <w:proofErr w:type="spellEnd"/>
      <w:r>
        <w:t>, NAD(P)-binding, alpha subunit), METBUDRAFT_2278 (</w:t>
      </w:r>
      <w:proofErr w:type="spellStart"/>
      <w:r>
        <w:t>succinyl</w:t>
      </w:r>
      <w:proofErr w:type="spellEnd"/>
      <w:r w:rsidR="00C70FBE">
        <w:t xml:space="preserve">-CoA </w:t>
      </w:r>
      <w:proofErr w:type="spellStart"/>
      <w:r w:rsidR="00C70FBE">
        <w:t>synthetase</w:t>
      </w:r>
      <w:proofErr w:type="spellEnd"/>
      <w:r w:rsidR="00C70FBE">
        <w:t xml:space="preserve">, beta subunit). </w:t>
      </w:r>
      <w:r>
        <w:t xml:space="preserve">In the </w:t>
      </w:r>
      <w:proofErr w:type="spellStart"/>
      <w:r>
        <w:t>Δlpd</w:t>
      </w:r>
      <w:proofErr w:type="spellEnd"/>
      <w:r>
        <w:t xml:space="preserve"> strain, MIDs of citrate and malate were similar to WT, which suggested that TCA cycle flux is still contributing to malate production.</w:t>
      </w:r>
    </w:p>
    <w:p w14:paraId="24C8F049" w14:textId="66A94F2E" w:rsidR="008C670A" w:rsidRPr="008D72A5" w:rsidRDefault="00C42520" w:rsidP="008D5CF1">
      <w:pPr>
        <w:pStyle w:val="Heading3"/>
      </w:pPr>
      <w:bookmarkStart w:id="69" w:name="_Toc468311732"/>
      <w:r>
        <w:t>3.</w:t>
      </w:r>
      <w:r w:rsidR="008C670A" w:rsidRPr="00587737">
        <w:t xml:space="preserve">3. </w:t>
      </w:r>
      <w:proofErr w:type="spellStart"/>
      <w:r w:rsidR="008C670A" w:rsidRPr="001C0DE4">
        <w:rPr>
          <w:i/>
        </w:rPr>
        <w:t>sga</w:t>
      </w:r>
      <w:proofErr w:type="spellEnd"/>
      <w:r w:rsidR="008C670A" w:rsidRPr="00587737">
        <w:t xml:space="preserve"> mutants suggest negligible flux through serine cycle.</w:t>
      </w:r>
      <w:bookmarkEnd w:id="69"/>
    </w:p>
    <w:p w14:paraId="36B84422" w14:textId="1F845535" w:rsidR="008D5CF1" w:rsidRDefault="008D5CF1" w:rsidP="008D5CF1">
      <w:r>
        <w:rPr>
          <w:i/>
        </w:rPr>
        <w:t xml:space="preserve">M. buryatense </w:t>
      </w:r>
      <w:r>
        <w:t xml:space="preserve">5GB1 contains a set of genes predicted to encode a partial serine cycle that converts </w:t>
      </w:r>
      <w:proofErr w:type="spellStart"/>
      <w:r>
        <w:t>formate</w:t>
      </w:r>
      <w:proofErr w:type="spellEnd"/>
      <w:r>
        <w:t xml:space="preserve"> plus CO</w:t>
      </w:r>
      <w:r w:rsidRPr="004E4D82">
        <w:rPr>
          <w:vertAlign w:val="subscript"/>
        </w:rPr>
        <w:t>2</w:t>
      </w:r>
      <w:r>
        <w:t xml:space="preserve"> to </w:t>
      </w:r>
      <w:proofErr w:type="spellStart"/>
      <w:r>
        <w:t>AcCoA</w:t>
      </w:r>
      <w:proofErr w:type="spellEnd"/>
      <w:r>
        <w:t xml:space="preserve"> (Figure </w:t>
      </w:r>
      <w:r w:rsidR="00BA7160">
        <w:t>3.</w:t>
      </w:r>
      <w:r>
        <w:t>1</w:t>
      </w:r>
      <w:r w:rsidR="00BA7160">
        <w:t>a</w:t>
      </w:r>
      <w:r>
        <w:t xml:space="preserve">).  </w:t>
      </w:r>
      <w:r w:rsidRPr="0060306C">
        <w:t xml:space="preserve">Serine </w:t>
      </w:r>
      <w:proofErr w:type="spellStart"/>
      <w:r w:rsidRPr="0060306C">
        <w:t>glyoxylate</w:t>
      </w:r>
      <w:proofErr w:type="spellEnd"/>
      <w:r w:rsidRPr="0060306C">
        <w:t xml:space="preserve"> aminotransferase (</w:t>
      </w:r>
      <w:proofErr w:type="spellStart"/>
      <w:r w:rsidRPr="0016708A">
        <w:rPr>
          <w:i/>
        </w:rPr>
        <w:t>sga</w:t>
      </w:r>
      <w:proofErr w:type="spellEnd"/>
      <w:r w:rsidRPr="0060306C">
        <w:t xml:space="preserve">: </w:t>
      </w:r>
      <w:r w:rsidRPr="00704D43">
        <w:t>METBUDRAFT_2200</w:t>
      </w:r>
      <w:r>
        <w:t>/</w:t>
      </w:r>
      <w:r w:rsidRPr="00141788">
        <w:t>MBURv2_130302</w:t>
      </w:r>
      <w:r w:rsidRPr="0060306C">
        <w:t>) catalyzes the entry step of the serine cycle, convert</w:t>
      </w:r>
      <w:r>
        <w:t>ing</w:t>
      </w:r>
      <w:r w:rsidRPr="0060306C">
        <w:t xml:space="preserve"> </w:t>
      </w:r>
      <w:proofErr w:type="spellStart"/>
      <w:r w:rsidRPr="0060306C">
        <w:t>glyoxylate</w:t>
      </w:r>
      <w:proofErr w:type="spellEnd"/>
      <w:r w:rsidRPr="0060306C">
        <w:t xml:space="preserve"> into glycine, and serine into </w:t>
      </w:r>
      <w:proofErr w:type="spellStart"/>
      <w:r w:rsidRPr="0060306C">
        <w:t>hydro</w:t>
      </w:r>
      <w:r>
        <w:t>xy</w:t>
      </w:r>
      <w:r w:rsidRPr="0060306C">
        <w:t>pyruvate</w:t>
      </w:r>
      <w:proofErr w:type="spellEnd"/>
      <w:r w:rsidRPr="0060306C">
        <w:t xml:space="preserve">. This gene is expressed </w:t>
      </w:r>
      <w:r>
        <w:t>at a level similar to other genes</w:t>
      </w:r>
      <w:r>
        <w:rPr>
          <w:rFonts w:hint="eastAsia"/>
          <w:lang w:eastAsia="zh-CN"/>
        </w:rPr>
        <w:t xml:space="preserve"> in core metabolism (such as pyruvate dehydrogenase) </w:t>
      </w:r>
      <w:r w:rsidRPr="0060306C">
        <w:t>in transcriptom</w:t>
      </w:r>
      <w:r>
        <w:t>ic</w:t>
      </w:r>
      <w:r w:rsidRPr="0060306C">
        <w:t xml:space="preserve"> data</w:t>
      </w:r>
      <w:r>
        <w:rPr>
          <w:rFonts w:eastAsiaTheme="majorEastAsia" w:cstheme="majorBidi"/>
          <w:sz w:val="24"/>
          <w:szCs w:val="32"/>
        </w:rP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rPr>
          <w:rFonts w:eastAsiaTheme="majorEastAsia" w:cstheme="majorBidi"/>
          <w:sz w:val="24"/>
          <w:szCs w:val="32"/>
        </w:rPr>
        <w:fldChar w:fldCharType="separate"/>
      </w:r>
      <w:r w:rsidR="0005386F" w:rsidRPr="0005386F">
        <w:rPr>
          <w:noProof/>
        </w:rPr>
        <w:t>[68]</w:t>
      </w:r>
      <w:r>
        <w:rPr>
          <w:rFonts w:eastAsiaTheme="majorEastAsia" w:cstheme="majorBidi"/>
          <w:sz w:val="24"/>
          <w:szCs w:val="32"/>
        </w:rPr>
        <w:fldChar w:fldCharType="end"/>
      </w:r>
      <w:r>
        <w:t>.</w:t>
      </w:r>
      <w:r w:rsidRPr="0060306C">
        <w:t xml:space="preserve"> </w:t>
      </w:r>
      <w:r>
        <w:t>As noted above, s</w:t>
      </w:r>
      <w:r w:rsidRPr="0060306C">
        <w:t xml:space="preserve">teady state </w:t>
      </w:r>
      <w:r w:rsidRPr="00B3234D">
        <w:rPr>
          <w:vertAlign w:val="superscript"/>
        </w:rPr>
        <w:t>13</w:t>
      </w:r>
      <w:r w:rsidRPr="0060306C">
        <w:t xml:space="preserve">C analysis of </w:t>
      </w:r>
      <w:r>
        <w:t xml:space="preserve">the </w:t>
      </w:r>
      <w:r w:rsidRPr="0060306C">
        <w:t>WT suggest</w:t>
      </w:r>
      <w:r>
        <w:t>ed</w:t>
      </w:r>
      <w:r w:rsidRPr="0060306C">
        <w:t xml:space="preserve"> minor flux through </w:t>
      </w:r>
      <w:r>
        <w:t xml:space="preserve">this partial </w:t>
      </w:r>
      <w:r w:rsidRPr="0060306C">
        <w:t xml:space="preserve">serine cycle. </w:t>
      </w:r>
      <w:proofErr w:type="gramStart"/>
      <w:r w:rsidRPr="0060306C">
        <w:t>Therefore</w:t>
      </w:r>
      <w:proofErr w:type="gramEnd"/>
      <w:r>
        <w:t xml:space="preserve"> to confirm this hypothesis</w:t>
      </w:r>
      <w:r w:rsidRPr="0060306C">
        <w:t xml:space="preserve">, </w:t>
      </w:r>
      <w:proofErr w:type="spellStart"/>
      <w:r>
        <w:rPr>
          <w:i/>
        </w:rPr>
        <w:t>sga</w:t>
      </w:r>
      <w:proofErr w:type="spellEnd"/>
      <w:r w:rsidRPr="0060306C">
        <w:t xml:space="preserve"> </w:t>
      </w:r>
      <w:r>
        <w:t>wa</w:t>
      </w:r>
      <w:r w:rsidRPr="0060306C">
        <w:t xml:space="preserve">s also mutated in order to </w:t>
      </w:r>
      <w:r>
        <w:t>assess</w:t>
      </w:r>
      <w:r w:rsidRPr="0060306C">
        <w:t xml:space="preserve"> flux through </w:t>
      </w:r>
      <w:r>
        <w:t xml:space="preserve">the </w:t>
      </w:r>
      <w:r w:rsidRPr="0060306C">
        <w:t>serine cycle</w:t>
      </w:r>
      <w:r>
        <w:t xml:space="preserve"> and s</w:t>
      </w:r>
      <w:r w:rsidRPr="0060306C">
        <w:t xml:space="preserve">tationary </w:t>
      </w:r>
      <w:r w:rsidRPr="00DF746F">
        <w:rPr>
          <w:vertAlign w:val="superscript"/>
        </w:rPr>
        <w:t>13</w:t>
      </w:r>
      <w:r w:rsidRPr="0060306C">
        <w:t xml:space="preserve">C tracer analysis </w:t>
      </w:r>
      <w:r>
        <w:t>was</w:t>
      </w:r>
      <w:r w:rsidRPr="0060306C">
        <w:t xml:space="preserve"> cond</w:t>
      </w:r>
      <w:r>
        <w:t xml:space="preserve">ucted on this mutant with </w:t>
      </w:r>
      <w:r w:rsidRPr="00DF746F">
        <w:rPr>
          <w:vertAlign w:val="superscript"/>
        </w:rPr>
        <w:t>13</w:t>
      </w:r>
      <w:r w:rsidRPr="0060306C">
        <w:t xml:space="preserve">C methane. </w:t>
      </w:r>
      <w:r>
        <w:t>The l</w:t>
      </w:r>
      <w:r w:rsidRPr="0060306C">
        <w:t>abeling pattern</w:t>
      </w:r>
      <w:r>
        <w:t>s</w:t>
      </w:r>
      <w:r w:rsidRPr="0060306C">
        <w:t xml:space="preserve"> for the key metabolites in this condition were consistent with </w:t>
      </w:r>
      <w:r>
        <w:t xml:space="preserve">the </w:t>
      </w:r>
      <w:r w:rsidRPr="0060306C">
        <w:t xml:space="preserve">WT </w:t>
      </w:r>
      <w:r>
        <w:t>(</w:t>
      </w:r>
      <w:r w:rsidRPr="0060306C">
        <w:t>Figure 3</w:t>
      </w:r>
      <w:r w:rsidR="00C21F0E">
        <w:t>.4</w:t>
      </w:r>
      <w:r w:rsidRPr="0060306C">
        <w:t>a</w:t>
      </w:r>
      <w:r>
        <w:t xml:space="preserve">; </w:t>
      </w:r>
      <w:r w:rsidR="00812654">
        <w:t>supplemental material Table S3_</w:t>
      </w:r>
      <w:r w:rsidRPr="0060306C">
        <w:t>1</w:t>
      </w:r>
      <w:r>
        <w:t>)</w:t>
      </w:r>
      <w:r w:rsidRPr="0060306C">
        <w:t xml:space="preserve">. The flux ratio </w:t>
      </w:r>
      <w:r>
        <w:t>at the</w:t>
      </w:r>
      <w:r w:rsidRPr="0060306C">
        <w:t xml:space="preserve"> malate node </w:t>
      </w:r>
      <w:r>
        <w:t>was</w:t>
      </w:r>
      <w:r w:rsidRPr="0060306C">
        <w:t xml:space="preserve"> then calculated </w:t>
      </w:r>
      <w:r>
        <w:t xml:space="preserve">and found to </w:t>
      </w:r>
      <w:r w:rsidRPr="0060306C">
        <w:t xml:space="preserve">also not </w:t>
      </w:r>
      <w:r>
        <w:t xml:space="preserve">be </w:t>
      </w:r>
      <w:r w:rsidRPr="0060306C">
        <w:t xml:space="preserve">different from WT </w:t>
      </w:r>
      <w:r>
        <w:t>(</w:t>
      </w:r>
      <w:r w:rsidRPr="0060306C">
        <w:t>Figure 3</w:t>
      </w:r>
      <w:r w:rsidR="007A46EC">
        <w:t>.4</w:t>
      </w:r>
      <w:r w:rsidRPr="0060306C">
        <w:t>b</w:t>
      </w:r>
      <w:r>
        <w:t>)</w:t>
      </w:r>
      <w:r w:rsidRPr="0060306C">
        <w:t xml:space="preserve">. </w:t>
      </w:r>
      <w:r>
        <w:t>In addition</w:t>
      </w:r>
      <w:r w:rsidRPr="0060306C">
        <w:t>, this mutant does</w:t>
      </w:r>
      <w:r>
        <w:t xml:space="preserve"> </w:t>
      </w:r>
      <w:r w:rsidRPr="0060306C">
        <w:t>n</w:t>
      </w:r>
      <w:r>
        <w:t>o</w:t>
      </w:r>
      <w:r w:rsidRPr="0060306C">
        <w:t xml:space="preserve">t have </w:t>
      </w:r>
      <w:r>
        <w:t xml:space="preserve">a </w:t>
      </w:r>
      <w:r w:rsidRPr="0060306C">
        <w:t xml:space="preserve">growth defect. </w:t>
      </w:r>
      <w:r>
        <w:t>These results allow us to conclude</w:t>
      </w:r>
      <w:r w:rsidRPr="0060306C">
        <w:t xml:space="preserve"> that serine cycle flux through </w:t>
      </w:r>
      <w:proofErr w:type="spellStart"/>
      <w:r w:rsidRPr="00DA5FC2">
        <w:rPr>
          <w:i/>
        </w:rPr>
        <w:t>sga</w:t>
      </w:r>
      <w:proofErr w:type="spellEnd"/>
      <w:r w:rsidRPr="0060306C">
        <w:t xml:space="preserve"> is negligible</w:t>
      </w:r>
      <w:r>
        <w:t xml:space="preserve"> under methane growth condition</w:t>
      </w:r>
      <w:r w:rsidRPr="0060306C">
        <w:t>.</w:t>
      </w:r>
      <w:bookmarkStart w:id="70" w:name="header-c52"/>
      <w:bookmarkEnd w:id="70"/>
    </w:p>
    <w:p w14:paraId="7C2F4B72" w14:textId="34C6743F" w:rsidR="00F626DE" w:rsidRDefault="00635958" w:rsidP="00F626DE">
      <w:pPr>
        <w:pStyle w:val="BodyText"/>
        <w:keepNext/>
      </w:pPr>
      <w:r>
        <w:rPr>
          <w:noProof/>
          <w:lang w:eastAsia="zh-CN"/>
        </w:rPr>
        <w:lastRenderedPageBreak/>
        <w:drawing>
          <wp:inline distT="0" distB="0" distL="0" distR="0" wp14:anchorId="086E8B1F" wp14:editId="3E7C60B8">
            <wp:extent cx="6245352" cy="4443984"/>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5352" cy="4443984"/>
                    </a:xfrm>
                    <a:prstGeom prst="rect">
                      <a:avLst/>
                    </a:prstGeom>
                    <a:noFill/>
                  </pic:spPr>
                </pic:pic>
              </a:graphicData>
            </a:graphic>
          </wp:inline>
        </w:drawing>
      </w:r>
    </w:p>
    <w:p w14:paraId="572EC987" w14:textId="3EF18BFB" w:rsidR="00F626DE" w:rsidRDefault="00F626DE" w:rsidP="00F626DE">
      <w:pPr>
        <w:pStyle w:val="Caption"/>
      </w:pPr>
      <w:r>
        <w:t xml:space="preserve">Figure </w:t>
      </w:r>
      <w:r w:rsidR="00D9040C">
        <w:t xml:space="preserve">3.4 </w:t>
      </w:r>
      <w:r w:rsidR="00FB57DC" w:rsidRPr="00FB57DC">
        <w:t xml:space="preserve">MIDs of key metabolites, relative flux to malate node (Figure 3a), and relative flux through TCA cycle (Figure 3b) in </w:t>
      </w:r>
      <w:proofErr w:type="spellStart"/>
      <w:r w:rsidR="00FB57DC" w:rsidRPr="00FB57DC">
        <w:t>Δsga</w:t>
      </w:r>
      <w:proofErr w:type="spellEnd"/>
      <w:r w:rsidR="00FB57DC" w:rsidRPr="00FB57DC">
        <w:t xml:space="preserve"> mutant. No difference in MID between WT and </w:t>
      </w:r>
      <w:proofErr w:type="spellStart"/>
      <w:r w:rsidR="00FB57DC" w:rsidRPr="00FB57DC">
        <w:t>Δsga</w:t>
      </w:r>
      <w:proofErr w:type="spellEnd"/>
      <w:r w:rsidR="00FB57DC" w:rsidRPr="00FB57DC">
        <w:t xml:space="preserve"> mutant, slight difference in TCA cycle contribution. This validates minor flux through serine cycle in WT.</w:t>
      </w:r>
    </w:p>
    <w:p w14:paraId="297778A1" w14:textId="77777777" w:rsidR="00D16CDE" w:rsidRPr="00D16CDE" w:rsidRDefault="00D16CDE" w:rsidP="00D16CDE">
      <w:pPr>
        <w:pStyle w:val="Heading2"/>
        <w:rPr>
          <w:lang w:eastAsia="zh-CN"/>
        </w:rPr>
      </w:pPr>
      <w:bookmarkStart w:id="71" w:name="header-c73"/>
      <w:bookmarkStart w:id="72" w:name="_Toc468311733"/>
      <w:bookmarkEnd w:id="71"/>
      <w:r w:rsidRPr="00D16CDE">
        <w:t>Discussion</w:t>
      </w:r>
      <w:bookmarkEnd w:id="72"/>
    </w:p>
    <w:p w14:paraId="675B75C7" w14:textId="48B0AABA" w:rsidR="00D16CDE" w:rsidRPr="00D16CDE" w:rsidRDefault="00D16CDE" w:rsidP="00D16CDE">
      <w:pPr>
        <w:spacing w:before="180" w:after="180"/>
        <w:rPr>
          <w:rFonts w:eastAsia="SimSun" w:cs="Times New Roman"/>
        </w:rPr>
      </w:pPr>
      <w:r w:rsidRPr="00D16CDE">
        <w:rPr>
          <w:rFonts w:eastAsia="SimSun" w:cs="Times New Roman"/>
        </w:rPr>
        <w:t xml:space="preserve">In order to carry out robust metabolic engineering in </w:t>
      </w:r>
      <w:proofErr w:type="spellStart"/>
      <w:r w:rsidRPr="00D16CDE">
        <w:rPr>
          <w:rFonts w:eastAsia="SimSun" w:cs="Times New Roman"/>
        </w:rPr>
        <w:t>methanotrophs</w:t>
      </w:r>
      <w:proofErr w:type="spellEnd"/>
      <w:r w:rsidRPr="00D16CDE">
        <w:rPr>
          <w:rFonts w:eastAsia="SimSun" w:cs="Times New Roman"/>
        </w:rPr>
        <w:t xml:space="preserve">, it is important to define which metabolic pathways are active in these organisms.  We report here an approach to steady state </w:t>
      </w:r>
      <w:r w:rsidRPr="00D16CDE">
        <w:rPr>
          <w:rFonts w:eastAsia="SimSun" w:cs="Times New Roman"/>
          <w:vertAlign w:val="superscript"/>
        </w:rPr>
        <w:t>13</w:t>
      </w:r>
      <w:r w:rsidRPr="00D16CDE">
        <w:rPr>
          <w:rFonts w:eastAsia="SimSun" w:cs="Times New Roman"/>
        </w:rPr>
        <w:t xml:space="preserve">C analysis in a Type I methanotroph, as a step towards a greater understanding of the functional metabolic pathways in </w:t>
      </w:r>
      <w:proofErr w:type="spellStart"/>
      <w:r w:rsidRPr="00D16CDE">
        <w:rPr>
          <w:rFonts w:eastAsia="SimSun" w:cs="Times New Roman"/>
        </w:rPr>
        <w:t>methanotrophs</w:t>
      </w:r>
      <w:proofErr w:type="spellEnd"/>
      <w:r w:rsidRPr="00D16CDE">
        <w:rPr>
          <w:rFonts w:eastAsia="SimSun" w:cs="Times New Roman"/>
        </w:rPr>
        <w:t xml:space="preserve">. As predicted by theoretical simulation, the flux distribution for the two variants of the </w:t>
      </w:r>
      <w:proofErr w:type="spellStart"/>
      <w:r w:rsidRPr="00D16CDE">
        <w:rPr>
          <w:rFonts w:eastAsia="SimSun" w:cs="Times New Roman"/>
        </w:rPr>
        <w:t>RuMP</w:t>
      </w:r>
      <w:proofErr w:type="spellEnd"/>
      <w:r w:rsidRPr="00D16CDE">
        <w:rPr>
          <w:rFonts w:eastAsia="SimSun" w:cs="Times New Roman"/>
        </w:rPr>
        <w:t xml:space="preserve"> cycle (ED and EMP) could not be distinguished using this technique. Kinetic </w:t>
      </w:r>
      <w:r w:rsidRPr="00D16CDE">
        <w:rPr>
          <w:rFonts w:eastAsia="SimSun" w:cs="Times New Roman"/>
          <w:vertAlign w:val="superscript"/>
        </w:rPr>
        <w:t>13</w:t>
      </w:r>
      <w:r w:rsidRPr="00D16CDE">
        <w:rPr>
          <w:rFonts w:eastAsia="SimSun" w:cs="Times New Roman"/>
        </w:rPr>
        <w:t>C labeling analysis</w:t>
      </w:r>
      <w:r w:rsidRPr="00D16CDE">
        <w:rPr>
          <w:rFonts w:eastAsia="SimSun" w:cs="Times New Roman"/>
        </w:rPr>
        <w:fldChar w:fldCharType="begin" w:fldLock="1"/>
      </w:r>
      <w:r w:rsidR="008C0508">
        <w:rPr>
          <w:rFonts w:eastAsia="SimSun" w:cs="Times New Roman"/>
        </w:rPr>
        <w:instrText>ADDIN CSL_CITATION { "citationItems" : [ { "id" : "ITEM-1", "itemData" : { "DOI" : "10.1093/bioinformatics/btu015", "ISSN" : "1367-4811", "PMID" : "24413674", "abstract" : "13C flux analysis studies have become an essential component of metabolic engineering research. The scope of these studies has gradually expanded to include both isotopically steady-state and transient labeling experiments, the latter of which are uniquely applicable to photosynthetic organisms and slow-to-label mammalian cell cultures. Isotopomer network compartmental analysis (INCA) is the first publicly available software package that can perform both steady-state metabolic flux analysis and isotopically non-stationary metabolic flux analysis. The software provides a framework for comprehensive analysis of metabolic networks using mass balances and elementary metabolite unit balances. The generation of balance equations and their computational solution is completely automated and can be performed on networks of arbitrary complexity.", "author" : [ { "dropping-particle" : "", "family" : "Young", "given" : "Jamey D", "non-dropping-particle" : "", "parse-names" : false, "suffix" : "" } ], "container-title" : "Bioinformatics (Oxford, England)", "id" : "ITEM-1", "issue" : "9", "issued" : { "date-parts" : [ [ "2014", "5", "1" ] ] }, "page" : "1333-5", "title" : "INCA: a computational platform for isotopically non-stationary metabolic flux analysis.", "type" : "article-journal", "volume" : "30" }, "uris" : [ "http://www.mendeley.com/documents/?uuid=96c1a9f3-2e07-4407-b70a-aba619ba067a" ] }, { "id" : "ITEM-2", "itemData" : { "DOI" : "10.1002/bit.25004", "ISSN" : "1097-0290", "PMID" : "23860906", "abstract" : "(13)C-metabolic flux analysis ((13)C-MFA) has become a key method for metabolic engineering and systems biology. In the most common methodology, fluxes are calculated by global isotopomer balancing and iterative fitting to stationary (13)C-labeling data. This approach requires a closed carbon balance, long-lasting metabolic steady state, and the detection of (13)C-patterns in a large number of metabolites. These restrictions mostly reduced the application of (13)C-MFA to the central carbon metabolism of well-studied model organisms grown in minimal media with a single carbon source. Here we introduce non-stationary (13)C-metabolic flux ratio analysis as a novel method for (13)C-MFA to allow estimating local, relative fluxes from ultra-short (13)C-labeling experiments and without the need for global isotopomer balancing. The approach relies on the acquisition of non-stationary (13)C-labeling data exclusively for metabolites in the proximity of a node of converging fluxes and a local parameter estimation with a system of ordinary differential equations. We developed a generalized workflow that takes into account reaction types and the availability of mass spectrometric data on molecular ions or fragments for data processing, modeling, parameter and error estimation. We demonstrated the approach by analyzing three key nodes of converging fluxes in central metabolism of Bacillus subtilis. We obtained flux estimates that are in agreement with published results obtained from steady state experiments, but reduced the duration of the necessary (13)C-labeling experiment to less than a minute. These results show that our strategy enables to formally estimate relative pathway fluxes on extremely short time scale, neglecting cellular carbon balancing. Hence this approach paves the road to targeted (13)C-MFA in dynamic systems with multiple carbon sources and towards rich media.", "author" : [ { "dropping-particle" : "", "family" : "H\u00f6rl", "given" : "Manuel", "non-dropping-particle" : "", "parse-names" : false, "suffix" : "" }, { "dropping-particle" : "", "family" : "Schnidder", "given" : "Julian", "non-dropping-particle" : "", "parse-names" : false, "suffix" : "" }, { "dropping-particle" : "", "family" : "Sauer", "given" : "Uwe", "non-dropping-particle" : "", "parse-names" : false, "suffix" : "" }, { "dropping-particle" : "", "family" : "Zamboni", "given" : "Nicola", "non-dropping-particle" : "", "parse-names" : false, "suffix" : "" } ], "container-title" : "Biotechnology and bioengineering", "id" : "ITEM-2", "issue" : "12", "issued" : { "date-parts" : [ [ "2013", "12" ] ] }, "page" : "3164-76", "title" : "Non-stationary (13)C-metabolic flux ratio analysis.", "type" : "article-journal", "volume" : "110" }, "uris" : [ "http://www.mendeley.com/documents/?uuid=7096edfc-02e0-46d7-acc4-775850c4494e" ] } ], "mendeley" : { "formattedCitation" : "[37, 39]", "plainTextFormattedCitation" : "[37, 39]", "previouslyFormattedCitation" : "[37, 39]"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[37, 39]</w:t>
      </w:r>
      <w:r w:rsidRPr="00D16CDE">
        <w:rPr>
          <w:rFonts w:eastAsia="SimSun" w:cs="Times New Roman"/>
        </w:rPr>
        <w:fldChar w:fldCharType="end"/>
      </w:r>
      <w:r w:rsidRPr="00D16CDE">
        <w:rPr>
          <w:rFonts w:eastAsia="SimSun" w:cs="Times New Roman"/>
        </w:rPr>
        <w:t xml:space="preserve"> will be required for these determinations. Fortunately, the presence of a partially labeled CO</w:t>
      </w:r>
      <w:r w:rsidRPr="00D16CDE">
        <w:rPr>
          <w:rFonts w:eastAsia="SimSun" w:cs="Times New Roman"/>
          <w:vertAlign w:val="subscript"/>
        </w:rPr>
        <w:t>2</w:t>
      </w:r>
      <w:r w:rsidRPr="00D16CDE">
        <w:rPr>
          <w:rFonts w:eastAsia="SimSun" w:cs="Times New Roman"/>
        </w:rPr>
        <w:t xml:space="preserve"> pool as well as carbon rearrangements in C3-C4 interconversion pathways allows flux </w:t>
      </w:r>
      <w:r w:rsidRPr="00D16CDE">
        <w:rPr>
          <w:rFonts w:eastAsia="SimSun" w:cs="Times New Roman"/>
        </w:rPr>
        <w:lastRenderedPageBreak/>
        <w:t>through these pathways to be distinguished. The metabolic network includes multiple predicted routes for interconversion of C3-C4 compounds, most of which are reversible reactions. These fluxes could be further distinguished through steady state flux analysis coupled with mutant analysis.</w:t>
      </w:r>
    </w:p>
    <w:p w14:paraId="3AC24376" w14:textId="60270107" w:rsidR="00D16CDE" w:rsidRPr="00D16CDE" w:rsidRDefault="00D16CDE" w:rsidP="00D16CDE">
      <w:pPr>
        <w:spacing w:before="180" w:after="180"/>
        <w:rPr>
          <w:rFonts w:eastAsia="SimSun" w:cs="Times New Roman"/>
        </w:rPr>
      </w:pPr>
      <w:r w:rsidRPr="00D16CDE">
        <w:rPr>
          <w:rFonts w:eastAsia="SimSun" w:cs="Times New Roman"/>
        </w:rPr>
        <w:t xml:space="preserve">One unresolved question of central metabolism in Type I </w:t>
      </w:r>
      <w:proofErr w:type="spellStart"/>
      <w:r w:rsidRPr="00D16CDE">
        <w:rPr>
          <w:rFonts w:eastAsia="SimSun" w:cs="Times New Roman"/>
        </w:rPr>
        <w:t>methanotrophs</w:t>
      </w:r>
      <w:proofErr w:type="spellEnd"/>
      <w:r w:rsidRPr="00D16CDE">
        <w:rPr>
          <w:rFonts w:eastAsia="SimSun" w:cs="Times New Roman"/>
        </w:rPr>
        <w:t xml:space="preserve"> is whether the TCA cycle is complete or not, since it is commonly reported that no 2-oxoglutarate dehydrogenase activity is detected</w:t>
      </w:r>
      <w:r w:rsidRPr="00D16CDE">
        <w:rPr>
          <w:rFonts w:eastAsia="SimSun" w:cs="Times New Roman"/>
        </w:rPr>
        <w:fldChar w:fldCharType="begin" w:fldLock="1"/>
      </w:r>
      <w:r w:rsidR="008C0508">
        <w:rPr>
          <w:rFonts w:eastAsia="SimSun" w:cs="Times New Roman"/>
        </w:rPr>
        <w:instrText>ADDIN CSL_CITATION { "citationItems" : [ { "id" : "ITEM-1", "itemData" : { "ISSN" : "0021-9193", "PMID" : "806581", "abstract" : "Alpha-Ketoglutaratedehydrogenase was undetectable in extracts of Methylococcus capsulatus. Cells incorporated [1-14-C] acetate into only four protein amino acids (glutamate, proline, arginine, and leucine) and the C5, but not C1, of glutamate.", "author" : [ { "dropping-particle" : "", "family" : "Patel", "given" : "R", "non-dropping-particle" : "", "parse-names" : false, "suffix" : "" }, { "dropping-particle" : "", "family" : "Hoare", "given" : "L", "non-dropping-particle" : "", "parse-names" : false, "suffix" : "" }, { "dropping-particle" : "", "family" : "Hoare", "given" : "D S", "non-dropping-particle" : "", "parse-names" : false, "suffix" : "" }, { "dropping-particle" : "", "family" : "Taylor", "given" : "B F", "non-dropping-particle" : "", "parse-names" : false, "suffix" : "" } ], "container-title" : "Journal of bacteriology", "id" : "ITEM-1", "issue" : "1", "issued" : { "date-parts" : [ [ "1975", "7" ] ] }, "page" : "382-4", "publisher" : "American Society for Microbiology", "title" : "Incomplete tricarboxylic acid cycle in a type I methylotroph, Methylococcus capsulatus.", "type" : "article-journal", "volume" : "123" }, "uris" : [ "http://www.mendeley.com/documents/?uuid=c259996c-6ed3-3d92-b4f1-90e56a813729" ] }, { "id" : "ITEM-2", "itemData" : { "DOI" : "10.1007/BF00409135", "ISSN" : "0302-8933", "author" : [ { "dropping-particle" : "", "family" : "Davey", "given" : "John F.", "non-dropping-particle" : "", "parse-names" : false, "suffix" : "" }, { "dropping-particle" : "", "family" : "Whittenbury", "given" : "Roger", "non-dropping-particle" : "", "parse-names" : false, "suffix" : "" }, { "dropping-particle" : "", "family" : "Wilkinson", "given" : "John F.", "non-dropping-particle" : "", "parse-names" : false, "suffix" : "" } ], "container-title" : "Archiv f\u00fcr Mikrobiologie", "id" : "ITEM-2", "issue" : "4", "issued" : { "date-parts" : [ [ "1972" ] ] }, "page" : "359-366", "publisher" : "Springer-Verlag", "title" : "The distribution in the methylobacteria of some key enzymes concerned with intermediary metabolism", "type" : "article-journal", "volume" : "87" }, "uris" : [ "http://www.mendeley.com/documents/?uuid=f298e365-9632-396e-8759-5f629407779e" ] }, { "id" : "ITEM-3", "itemData" : { "DOI" : "10.1007/BF00427729", "ISSN" : "0302-8933", "author" : [ { "dropping-particle" : "", "family" : "Hazeu", "given" : "W.", "non-dropping-particle" : "", "parse-names" : false, "suffix" : "" }, { "dropping-particle" : "", "family" : "Batenburg-van der Vegte", "given" : "Wilma H.", "non-dropping-particle" : "", "parse-names" : false, "suffix" : "" }, { "dropping-particle" : "", "family" : "Bruyn", "given" : "Johanna C.", "non-dropping-particle" : "de", "parse-names" : false, "suffix" : "" } ], "container-title" : "Archives of Microbiology", "id" : "ITEM-3", "issue" : "2-3", "issued" : { "date-parts" : [ [ "1980", "2" ] ] }, "page" : "211-220", "publisher" : "Springer-Verlag", "title" : "Some characteristics of Methylococcus mobilis sp. nov.", "type" : "article-journal", "volume" : "124-124" }, "uris" : [ "http://www.mendeley.com/documents/?uuid=1a59290c-36a9-3a10-a0e5-7a852c007c20" ] }, { "id" : "ITEM-4", "itemData" : { "DOI" : "10.1016/0968-0004(83)90116-0", "ISBN" : "012058820X", "ISSN" : "09680004", "abstract" : "N/A", "id" : "ITEM-4", "issued" : { "date-parts" : [ [ "1983" ] ] }, "title" : "the Biochemistry of Methylotrophs - Anthony,C", "type" : "book" }, "uris" : [ "http://www.mendeley.com/documents/?uuid=5c4ddac1-4633-460c-89a6-6bab1117aaf8" ] }, { "id" : "ITEM-5", "itemData" : { "DOI" : "10.1078/0723-2020-00028", "ISSN" : "0723-2020", "PMID" : "11518319", "abstract" : "Five strains of obligate methanotrophic bacteria (4G, 5G, 6G, 7G and 5B) isolated from bottom sediments of Southeastern Transbaikal soda lakes (pH 9.5-10.5) are taxonomically described. These bacteria are aerobic, Gram-negative monotrichous rods having tightly packed cup-shaped structures on the outer cell wall surface (S-layers) and Type I intracytoplasmic membranes. All the isolates possess particulate methane monooxygenase (pMMO) and one strain (5G) also contains soluble methane monooxygenase (sMMO). They assimilate methane and methanol via the ribulose monophosphate pathway (RuMP). The isolates are alkalitolerant or facultatively alkaliphilic, able to grow at pH 10.5-11.0 and optimally at pH 8.5-9.5. These organisms are obligately dependent on the presence of sodium ions in the growth medium and tolerate up to 0.9-1.4 M NaCl or 1 M NaHCO3. Although being mesophilic, all the isolates are resistant to heating (80 degrees C, 20 min), freezing and drying. Their cellular fatty acids profiles primarily consist of C(16:1). The major phospholipids are phosphatidylethanolamine and phosphatidylglycerol. The main quinone is Q-8. The DNA G+C content ranges from 49.2-51.5 mol %. Comparative 16S rDNA sequencing showed that the newly isolated methanotrophs are related to membres of the Methylomicrobium genus. However, they differ from the known members of this genus by DNA-DNA relatedness. Based on pheno- and genotypic characteristics, we propose a new species of the genus Methylomicrobium Methylomicrobium buryatense sp. nov.", "author" : [ { "dropping-particle" : "", "family" : "KALUZHNAYA", "given" : "MARINA", "non-dropping-particle" : "", "parse-names" : false, "suffix" : "" }, { "dropping-particle" : "", "family" : "KHMELENINA", "given" : "VALENTINA", "non-dropping-particle" : "", "parse-names" : false, "suffix" : "" }, { "dropping-particle" : "", "family" : "ESHINIMAEV", "given" : "BULAT", "non-dropping-particle" : "", "parse-names" : false, "suffix" : "" }, { "dropping-particle" : "", "family" : "SUZINA", "given" : "NATALIA", "non-dropping-particle" : "", "parse-names" : false, "suffix" : "" }, { "dropping-particle" : "", "family" : "NIKITIN", "given" : "DIMITRY", "non-dropping-particle" : "", "parse-names" : false, "suffix" : "" }, { "dropping-particle" : "", "family" : "SOLONIN", "given" : "ALEXANDER", "non-dropping-particle" : "", "parse-names" : false, "suffix" : "" }, { "dropping-particle" : "", "family" : "LIN", "given" : "JU-LING", "non-dropping-particle" : "", "parse-names" : false, "suffix" : "" }, { "dropping-particle" : "", "family" : "MCDONALD", "given" : "IAN", "non-dropping-particle" : "", "parse-names" : false, "suffix" : "" }, { "dropping-particle" : "", "family" : "MURRELL", "given" : "COLIN", "non-dropping-particle" : "", "parse-names" : false, "suffix" : "" }, { "dropping-particle" : "", "family" : "TROTSENKO", "given" : "YURI", "non-dropping-particle" : "", "parse-names" : false, "suffix" : "" } ], "container-title" : "Systematic and applied microbiology", "id" : "ITEM-5", "issued" : { "date-parts" : [ [ "2001" ] ] }, "page" : "166-176", "title" : "Taxonomic characterization of new alkaliphilic and alkalitolerant methanotrophs from soda lakes of the Southeastern Transbaikal region and description of Methylomicrobium buryatense sp.nov.", "type" : "article-journal", "volume" : "24" }, "uris" : [ "http://www.mendeley.com/documents/?uuid=275a83c0-53d2-41a2-9059-686805474e17" ] } ], "mendeley" : { "formattedCitation" : "[1, 69\u201372]", "plainTextFormattedCitation" : "[1, 69\u201372]", "previouslyFormattedCitation" : "[1, 69\u201372]"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[1, 69–72]</w:t>
      </w:r>
      <w:r w:rsidRPr="00D16CDE">
        <w:rPr>
          <w:rFonts w:eastAsia="SimSun" w:cs="Times New Roman"/>
        </w:rPr>
        <w:fldChar w:fldCharType="end"/>
      </w:r>
      <w:r w:rsidRPr="00D16CDE">
        <w:rPr>
          <w:rFonts w:eastAsia="SimSun" w:cs="Times New Roman"/>
        </w:rPr>
        <w:t xml:space="preserve">. In this study, we discovered the surprising result that in </w:t>
      </w:r>
      <w:r w:rsidRPr="00D16CDE">
        <w:rPr>
          <w:rFonts w:eastAsia="SimSun" w:cs="Times New Roman"/>
          <w:i/>
        </w:rPr>
        <w:t xml:space="preserve">M. buryatense </w:t>
      </w:r>
      <w:r w:rsidRPr="00D16CDE">
        <w:rPr>
          <w:rFonts w:eastAsia="SimSun" w:cs="Times New Roman"/>
        </w:rPr>
        <w:t xml:space="preserve">5GB1, the TCA cycle operates as an oxidative cycle and confirmed the labeling results with a </w:t>
      </w:r>
      <w:proofErr w:type="spellStart"/>
      <w:r w:rsidRPr="00D16CDE">
        <w:rPr>
          <w:rFonts w:eastAsia="SimSun" w:cs="Times New Roman"/>
        </w:rPr>
        <w:t>fumarase</w:t>
      </w:r>
      <w:proofErr w:type="spellEnd"/>
      <w:r w:rsidRPr="00D16CDE">
        <w:rPr>
          <w:rFonts w:eastAsia="SimSun" w:cs="Times New Roman"/>
        </w:rPr>
        <w:t xml:space="preserve"> mutant. We also identified that </w:t>
      </w:r>
      <w:proofErr w:type="spellStart"/>
      <w:r w:rsidRPr="00D16CDE">
        <w:rPr>
          <w:rFonts w:eastAsia="SimSun" w:cs="Times New Roman"/>
          <w:i/>
        </w:rPr>
        <w:t>fumA</w:t>
      </w:r>
      <w:proofErr w:type="spellEnd"/>
      <w:r w:rsidRPr="00D16CDE">
        <w:rPr>
          <w:rFonts w:eastAsia="SimSun" w:cs="Times New Roman"/>
        </w:rPr>
        <w:t xml:space="preserve"> is the likely the dominant </w:t>
      </w:r>
      <w:proofErr w:type="spellStart"/>
      <w:r w:rsidRPr="00D16CDE">
        <w:rPr>
          <w:rFonts w:eastAsia="SimSun" w:cs="Times New Roman"/>
        </w:rPr>
        <w:t>fumarase</w:t>
      </w:r>
      <w:proofErr w:type="spellEnd"/>
      <w:r w:rsidRPr="00D16CDE">
        <w:rPr>
          <w:rFonts w:eastAsia="SimSun" w:cs="Times New Roman"/>
        </w:rPr>
        <w:t xml:space="preserve"> enzyme under these growth conditions. In addition, the genome sequence predicts three separate pathways for converting 2-oxoglutarate to </w:t>
      </w:r>
      <w:proofErr w:type="spellStart"/>
      <w:r w:rsidRPr="00D16CDE">
        <w:rPr>
          <w:rFonts w:eastAsia="SimSun" w:cs="Times New Roman"/>
        </w:rPr>
        <w:t>succinylCoA</w:t>
      </w:r>
      <w:proofErr w:type="spellEnd"/>
      <w:r w:rsidRPr="00D16CDE">
        <w:rPr>
          <w:rFonts w:eastAsia="SimSun" w:cs="Times New Roman"/>
        </w:rPr>
        <w:t xml:space="preserve"> or succinate, including a classic 2-oxoglutarate dehydrogenase.  All of these pathways offer the possibility of a complete TCA cycle, and would be predicted to provide network robustness. The role of each pathway is not known, but a mutant in the 2-oxoglutarate dehydrogenase E3 subunit (METBUDRAFT_0801/MBURv2_50047) did not show a growth phenotype and the labeling pattern was similar to WT, suggesting that at least one of the other pathways is functional. Since the oxidative TCA cycle is predicted to generate 45% of the malate pool and the </w:t>
      </w:r>
      <w:proofErr w:type="spellStart"/>
      <w:r w:rsidRPr="00D16CDE">
        <w:rPr>
          <w:rFonts w:eastAsia="SimSun" w:cs="Times New Roman"/>
        </w:rPr>
        <w:t>fumarase</w:t>
      </w:r>
      <w:proofErr w:type="spellEnd"/>
      <w:r w:rsidRPr="00D16CDE">
        <w:rPr>
          <w:rFonts w:eastAsia="SimSun" w:cs="Times New Roman"/>
        </w:rPr>
        <w:t xml:space="preserve"> A mutant that disrupts the oxidative TCA cycle had a severe growth defect, our results suggest that the TCA cycle functions both in the generation of precursors for biomass synthesis and in the generation of reducing power.  </w:t>
      </w:r>
    </w:p>
    <w:p w14:paraId="49A2DC7C" w14:textId="751CB519" w:rsidR="00D16CDE" w:rsidRPr="00D16CDE" w:rsidRDefault="00D16CDE" w:rsidP="00D16CDE">
      <w:pPr>
        <w:spacing w:before="180" w:after="180"/>
        <w:rPr>
          <w:rFonts w:eastAsia="SimSun" w:cs="Times New Roman"/>
        </w:rPr>
      </w:pPr>
      <w:r w:rsidRPr="00D16CDE">
        <w:rPr>
          <w:rFonts w:eastAsia="SimSun" w:cs="Times New Roman"/>
        </w:rPr>
        <w:t xml:space="preserve">From previously published genome-scale modeling of </w:t>
      </w:r>
      <w:r w:rsidRPr="00D16CDE">
        <w:rPr>
          <w:rFonts w:eastAsia="SimSun" w:cs="Times New Roman"/>
          <w:i/>
        </w:rPr>
        <w:t xml:space="preserve">M. buryatense </w:t>
      </w:r>
      <w:r w:rsidRPr="00D16CDE">
        <w:rPr>
          <w:rFonts w:eastAsia="SimSun" w:cs="Times New Roman"/>
        </w:rPr>
        <w:t xml:space="preserve">5GB1 under methane growth, a partial serine cycle was predicted to contribute to </w:t>
      </w:r>
      <w:r w:rsidRPr="00D16CDE">
        <w:rPr>
          <w:rFonts w:eastAsia="SimSun" w:cs="Times New Roman"/>
          <w:i/>
        </w:rPr>
        <w:t xml:space="preserve">de novo </w:t>
      </w:r>
      <w:r w:rsidRPr="00D16CDE">
        <w:rPr>
          <w:rFonts w:eastAsia="SimSun" w:cs="Times New Roman"/>
        </w:rPr>
        <w:t xml:space="preserve">acetyl-CoA synthesis with </w:t>
      </w:r>
      <w:proofErr w:type="spellStart"/>
      <w:r w:rsidRPr="00D16CDE">
        <w:rPr>
          <w:rFonts w:eastAsia="SimSun" w:cs="Arial"/>
        </w:rPr>
        <w:t>Δ</w:t>
      </w:r>
      <w:r w:rsidRPr="00D16CDE">
        <w:rPr>
          <w:rFonts w:eastAsia="SimSun" w:cs="Times New Roman"/>
        </w:rPr>
        <w:t>pdh</w:t>
      </w:r>
      <w:proofErr w:type="spellEnd"/>
      <w:r w:rsidRPr="00D16CDE">
        <w:rPr>
          <w:rFonts w:eastAsia="SimSun" w:cs="Times New Roman"/>
        </w:rPr>
        <w:t xml:space="preserve"> and </w:t>
      </w:r>
      <w:proofErr w:type="spellStart"/>
      <w:r w:rsidRPr="00D16CDE">
        <w:rPr>
          <w:rFonts w:eastAsia="SimSun" w:cs="Arial"/>
        </w:rPr>
        <w:t>Δ</w:t>
      </w:r>
      <w:r w:rsidRPr="00D16CDE">
        <w:rPr>
          <w:rFonts w:eastAsia="SimSun" w:cs="Times New Roman"/>
        </w:rPr>
        <w:t>xfp</w:t>
      </w:r>
      <w:proofErr w:type="spellEnd"/>
      <w:r w:rsidRPr="00D16CDE">
        <w:rPr>
          <w:rFonts w:eastAsia="SimSun" w:cs="Times New Roman"/>
        </w:rPr>
        <w:t xml:space="preserve"> knockouts</w:t>
      </w:r>
      <w:r w:rsidRPr="00D16CDE">
        <w:rPr>
          <w:rFonts w:eastAsia="SimSun" w:cs="Times New Roman"/>
        </w:rPr>
        <w:fldChar w:fldCharType="begin" w:fldLock="1"/>
      </w:r>
      <w:r w:rsidR="008C0508">
        <w:rPr>
          <w:rFonts w:eastAsia="SimSun" w:cs="Times New Roman"/>
        </w:rPr>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[68]</w:t>
      </w:r>
      <w:r w:rsidRPr="00D16CDE">
        <w:rPr>
          <w:rFonts w:eastAsia="SimSun" w:cs="Times New Roman"/>
        </w:rPr>
        <w:fldChar w:fldCharType="end"/>
      </w:r>
      <w:r w:rsidRPr="00D16CDE">
        <w:rPr>
          <w:rFonts w:eastAsia="SimSun" w:cs="Times New Roman"/>
        </w:rPr>
        <w:t xml:space="preserve">, but carries no flux in WT. This prediction matches with our </w:t>
      </w:r>
      <w:r w:rsidRPr="00D16CDE">
        <w:rPr>
          <w:rFonts w:eastAsia="SimSun" w:cs="Times New Roman"/>
          <w:vertAlign w:val="superscript"/>
        </w:rPr>
        <w:t>13</w:t>
      </w:r>
      <w:r w:rsidRPr="00D16CDE">
        <w:rPr>
          <w:rFonts w:eastAsia="SimSun" w:cs="Times New Roman"/>
        </w:rPr>
        <w:t xml:space="preserve">C tracer analysis results of WT as well as the </w:t>
      </w:r>
      <w:proofErr w:type="spellStart"/>
      <w:r w:rsidRPr="00D16CDE">
        <w:rPr>
          <w:rFonts w:eastAsia="SimSun" w:cs="Arial"/>
          <w:i/>
        </w:rPr>
        <w:t>Δ</w:t>
      </w:r>
      <w:r w:rsidRPr="00D16CDE">
        <w:rPr>
          <w:rFonts w:eastAsia="SimSun" w:cs="Times New Roman"/>
          <w:i/>
        </w:rPr>
        <w:t>sga</w:t>
      </w:r>
      <w:proofErr w:type="spellEnd"/>
      <w:r w:rsidRPr="00D16CDE">
        <w:rPr>
          <w:rFonts w:eastAsia="SimSun" w:cs="Times New Roman"/>
        </w:rPr>
        <w:t xml:space="preserve"> mutant.  </w:t>
      </w:r>
    </w:p>
    <w:p w14:paraId="46A1051D" w14:textId="1EDA8B34" w:rsidR="00D16CDE" w:rsidRDefault="00D16CDE" w:rsidP="00D16CDE">
      <w:pPr>
        <w:spacing w:before="180" w:after="180"/>
        <w:rPr>
          <w:rFonts w:eastAsia="SimSun" w:cs="Times New Roman"/>
        </w:rPr>
      </w:pPr>
      <w:r w:rsidRPr="00D16CDE">
        <w:rPr>
          <w:rFonts w:eastAsia="SimSun" w:cs="Times New Roman"/>
        </w:rPr>
        <w:t xml:space="preserve">The presence of a complete TCA cycle in this methanotroph is an important new finding, which opens up new opportunities for metabolic engineering. Pyruvate and </w:t>
      </w:r>
      <w:proofErr w:type="spellStart"/>
      <w:r w:rsidRPr="00D16CDE">
        <w:rPr>
          <w:rFonts w:eastAsia="SimSun" w:cs="Times New Roman"/>
        </w:rPr>
        <w:t>AcCoA</w:t>
      </w:r>
      <w:proofErr w:type="spellEnd"/>
      <w:r w:rsidRPr="00D16CDE">
        <w:rPr>
          <w:rFonts w:eastAsia="SimSun" w:cs="Times New Roman"/>
        </w:rPr>
        <w:t xml:space="preserve"> are key precursors for valuable chemical products that might be generated from methane using </w:t>
      </w:r>
      <w:r w:rsidRPr="00D16CDE">
        <w:rPr>
          <w:rFonts w:eastAsia="SimSun" w:cs="Times New Roman"/>
          <w:i/>
        </w:rPr>
        <w:t xml:space="preserve">M. buryatense </w:t>
      </w:r>
      <w:r w:rsidRPr="00D16CDE">
        <w:rPr>
          <w:rFonts w:eastAsia="SimSun" w:cs="Times New Roman"/>
        </w:rPr>
        <w:t>5GB1 through metabolic engineering</w:t>
      </w:r>
      <w:r w:rsidRPr="00D16CDE">
        <w:rPr>
          <w:rFonts w:eastAsia="SimSun" w:cs="Times New Roman"/>
        </w:rPr>
        <w:fldChar w:fldCharType="begin" w:fldLock="1"/>
      </w:r>
      <w:r w:rsidR="008C0508">
        <w:rPr>
          <w:rFonts w:eastAsia="SimSun" w:cs="Times New Roman"/>
        </w:rPr>
        <w:instrText>ADDIN CSL_CITATION { "citationItems" : [ { "id" : "ITEM-1",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"ITEM-1", "issued" : { "date-parts" : [ [ "2015", "3", "27" ] ] }, "page" : "142-52", "title" : "Metabolic engineering in methanotrophic bacteria.", "type" : "article-journal", "volume" : "29" }, "uris" : [ "http://www.mendeley.com/documents/?uuid=32e253e7-67d3-4c6d-aa02-acf8ada1ca28" ] } ], "mendeley" : { "formattedCitation" : "[74]", "plainTextFormattedCitation" : "[74]", "previouslyFormattedCitation" : "[74]"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[74]</w:t>
      </w:r>
      <w:r w:rsidRPr="00D16CDE">
        <w:rPr>
          <w:rFonts w:eastAsia="SimSun" w:cs="Times New Roman"/>
        </w:rPr>
        <w:fldChar w:fldCharType="end"/>
      </w:r>
      <w:r w:rsidRPr="00D16CDE">
        <w:rPr>
          <w:rFonts w:eastAsia="SimSun" w:cs="Times New Roman"/>
        </w:rPr>
        <w:t xml:space="preserve">, so this increased understanding of how pyruvate and </w:t>
      </w:r>
      <w:proofErr w:type="spellStart"/>
      <w:r w:rsidRPr="00D16CDE">
        <w:rPr>
          <w:rFonts w:eastAsia="SimSun" w:cs="Times New Roman"/>
        </w:rPr>
        <w:t>AcCoA</w:t>
      </w:r>
      <w:proofErr w:type="spellEnd"/>
      <w:r w:rsidRPr="00D16CDE">
        <w:rPr>
          <w:rFonts w:eastAsia="SimSun" w:cs="Times New Roman"/>
        </w:rPr>
        <w:t xml:space="preserve"> are metabolized is important for such manipulations. In addition, since the metabolic network is more similar to </w:t>
      </w:r>
      <w:r w:rsidRPr="00D16CDE">
        <w:rPr>
          <w:rFonts w:eastAsia="SimSun" w:cs="Times New Roman"/>
          <w:i/>
        </w:rPr>
        <w:t xml:space="preserve">E. coli </w:t>
      </w:r>
      <w:r w:rsidRPr="00D16CDE">
        <w:rPr>
          <w:rFonts w:eastAsia="SimSun" w:cs="Times New Roman"/>
        </w:rPr>
        <w:t xml:space="preserve">than previously thought, </w:t>
      </w:r>
      <w:r w:rsidR="00A71E6C">
        <w:rPr>
          <w:rFonts w:eastAsia="SimSun" w:cs="Times New Roman"/>
        </w:rPr>
        <w:t>it suggests the possibility of ‘drop-in’</w:t>
      </w:r>
      <w:r w:rsidRPr="00D16CDE">
        <w:rPr>
          <w:rFonts w:eastAsia="SimSun" w:cs="Times New Roman"/>
        </w:rPr>
        <w:t xml:space="preserve"> modules designed for production of valuable </w:t>
      </w:r>
      <w:r w:rsidRPr="00D16CDE">
        <w:rPr>
          <w:rFonts w:eastAsia="SimSun" w:cs="Times New Roman"/>
        </w:rPr>
        <w:lastRenderedPageBreak/>
        <w:t xml:space="preserve">compounds in </w:t>
      </w:r>
      <w:r w:rsidRPr="00D16CDE">
        <w:rPr>
          <w:rFonts w:eastAsia="SimSun" w:cs="Times New Roman"/>
          <w:i/>
        </w:rPr>
        <w:t>E. coli</w:t>
      </w:r>
      <w:r w:rsidRPr="00D16CDE">
        <w:rPr>
          <w:rFonts w:eastAsia="SimSun" w:cs="Times New Roman"/>
        </w:rPr>
        <w:t>.  Our results also provide additional constraints for incorporation into FBA models using the method previously described</w:t>
      </w:r>
      <w:r w:rsidRPr="00D16CDE">
        <w:rPr>
          <w:rFonts w:eastAsia="SimSun" w:cs="Times New Roman"/>
        </w:rPr>
        <w:fldChar w:fldCharType="begin" w:fldLock="1"/>
      </w:r>
      <w:r w:rsidR="008C0508">
        <w:rPr>
          <w:rFonts w:eastAsia="SimSun" w:cs="Times New Roman"/>
        </w:rPr>
        <w:instrText>ADDIN CSL_CITATION { "citationItems" : [ { "id" : "ITEM-1", "itemData" : { "DOI" : "10.1371/journal.pcbi.1004363", "ISSN" : "1553-7358", "PMID" : "26379153", "abstract" : "Current limitations in quantitatively predicting biological behavior hinder our efforts to engineer biological systems to produce biofuels and other desired chemicals. Here, we present a new method for calculating metabolic fluxes, key targets in metabolic engineering, that incorporates data from 13C labeling experiments and genome-scale models. The data from 13C labeling experiments provide strong flux constraints that eliminate the need to assume an evolutionary optimization principle such as the growth rate optimization assumption used in Flux Balance Analysis (FBA). This effective constraining is achieved by making the simple but biologically relevant assumption that flux flows from core to peripheral metabolism and does not flow back. The new method is significantly more robust than FBA with respect to errors in genome-scale model reconstruction. Furthermore, it can provide a comprehensive picture of metabolite balancing and predictions for unmeasured extracellular fluxes as constrained by 13C labeling data. A comparison shows that the results of this new method are similar to those found through 13C Metabolic Flux Analysis (13C MFA) for central carbon metabolism but, additionally, it provides flux estimates for peripheral metabolism. The extra validation gained by matching 48 relative labeling measurements is used to identify where and why several existing COnstraint Based Reconstruction and Analysis (COBRA) flux prediction algorithms fail. We demonstrate how to use this knowledge to refine these methods and improve their predictive capabilities. This method provides a reliable base upon which to improve the design of biological systems.", "author" : [ { "dropping-particle" : "", "family" : "Mart\u00edn", "given" : "H\u00e9ctor Garc\u00eda", "non-dropping-particle" : "", "parse-names" : false, "suffix" : "" }, { "dropping-particle" : "", "family" : "Kumar", "given" : "Vinay Satish", "non-dropping-particle" : "", "parse-names" : false, "suffix" : "" }, { "dropping-particle" : "", "family" : "Weaver", "given" : "Daniel", "non-dropping-particle" : "", "parse-names" : false, "suffix" : "" }, { "dropping-particle" : "", "family" : "Ghosh", "given" : "Amit", "non-dropping-particle" : "", "parse-names" : false, "suffix" : "" }, { "dropping-particle" : "", "family" : "Chubukov", "given" : "Victor", "non-dropping-particle" : "", "parse-names" : false, "suffix" : "" }, { "dropping-particle" : "", "family" : "Mukhopadhyay", "given" : "Aindrila", "non-dropping-particle" : "", "parse-names" : false, "suffix" : "" }, { "dropping-particle" : "", "family" : "Arkin", "given" : "Adam", "non-dropping-particle" : "", "parse-names" : false, "suffix" : "" }, { "dropping-particle" : "", "family" : "Keasling", "given" : "Jay D", "non-dropping-particle" : "", "parse-names" : false, "suffix" : "" } ], "container-title" : "PLoS computational biology", "id" : "ITEM-1", "issue" : "9", "issued" : { "date-parts" : [ [ "2015", "9" ] ] }, "page" : "e1004363", "title" : "A Method to Constrain Genome-Scale Models with 13C Labeling Data.", "type" : "article-journal", "volume" : "11" }, "uris" : [ "http://www.mendeley.com/documents/?uuid=59e36b5f-b0c1-3e1b-bf71-ad23335bfbcd" ] } ], "mendeley" : { "formattedCitation" : "[75]", "plainTextFormattedCitation" : "[75]", "previouslyFormattedCitation" : "[75]" }, "properties" : { "noteIndex" : 0 }, "schema" : "https://github.com/citation-style-language/schema/raw/master/csl-citation.json" }</w:instrText>
      </w:r>
      <w:r w:rsidRPr="00D16CDE">
        <w:rPr>
          <w:rFonts w:eastAsia="SimSun" w:cs="Times New Roman"/>
        </w:rPr>
        <w:fldChar w:fldCharType="separate"/>
      </w:r>
      <w:r w:rsidR="0005386F" w:rsidRPr="0005386F">
        <w:rPr>
          <w:rFonts w:eastAsia="SimSun" w:cs="Times New Roman"/>
          <w:noProof/>
        </w:rPr>
        <w:t>[75]</w:t>
      </w:r>
      <w:r w:rsidRPr="00D16CDE">
        <w:rPr>
          <w:rFonts w:eastAsia="SimSun" w:cs="Times New Roman"/>
        </w:rPr>
        <w:fldChar w:fldCharType="end"/>
      </w:r>
      <w:r w:rsidRPr="00D16CDE">
        <w:rPr>
          <w:rFonts w:eastAsia="SimSun" w:cs="Times New Roman"/>
        </w:rPr>
        <w:t xml:space="preserve">. Our demonstration of an approach for steady state flux analysis in a Type I methanotroph together with the new insights gained into the central metabolism in such a bacterium set the stage for more robust metabolic engineering approaches for conversion of methane to value-added products.  </w:t>
      </w:r>
    </w:p>
    <w:p w14:paraId="511609B0" w14:textId="2A4E0EFD" w:rsidR="00D16CDE" w:rsidRPr="00D16CDE" w:rsidRDefault="00D16CDE" w:rsidP="00D16CDE">
      <w:pPr>
        <w:pStyle w:val="Heading2"/>
        <w:rPr>
          <w:sz w:val="20"/>
          <w:szCs w:val="24"/>
        </w:rPr>
      </w:pPr>
      <w:bookmarkStart w:id="73" w:name="_Toc468311734"/>
      <w:r w:rsidRPr="00D16CDE">
        <w:t>Conclusion</w:t>
      </w:r>
      <w:bookmarkEnd w:id="73"/>
    </w:p>
    <w:p w14:paraId="557E896A" w14:textId="67DEC75C" w:rsidR="00D16CDE" w:rsidRPr="00D16CDE" w:rsidRDefault="00D16CDE" w:rsidP="00D16CDE">
      <w:pPr>
        <w:rPr>
          <w:i/>
        </w:rPr>
      </w:pPr>
      <w:r w:rsidRPr="00D16CDE">
        <w:t xml:space="preserve">This study initiated flux estimates in </w:t>
      </w:r>
      <w:r w:rsidRPr="00D16CDE">
        <w:rPr>
          <w:i/>
        </w:rPr>
        <w:t>M. buryatense</w:t>
      </w:r>
      <w:r w:rsidRPr="00D16CDE">
        <w:t xml:space="preserve"> 5GB1, an industrially promising candidate for bioconversion of methane into value-added chemicals, providing informative insights into how core metabolism operates under tested environmental conditions</w:t>
      </w:r>
      <w:r>
        <w:t xml:space="preserve">. </w:t>
      </w:r>
      <w:r w:rsidRPr="00D16CDE">
        <w:t>The addition of flux estimates into the metabolic engineering toolbox for this bacterium will accelerate the metabolic engineering process. The surprising finding of an oxidative TCA cycle operating in this Type I methanotroph opens more possibilities for metabolic engineering targets to improve process characteristics.</w:t>
      </w:r>
    </w:p>
    <w:p w14:paraId="413E9A53" w14:textId="77777777" w:rsidR="008C670A" w:rsidRPr="00D51525" w:rsidRDefault="008C670A" w:rsidP="00D51525">
      <w:pPr>
        <w:pStyle w:val="Heading2"/>
      </w:pPr>
      <w:bookmarkStart w:id="74" w:name="_Toc468311735"/>
      <w:r w:rsidRPr="00D51525">
        <w:t>Materials and Methods</w:t>
      </w:r>
      <w:bookmarkEnd w:id="74"/>
    </w:p>
    <w:p w14:paraId="19B341EA" w14:textId="5B92BD0D" w:rsidR="008C670A" w:rsidRPr="00D51525" w:rsidRDefault="00FA59DF" w:rsidP="00D51525">
      <w:pPr>
        <w:pStyle w:val="Heading3"/>
      </w:pPr>
      <w:bookmarkStart w:id="75" w:name="header-c74"/>
      <w:bookmarkStart w:id="76" w:name="_Toc468311736"/>
      <w:bookmarkEnd w:id="75"/>
      <w:r>
        <w:t>3.4</w:t>
      </w:r>
      <w:r w:rsidR="008C670A" w:rsidRPr="00D51525">
        <w:t>. Cell culture</w:t>
      </w:r>
      <w:bookmarkEnd w:id="76"/>
      <w:r w:rsidR="008C670A" w:rsidRPr="00D51525">
        <w:t xml:space="preserve"> </w:t>
      </w:r>
    </w:p>
    <w:p w14:paraId="461D0331" w14:textId="73C53BA6" w:rsidR="00D51525" w:rsidRPr="00D51525" w:rsidRDefault="00D51525" w:rsidP="00D51525">
      <w:pPr>
        <w:spacing w:before="180" w:after="180"/>
        <w:rPr>
          <w:rFonts w:eastAsia="SimSun" w:cs="Times New Roman"/>
        </w:rPr>
      </w:pPr>
      <w:r w:rsidRPr="00D51525">
        <w:rPr>
          <w:rFonts w:eastAsia="SimSun" w:cs="Times New Roman"/>
        </w:rPr>
        <w:t>NMS2 medium as previous described</w:t>
      </w:r>
      <w:r w:rsidRPr="00D51525">
        <w:rPr>
          <w:rFonts w:eastAsia="SimSun" w:cs="Times New Roman"/>
        </w:rPr>
        <w:fldChar w:fldCharType="begin" w:fldLock="1"/>
      </w:r>
      <w:r w:rsidR="008C0508">
        <w:rPr>
          <w:rFonts w:eastAsia="SimSun" w:cs="Times New Roman"/>
        </w:rPr>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"id" : "ITEM-2", "itemData" : { "DOI" : "10.1128/JB.00959-15", "ISSN" : "0021-9193", "abstract" : "&lt;p&gt; Many methylotrophic taxa harbor two distinct methanol dehydrogenase (MDH) systems for oxidizing methanol to formaldehyde: the well-studied calcium-dependent MxaFI type and the more recently discovered lanthanide-containing XoxF type. MxaFI has traditionally been accepted as the major functional MDH in bacteria that contain both enzymes. However, in this study, we present evidence that, in a type I methanotroph, &lt;named-content content-type=\"genus-species\"&gt;Methylomicrobium buryatense&lt;/named-content&gt; , XoxF is likely the primary functional MDH in the environment. The addition of lanthanides increases &lt;italic&gt;xoxF&lt;/italic&gt; expression and greatly reduces &lt;italic&gt;mxa&lt;/italic&gt; expression, even under conditions in which calcium concentrations are almost 100-fold higher than lanthanide concentrations. Mutations in genes encoding the MDH enzymes validate our finding that XoxF is the major functional MDH, as XoxF mutants grow more poorly than MxaFI mutants under unfavorable culturing conditions. In addition, mutant and transcriptional analyses demonstrate that the lanthanide-dependent MDH switch operating in methanotrophs is mediated in part by the orphan response regulator MxaB, whose gene transcription is itself lanthanide responsive. &lt;/p&gt;", "author" : [ { "dropping-particle" : "", "family" : "Chu", "given" : "Frances", "non-dropping-particle" : "", "parse-names" : false, "suffix" : "" }, { "dropping-particle" : "", "family" : "Lidstrom", "given" : "Mary E.", "non-dropping-particle" : "", "parse-names" : false, "suffix" : "" } ], "container-title" : "Journal of Bacteriology", "editor" : [ { "dropping-particle" : "", "family" : "Henkin", "given" : "T. M.", "non-dropping-particle" : "", "parse-names" : false, "suffix" : "" } ], "id" : "ITEM-2", "issue" : "8", "issued" : { "date-parts" : [ [ "2016", "4", "15" ] ] }, "page" : "1317-1325", "publisher" : "American Society for Microbiology", "title" : "XoxF Acts as the Predominant Methanol Dehydrogenase in the Type I Methanotroph Methylomicrobium buryatense", "type" : "article-journal", "volume" : "198" }, "uris" : [ "http://www.mendeley.com/documents/?uuid=f2b867f5-f6ef-3289-8f1f-ba9ac8261c4e" ] } ], "mendeley" : { "formattedCitation" : "[28, 76]", "plainTextFormattedCitation" : "[28, 76]", "previouslyFormattedCitation" : "[28, 76]"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[28, 76]</w:t>
      </w:r>
      <w:r w:rsidRPr="00D51525">
        <w:rPr>
          <w:rFonts w:eastAsia="SimSun" w:cs="Times New Roman"/>
        </w:rPr>
        <w:fldChar w:fldCharType="end"/>
      </w:r>
      <w:r w:rsidRPr="00D51525">
        <w:rPr>
          <w:rFonts w:eastAsia="SimSun" w:cs="Times New Roman"/>
        </w:rPr>
        <w:t xml:space="preserve"> was used for both liquid and plate culture. The following antibiotics were used for phenotypic characterization for knockout strains: kanamycin (Km), 50 </w:t>
      </w:r>
      <w:proofErr w:type="spellStart"/>
      <w:r w:rsidRPr="00D51525">
        <w:rPr>
          <w:rFonts w:eastAsia="SimSun" w:cs="Times New Roman"/>
        </w:rPr>
        <w:t>ug</w:t>
      </w:r>
      <w:proofErr w:type="spellEnd"/>
      <w:r w:rsidRPr="00D51525">
        <w:rPr>
          <w:rFonts w:eastAsia="SimSun" w:cs="Times New Roman"/>
        </w:rPr>
        <w:t xml:space="preserve">/ml; </w:t>
      </w:r>
      <w:proofErr w:type="spellStart"/>
      <w:r w:rsidRPr="00D51525">
        <w:rPr>
          <w:rFonts w:eastAsia="SimSun" w:cs="Times New Roman"/>
        </w:rPr>
        <w:t>zeocin</w:t>
      </w:r>
      <w:proofErr w:type="spellEnd"/>
      <w:r w:rsidRPr="00D51525">
        <w:rPr>
          <w:rFonts w:eastAsia="SimSun" w:cs="Times New Roman"/>
        </w:rPr>
        <w:t xml:space="preserve"> (</w:t>
      </w:r>
      <w:proofErr w:type="spellStart"/>
      <w:r w:rsidRPr="00D51525">
        <w:rPr>
          <w:rFonts w:eastAsia="SimSun" w:cs="Times New Roman"/>
        </w:rPr>
        <w:t>Zeo</w:t>
      </w:r>
      <w:proofErr w:type="spellEnd"/>
      <w:r w:rsidRPr="00D51525">
        <w:rPr>
          <w:rFonts w:eastAsia="SimSun" w:cs="Times New Roman"/>
        </w:rPr>
        <w:t xml:space="preserve">), 30ug/ml. </w:t>
      </w:r>
    </w:p>
    <w:p w14:paraId="62104258" w14:textId="77777777" w:rsidR="00D51525" w:rsidRPr="00D51525" w:rsidRDefault="00D51525" w:rsidP="00D51525">
      <w:pPr>
        <w:spacing w:before="180" w:after="180"/>
        <w:rPr>
          <w:rFonts w:eastAsia="SimSun" w:cs="Times New Roman"/>
        </w:rPr>
      </w:pPr>
      <w:r w:rsidRPr="00D51525">
        <w:rPr>
          <w:rFonts w:eastAsia="SimSun" w:cs="Times New Roman"/>
        </w:rPr>
        <w:t xml:space="preserve">For growth curve experiments, liquid pre-cultures were grown in 25 ml tubes with an atmosphere of 25% methane in air at 30C, shaken at 200 rpm, sealed with rubber stoppers and aluminum seals (Wheaton, </w:t>
      </w:r>
      <w:proofErr w:type="spellStart"/>
      <w:proofErr w:type="gramStart"/>
      <w:r w:rsidRPr="00D51525">
        <w:rPr>
          <w:rFonts w:eastAsia="SimSun" w:cs="Times New Roman"/>
        </w:rPr>
        <w:t>Millville,NJ</w:t>
      </w:r>
      <w:proofErr w:type="gramEnd"/>
      <w:r w:rsidRPr="00D51525">
        <w:rPr>
          <w:rFonts w:eastAsia="SimSun" w:cs="Times New Roman"/>
        </w:rPr>
        <w:t>,USA</w:t>
      </w:r>
      <w:proofErr w:type="spellEnd"/>
      <w:r w:rsidRPr="00D51525">
        <w:rPr>
          <w:rFonts w:eastAsia="SimSun" w:cs="Times New Roman"/>
        </w:rPr>
        <w:t>). Pre-cultures were then inoculated in new 25 ml tubes with starting OD</w:t>
      </w:r>
      <w:r w:rsidRPr="00D51525">
        <w:rPr>
          <w:rFonts w:eastAsia="SimSun" w:cs="Times New Roman"/>
          <w:vertAlign w:val="subscript"/>
        </w:rPr>
        <w:t>600</w:t>
      </w:r>
      <w:r w:rsidRPr="00D51525">
        <w:rPr>
          <w:rFonts w:eastAsia="SimSun" w:cs="Times New Roman"/>
        </w:rPr>
        <w:t xml:space="preserve"> = 0.01 for growth rate experiments. </w:t>
      </w:r>
    </w:p>
    <w:p w14:paraId="24CE181E" w14:textId="2006AC32" w:rsidR="00D51525" w:rsidRPr="00D51525" w:rsidRDefault="00D51525" w:rsidP="00D51525">
      <w:pPr>
        <w:spacing w:before="180" w:after="180"/>
        <w:rPr>
          <w:rFonts w:eastAsia="SimSun" w:cs="Times New Roman"/>
        </w:rPr>
      </w:pPr>
      <w:r w:rsidRPr="00D51525">
        <w:rPr>
          <w:rFonts w:eastAsia="SimSun" w:cs="Times New Roman"/>
        </w:rPr>
        <w:t xml:space="preserve">For isotope labeling experiments, </w:t>
      </w:r>
      <w:proofErr w:type="spellStart"/>
      <w:r w:rsidRPr="00D51525">
        <w:rPr>
          <w:rFonts w:eastAsia="SimSun" w:cs="Times New Roman"/>
        </w:rPr>
        <w:t>precultures</w:t>
      </w:r>
      <w:proofErr w:type="spellEnd"/>
      <w:r w:rsidRPr="00D51525">
        <w:rPr>
          <w:rFonts w:eastAsia="SimSun" w:cs="Times New Roman"/>
        </w:rPr>
        <w:t xml:space="preserve"> were grown in 25 ml tubes with an atmosphere of 25% methane (</w:t>
      </w:r>
      <w:r w:rsidRPr="00D51525">
        <w:rPr>
          <w:rFonts w:eastAsia="SimSun" w:cs="Times New Roman"/>
          <w:vertAlign w:val="superscript"/>
        </w:rPr>
        <w:t>12</w:t>
      </w:r>
      <w:r w:rsidRPr="00D51525">
        <w:rPr>
          <w:rFonts w:eastAsia="SimSun" w:cs="Times New Roman"/>
        </w:rPr>
        <w:t xml:space="preserve">C methane or </w:t>
      </w:r>
      <w:r w:rsidRPr="00D51525">
        <w:rPr>
          <w:rFonts w:eastAsia="SimSun" w:cs="Times New Roman"/>
          <w:vertAlign w:val="superscript"/>
        </w:rPr>
        <w:t>13</w:t>
      </w:r>
      <w:r w:rsidRPr="00D51525">
        <w:rPr>
          <w:rFonts w:eastAsia="SimSun" w:cs="Times New Roman"/>
        </w:rPr>
        <w:t xml:space="preserve">C methane for strains in which a growth defect was observed) for 18 hours. The </w:t>
      </w:r>
      <w:proofErr w:type="spellStart"/>
      <w:r w:rsidRPr="00D51525">
        <w:rPr>
          <w:rFonts w:eastAsia="SimSun" w:cs="Times New Roman"/>
        </w:rPr>
        <w:t>precultures</w:t>
      </w:r>
      <w:proofErr w:type="spellEnd"/>
      <w:r w:rsidRPr="00D51525">
        <w:rPr>
          <w:rFonts w:eastAsia="SimSun" w:cs="Times New Roman"/>
        </w:rPr>
        <w:t xml:space="preserve"> were then inoculated into 50 ml fresh medium in 250 ml serum bottle (with starting </w:t>
      </w:r>
      <w:r w:rsidRPr="00D51525">
        <w:rPr>
          <w:rFonts w:eastAsia="SimSun" w:cs="Times New Roman"/>
        </w:rPr>
        <w:lastRenderedPageBreak/>
        <w:t>OD</w:t>
      </w:r>
      <w:r w:rsidRPr="00D51525">
        <w:rPr>
          <w:rFonts w:eastAsia="SimSun" w:cs="Times New Roman"/>
          <w:vertAlign w:val="subscript"/>
        </w:rPr>
        <w:t>600</w:t>
      </w:r>
      <w:r w:rsidRPr="00D51525">
        <w:rPr>
          <w:rFonts w:eastAsia="SimSun" w:cs="Times New Roman"/>
        </w:rPr>
        <w:t>=0.01). Cell were harvested at 0.3 ~ 0.6 when the culture was under both isotopic steady state and metabolic steady state. All strains used in this study are listed in Table 3.</w:t>
      </w:r>
      <w:r w:rsidR="000400F3">
        <w:rPr>
          <w:rFonts w:eastAsia="SimSun" w:cs="Times New Roman"/>
        </w:rPr>
        <w:t>3.</w:t>
      </w:r>
    </w:p>
    <w:p w14:paraId="117FEAD4" w14:textId="6D70D015" w:rsidR="00D51525" w:rsidRPr="00D51525" w:rsidRDefault="001B69BF" w:rsidP="00D51525">
      <w:pPr>
        <w:pStyle w:val="Heading3"/>
      </w:pPr>
      <w:bookmarkStart w:id="77" w:name="header-c79"/>
      <w:bookmarkStart w:id="78" w:name="_Toc468311737"/>
      <w:bookmarkEnd w:id="77"/>
      <w:r>
        <w:t>3.5</w:t>
      </w:r>
      <w:r w:rsidR="00D51525" w:rsidRPr="00D51525">
        <w:t>. Genetic manipulation of 5GB1 using electroporation</w:t>
      </w:r>
      <w:bookmarkEnd w:id="78"/>
    </w:p>
    <w:p w14:paraId="736075C5" w14:textId="0322FD58" w:rsidR="00D51525" w:rsidRPr="00D51525" w:rsidRDefault="00D51525" w:rsidP="00D51525">
      <w:pPr>
        <w:spacing w:before="180" w:after="180"/>
        <w:rPr>
          <w:rFonts w:eastAsia="SimSun" w:cs="Times New Roman"/>
        </w:rPr>
      </w:pPr>
      <w:r w:rsidRPr="00D51525">
        <w:rPr>
          <w:rFonts w:eastAsia="SimSun" w:cs="Times New Roman"/>
        </w:rPr>
        <w:t xml:space="preserve">All gene knockouts are constructed with assembled PCR products which were then </w:t>
      </w:r>
      <w:proofErr w:type="spellStart"/>
      <w:r w:rsidRPr="00D51525">
        <w:rPr>
          <w:rFonts w:eastAsia="SimSun" w:cs="Times New Roman"/>
        </w:rPr>
        <w:t>electroporated</w:t>
      </w:r>
      <w:proofErr w:type="spellEnd"/>
      <w:r w:rsidRPr="00D51525">
        <w:rPr>
          <w:rFonts w:eastAsia="SimSun" w:cs="Times New Roman"/>
        </w:rPr>
        <w:t xml:space="preserve"> into </w:t>
      </w:r>
      <w:r w:rsidRPr="00D51525">
        <w:rPr>
          <w:rFonts w:eastAsia="SimSun" w:cs="Times New Roman"/>
          <w:i/>
        </w:rPr>
        <w:t>M. buryatense</w:t>
      </w:r>
      <w:r w:rsidRPr="00D51525">
        <w:rPr>
          <w:rFonts w:eastAsia="SimSun" w:cs="Times New Roman"/>
        </w:rPr>
        <w:t xml:space="preserve"> 5GB1 using the protocol described previously</w:t>
      </w:r>
      <w:r w:rsidRPr="00D51525">
        <w:rPr>
          <w:rFonts w:eastAsia="SimSun" w:cs="Times New Roman"/>
        </w:rPr>
        <w:fldChar w:fldCharType="begin" w:fldLock="1"/>
      </w:r>
      <w:r w:rsidR="008C0508">
        <w:rPr>
          <w:rFonts w:eastAsia="SimSun" w:cs="Times New Roman"/>
        </w:rPr>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[62]</w:t>
      </w:r>
      <w:r w:rsidRPr="00D51525">
        <w:rPr>
          <w:rFonts w:eastAsia="SimSun" w:cs="Times New Roman"/>
        </w:rPr>
        <w:fldChar w:fldCharType="end"/>
      </w:r>
      <w:r w:rsidRPr="00D51525">
        <w:rPr>
          <w:rFonts w:eastAsia="SimSun" w:cs="Times New Roman"/>
        </w:rPr>
        <w:t>. Primers for knockout constructs are listed in Table S</w:t>
      </w:r>
      <w:r w:rsidR="00C47A65">
        <w:rPr>
          <w:rFonts w:eastAsia="SimSun" w:cs="Times New Roman"/>
        </w:rPr>
        <w:t>3_</w:t>
      </w:r>
      <w:r w:rsidRPr="00D51525">
        <w:rPr>
          <w:rFonts w:eastAsia="SimSun" w:cs="Times New Roman"/>
        </w:rPr>
        <w:t xml:space="preserve">3 in the supplemental material. Briefly, a construct containing the </w:t>
      </w:r>
      <w:proofErr w:type="spellStart"/>
      <w:r w:rsidRPr="00D51525">
        <w:rPr>
          <w:rFonts w:eastAsia="SimSun" w:cs="Times New Roman"/>
        </w:rPr>
        <w:t>zeocin</w:t>
      </w:r>
      <w:proofErr w:type="spellEnd"/>
      <w:r w:rsidRPr="00D51525">
        <w:rPr>
          <w:rFonts w:eastAsia="SimSun" w:cs="Times New Roman"/>
        </w:rPr>
        <w:t xml:space="preserve"> resistance gene flanked by FLP-FRT sites was assembled in the middle of flanks with 800-1000 base pair from the gene targeted for deletion using PCR. The </w:t>
      </w:r>
      <w:proofErr w:type="spellStart"/>
      <w:r w:rsidRPr="00D51525">
        <w:rPr>
          <w:rFonts w:eastAsia="SimSun" w:cs="Arial"/>
        </w:rPr>
        <w:t>Δ</w:t>
      </w:r>
      <w:r w:rsidRPr="00D51525">
        <w:rPr>
          <w:rFonts w:eastAsia="SimSun" w:cs="Times New Roman"/>
          <w:i/>
        </w:rPr>
        <w:t>sga</w:t>
      </w:r>
      <w:proofErr w:type="spellEnd"/>
      <w:r w:rsidRPr="00D51525">
        <w:rPr>
          <w:rFonts w:eastAsia="SimSun" w:cs="Times New Roman"/>
        </w:rPr>
        <w:t xml:space="preserve"> strain was constructed with kanamycin resistance gene flanks in the middle using the same procedure. The PCR mixture after assembly was then transferred into </w:t>
      </w:r>
      <w:r w:rsidRPr="00D51525">
        <w:rPr>
          <w:rFonts w:eastAsia="SimSun" w:cs="Times New Roman"/>
          <w:i/>
        </w:rPr>
        <w:t>M. buryatense</w:t>
      </w:r>
      <w:r w:rsidRPr="00D51525">
        <w:rPr>
          <w:rFonts w:eastAsia="SimSun" w:cs="Times New Roman"/>
        </w:rPr>
        <w:t xml:space="preserve"> 5GB1 using electroporation. After electroporation, the cells were recovered in NMS2 with 80 rpm shaking overnight, and plated out on an agar plate containing </w:t>
      </w:r>
      <w:proofErr w:type="spellStart"/>
      <w:r w:rsidRPr="00D51525">
        <w:rPr>
          <w:rFonts w:eastAsia="SimSun" w:cs="Times New Roman"/>
        </w:rPr>
        <w:t>zeocin</w:t>
      </w:r>
      <w:proofErr w:type="spellEnd"/>
      <w:r w:rsidRPr="00D51525">
        <w:rPr>
          <w:rFonts w:eastAsia="SimSun" w:cs="Times New Roman"/>
        </w:rPr>
        <w:t xml:space="preserve"> or kanamycin. Colonies were screened using diagnostic colony PCR, and later confirmed using sequence (</w:t>
      </w:r>
      <w:proofErr w:type="spellStart"/>
      <w:r w:rsidRPr="00D51525">
        <w:rPr>
          <w:rFonts w:eastAsia="SimSun" w:cs="Times New Roman"/>
        </w:rPr>
        <w:t>Genewiz</w:t>
      </w:r>
      <w:proofErr w:type="spellEnd"/>
      <w:r w:rsidRPr="00D51525">
        <w:rPr>
          <w:rFonts w:eastAsia="SimSun" w:cs="Times New Roman"/>
        </w:rPr>
        <w:t>).</w:t>
      </w:r>
    </w:p>
    <w:p w14:paraId="5692ED97" w14:textId="1BEB95B1" w:rsidR="00D51525" w:rsidRPr="00D51525" w:rsidRDefault="00D51525" w:rsidP="00D51525">
      <w:pPr>
        <w:pStyle w:val="Heading3"/>
      </w:pPr>
      <w:bookmarkStart w:id="79" w:name="header-c84"/>
      <w:bookmarkStart w:id="80" w:name="_Toc468311738"/>
      <w:bookmarkEnd w:id="79"/>
      <w:r w:rsidRPr="00D51525">
        <w:t>3</w:t>
      </w:r>
      <w:r w:rsidR="001B69BF">
        <w:t>.6</w:t>
      </w:r>
      <w:r w:rsidRPr="00D51525">
        <w:t>. MIDs of metabolites measurements using LC/MS-MS</w:t>
      </w:r>
      <w:bookmarkEnd w:id="80"/>
    </w:p>
    <w:p w14:paraId="5DB1B0C4" w14:textId="1E8666BA" w:rsidR="00D51525" w:rsidRPr="00D51525" w:rsidRDefault="00D51525" w:rsidP="00D51525">
      <w:pPr>
        <w:spacing w:before="180" w:after="180"/>
        <w:rPr>
          <w:rFonts w:eastAsia="SimSun" w:cs="Times New Roman"/>
        </w:rPr>
      </w:pPr>
      <w:r w:rsidRPr="00D51525">
        <w:rPr>
          <w:rFonts w:eastAsia="SimSun" w:cs="Times New Roman"/>
        </w:rPr>
        <w:t>Sample collection and extraction were performed using the method described previously</w:t>
      </w:r>
      <w:r w:rsidRPr="00D51525">
        <w:rPr>
          <w:rFonts w:eastAsia="SimSun" w:cs="Times New Roman"/>
        </w:rPr>
        <w:fldChar w:fldCharType="begin" w:fldLock="1"/>
      </w:r>
      <w:r w:rsidR="008C0508">
        <w:rPr>
          <w:rFonts w:eastAsia="SimSun" w:cs="Times New Roman"/>
        </w:rPr>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rsidRPr="00D51525">
        <w:rPr>
          <w:rFonts w:eastAsia="SimSun" w:cs="Times New Roman"/>
        </w:rPr>
        <w:fldChar w:fldCharType="separate"/>
      </w:r>
      <w:r w:rsidR="0005386F" w:rsidRPr="0005386F">
        <w:rPr>
          <w:rFonts w:eastAsia="SimSun" w:cs="Times New Roman"/>
          <w:noProof/>
        </w:rPr>
        <w:t>[77]</w:t>
      </w:r>
      <w:r w:rsidRPr="00D51525">
        <w:rPr>
          <w:rFonts w:eastAsia="SimSun" w:cs="Times New Roman"/>
        </w:rPr>
        <w:fldChar w:fldCharType="end"/>
      </w:r>
      <w:r w:rsidRPr="00D51525">
        <w:rPr>
          <w:rFonts w:eastAsia="SimSun" w:cs="Times New Roman"/>
        </w:rPr>
        <w:t xml:space="preserve">. Briefly, cell cultures were quenched using fast filtration using 0.22 </w:t>
      </w:r>
      <w:proofErr w:type="spellStart"/>
      <w:r w:rsidRPr="00D51525">
        <w:rPr>
          <w:rFonts w:eastAsia="SimSun" w:cs="Arial"/>
        </w:rPr>
        <w:t>μ</w:t>
      </w:r>
      <w:r w:rsidRPr="00D51525">
        <w:rPr>
          <w:rFonts w:eastAsia="SimSun" w:cs="Times New Roman"/>
        </w:rPr>
        <w:t>m</w:t>
      </w:r>
      <w:proofErr w:type="spellEnd"/>
      <w:r w:rsidRPr="00D51525">
        <w:rPr>
          <w:rFonts w:eastAsia="SimSun" w:cs="Times New Roman"/>
        </w:rPr>
        <w:t xml:space="preserve"> nylon membrane (0.22 </w:t>
      </w:r>
      <w:proofErr w:type="spellStart"/>
      <w:r w:rsidRPr="00D51525">
        <w:rPr>
          <w:rFonts w:eastAsia="SimSun" w:cs="Times New Roman"/>
        </w:rPr>
        <w:t>μm</w:t>
      </w:r>
      <w:proofErr w:type="spellEnd"/>
      <w:r w:rsidRPr="00D51525">
        <w:rPr>
          <w:rFonts w:eastAsia="SimSun" w:cs="Times New Roman"/>
        </w:rPr>
        <w:t>, 47 mm from PALL life science, Port Washington, NY) once it reaches the desired stage, and saved in 50 ml falcon tubes submerged in liquid nitrogen. The collected samples were lyophilized for 12 hours to get rid of extra medium on filter. A hot water extraction protocol was used to extract intracellular metabolites. 20 ml of boiling water was added to 50 ml falcon tubes, the tubes were incubated in a boiling water bath for 20 minutes, and then placed on ice for 30 minutes. The cell extracts were centrifuged at 4</w:t>
      </w:r>
      <w:r w:rsidRPr="00D51525">
        <w:rPr>
          <w:rFonts w:eastAsia="SimSun" w:cs="Arial"/>
        </w:rPr>
        <w:t>°</w:t>
      </w:r>
      <w:r w:rsidRPr="00D51525">
        <w:rPr>
          <w:rFonts w:eastAsia="SimSun" w:cs="Times New Roman"/>
        </w:rPr>
        <w:t xml:space="preserve">C, 5000rpm for 30 minutes to remove cell debris. The supernatant was transferred into new tubes and fast frozen using liquid nitrogen. The cell lysates were lyophilized and concentrated into 50 </w:t>
      </w:r>
      <w:proofErr w:type="spellStart"/>
      <w:r w:rsidRPr="00D51525">
        <w:rPr>
          <w:rFonts w:eastAsia="SimSun" w:cs="Times New Roman"/>
        </w:rPr>
        <w:t>ul</w:t>
      </w:r>
      <w:proofErr w:type="spellEnd"/>
      <w:r w:rsidRPr="00D51525">
        <w:rPr>
          <w:rFonts w:eastAsia="SimSun" w:cs="Times New Roman"/>
        </w:rPr>
        <w:t xml:space="preserve"> water. The reconstituted samples were centrifuged with filtering (spin-x costar, 0.22 </w:t>
      </w:r>
      <w:proofErr w:type="spellStart"/>
      <w:r w:rsidRPr="00D51525">
        <w:rPr>
          <w:rFonts w:eastAsia="SimSun" w:cs="Times New Roman"/>
        </w:rPr>
        <w:t>μm</w:t>
      </w:r>
      <w:proofErr w:type="spellEnd"/>
      <w:r w:rsidRPr="00D51525">
        <w:rPr>
          <w:rFonts w:eastAsia="SimSun" w:cs="Times New Roman"/>
        </w:rPr>
        <w:t>, Sigma-Aldrich), then kept at -20</w:t>
      </w:r>
      <w:r w:rsidRPr="00D51525">
        <w:rPr>
          <w:rFonts w:eastAsia="SimSun" w:cs="Arial"/>
        </w:rPr>
        <w:t>°</w:t>
      </w:r>
      <w:r w:rsidRPr="00D51525">
        <w:rPr>
          <w:rFonts w:eastAsia="SimSun" w:cs="Times New Roman"/>
        </w:rPr>
        <w:t xml:space="preserve">C until LC-MS/MS analysis. A Waters </w:t>
      </w:r>
      <w:proofErr w:type="spellStart"/>
      <w:r w:rsidRPr="00D51525">
        <w:rPr>
          <w:rFonts w:eastAsia="SimSun" w:cs="Times New Roman"/>
        </w:rPr>
        <w:t>Xevo</w:t>
      </w:r>
      <w:proofErr w:type="spellEnd"/>
      <w:r w:rsidRPr="00D51525">
        <w:rPr>
          <w:rFonts w:eastAsia="SimSun" w:cs="Times New Roman"/>
        </w:rPr>
        <w:t xml:space="preserve"> mass spectrometry triple quad (</w:t>
      </w:r>
      <w:proofErr w:type="spellStart"/>
      <w:r w:rsidRPr="00D51525">
        <w:rPr>
          <w:rFonts w:eastAsia="SimSun" w:cs="Times New Roman"/>
        </w:rPr>
        <w:t>Xevo</w:t>
      </w:r>
      <w:proofErr w:type="spellEnd"/>
      <w:r w:rsidRPr="00D51525">
        <w:rPr>
          <w:rFonts w:eastAsia="SimSun" w:cs="Times New Roman"/>
        </w:rPr>
        <w:t xml:space="preserve">, Waters, Milford, MA) with UPLC system equipped with a </w:t>
      </w:r>
      <w:proofErr w:type="spellStart"/>
      <w:r w:rsidRPr="00D51525">
        <w:rPr>
          <w:rFonts w:eastAsia="SimSun" w:cs="Times New Roman"/>
        </w:rPr>
        <w:t>Zic-pHILIC</w:t>
      </w:r>
      <w:proofErr w:type="spellEnd"/>
      <w:r w:rsidRPr="00D51525">
        <w:rPr>
          <w:rFonts w:eastAsia="SimSun" w:cs="Times New Roman"/>
        </w:rPr>
        <w:t xml:space="preserve"> column (</w:t>
      </w:r>
      <w:proofErr w:type="spellStart"/>
      <w:r w:rsidRPr="00D51525">
        <w:rPr>
          <w:rFonts w:eastAsia="SimSun" w:cs="Times New Roman"/>
        </w:rPr>
        <w:t>SeQuant</w:t>
      </w:r>
      <w:proofErr w:type="spellEnd"/>
      <w:r w:rsidRPr="00D51525">
        <w:rPr>
          <w:rFonts w:eastAsia="SimSun" w:cs="Times New Roman"/>
        </w:rPr>
        <w:t xml:space="preserve">, PEEK 150 mm length × 2.1 mm metal free, with 5 </w:t>
      </w:r>
      <w:proofErr w:type="spellStart"/>
      <w:r w:rsidRPr="00D51525">
        <w:rPr>
          <w:rFonts w:eastAsia="SimSun" w:cs="Times New Roman"/>
        </w:rPr>
        <w:t>μm</w:t>
      </w:r>
      <w:proofErr w:type="spellEnd"/>
      <w:r w:rsidRPr="00D51525">
        <w:rPr>
          <w:rFonts w:eastAsia="SimSun" w:cs="Times New Roman"/>
        </w:rPr>
        <w:t xml:space="preserve"> polymeric film thickness, EMD Millipore) was used for detection of MID of metabolites. Multiple </w:t>
      </w:r>
      <w:r w:rsidRPr="00D51525">
        <w:rPr>
          <w:rFonts w:eastAsia="SimSun" w:cs="Times New Roman"/>
        </w:rPr>
        <w:lastRenderedPageBreak/>
        <w:t xml:space="preserve">reaction monitors (MRM) were set up for each metabolite of interest. For each metabolite, </w:t>
      </w:r>
      <w:r w:rsidRPr="00D51525">
        <w:rPr>
          <w:rFonts w:eastAsia="SimSun" w:cs="Times New Roman"/>
          <w:vertAlign w:val="superscript"/>
        </w:rPr>
        <w:t>12</w:t>
      </w:r>
      <w:r w:rsidRPr="00D51525">
        <w:rPr>
          <w:rFonts w:eastAsia="SimSun" w:cs="Times New Roman"/>
        </w:rPr>
        <w:t xml:space="preserve">C chemical standards were used to set up the mass channel for unlabeled </w:t>
      </w:r>
      <w:proofErr w:type="spellStart"/>
      <w:r w:rsidRPr="00D51525">
        <w:rPr>
          <w:rFonts w:eastAsia="SimSun" w:cs="Times New Roman"/>
        </w:rPr>
        <w:t>isotopomers</w:t>
      </w:r>
      <w:proofErr w:type="spellEnd"/>
      <w:r w:rsidRPr="00D51525">
        <w:rPr>
          <w:rFonts w:eastAsia="SimSun" w:cs="Times New Roman"/>
        </w:rPr>
        <w:t xml:space="preserve">. The predicted mass fragments were then used to predict the MRM for labeled </w:t>
      </w:r>
      <w:proofErr w:type="spellStart"/>
      <w:r w:rsidRPr="00D51525">
        <w:rPr>
          <w:rFonts w:eastAsia="SimSun" w:cs="Times New Roman"/>
        </w:rPr>
        <w:t>isotopomers</w:t>
      </w:r>
      <w:proofErr w:type="spellEnd"/>
      <w:r w:rsidRPr="00D51525">
        <w:rPr>
          <w:rFonts w:eastAsia="SimSun" w:cs="Times New Roman"/>
        </w:rPr>
        <w:t xml:space="preserve"> for each metabolite. This information is included in the supplemental material Table S</w:t>
      </w:r>
      <w:r w:rsidR="00862E89">
        <w:rPr>
          <w:rFonts w:eastAsia="SimSun" w:cs="Times New Roman"/>
        </w:rPr>
        <w:t>3_</w:t>
      </w:r>
      <w:r w:rsidRPr="00D51525">
        <w:rPr>
          <w:rFonts w:eastAsia="SimSun" w:cs="Times New Roman"/>
        </w:rPr>
        <w:t>4.</w:t>
      </w:r>
    </w:p>
    <w:p w14:paraId="04D73329" w14:textId="732D45D4" w:rsidR="00D51525" w:rsidRPr="00D51525" w:rsidRDefault="00840FE1" w:rsidP="00D51525">
      <w:pPr>
        <w:pStyle w:val="Heading3"/>
      </w:pPr>
      <w:bookmarkStart w:id="81" w:name="header-c87"/>
      <w:bookmarkStart w:id="82" w:name="_Toc468311739"/>
      <w:bookmarkEnd w:id="81"/>
      <w:r>
        <w:t>3.7</w:t>
      </w:r>
      <w:r w:rsidR="00D51525" w:rsidRPr="00D51525">
        <w:t>. Mathematically determine relative flux distribution at malate node.</w:t>
      </w:r>
      <w:bookmarkEnd w:id="82"/>
    </w:p>
    <w:p w14:paraId="4ED26B35" w14:textId="032DE411" w:rsidR="00D51525" w:rsidRPr="00D51525" w:rsidRDefault="00D51525" w:rsidP="00D51525">
      <w:pPr>
        <w:spacing w:before="180" w:after="180"/>
        <w:rPr>
          <w:rFonts w:eastAsia="SimSun" w:cs="Times New Roman"/>
        </w:rPr>
      </w:pPr>
      <w:r w:rsidRPr="00D51525">
        <w:rPr>
          <w:rFonts w:eastAsia="SimSun" w:cs="Times New Roman"/>
        </w:rPr>
        <w:t>Malate will have a differentiated labeling pattern, depending on the pathways for synthesis. In the current understanding of central carbon metabolism, malate could be synthesized by three</w:t>
      </w:r>
      <w:r w:rsidR="00AC747B">
        <w:rPr>
          <w:rFonts w:eastAsia="SimSun" w:cs="Times New Roman"/>
        </w:rPr>
        <w:t xml:space="preserve"> different paths illustrated in Figure 3.5</w:t>
      </w:r>
      <w:r w:rsidR="00A00E96">
        <w:rPr>
          <w:rFonts w:eastAsia="SimSun" w:cs="Times New Roman"/>
        </w:rPr>
        <w:t>. First, it could be produced via</w:t>
      </w:r>
      <w:r w:rsidRPr="00D51525">
        <w:rPr>
          <w:rFonts w:eastAsia="SimSun" w:cs="Times New Roman"/>
        </w:rPr>
        <w:t xml:space="preserve"> malic enzyme from pyruvate and CO</w:t>
      </w:r>
      <w:r w:rsidRPr="00D51525">
        <w:rPr>
          <w:rFonts w:eastAsia="SimSun" w:cs="Times New Roman"/>
          <w:vertAlign w:val="subscript"/>
        </w:rPr>
        <w:t>2</w:t>
      </w:r>
      <w:r w:rsidRPr="00D51525">
        <w:rPr>
          <w:rFonts w:eastAsia="SimSun" w:cs="Times New Roman"/>
        </w:rPr>
        <w:t>. Second, it could be produced by malate dehydrogenase from OAA. Third, it could be produced throug</w:t>
      </w:r>
      <w:r w:rsidR="0035768C">
        <w:rPr>
          <w:rFonts w:eastAsia="SimSun" w:cs="Times New Roman"/>
        </w:rPr>
        <w:t>h the TCA cycle from fumarate via</w:t>
      </w:r>
      <w:r w:rsidRPr="00D51525">
        <w:rPr>
          <w:rFonts w:eastAsia="SimSun" w:cs="Times New Roman"/>
        </w:rPr>
        <w:t xml:space="preserve"> </w:t>
      </w:r>
      <w:proofErr w:type="spellStart"/>
      <w:r w:rsidRPr="00D51525">
        <w:rPr>
          <w:rFonts w:eastAsia="SimSun" w:cs="Times New Roman"/>
        </w:rPr>
        <w:t>fumarase</w:t>
      </w:r>
      <w:proofErr w:type="spellEnd"/>
      <w:r w:rsidRPr="00D51525">
        <w:rPr>
          <w:rFonts w:eastAsia="SimSun" w:cs="Times New Roman"/>
        </w:rPr>
        <w:t>. Route 1 and 2 lead to identical malate labeling patterns. Route 3 will produce fully labeled malate.</w:t>
      </w:r>
      <w:r w:rsidR="005E453C">
        <w:rPr>
          <w:rFonts w:eastAsia="SimSun" w:cs="Times New Roman"/>
        </w:rPr>
        <w:t xml:space="preserve"> Th</w:t>
      </w:r>
      <w:r w:rsidR="00ED0CE4">
        <w:rPr>
          <w:rFonts w:eastAsia="SimSun" w:cs="Times New Roman"/>
        </w:rPr>
        <w:t>e equations shown in Figure 3.5</w:t>
      </w:r>
      <w:r w:rsidRPr="00D51525">
        <w:rPr>
          <w:rFonts w:eastAsia="SimSun" w:cs="Times New Roman"/>
        </w:rPr>
        <w:t xml:space="preserve"> were then developed to quantitate the relative flux at the malate node between route 3 and the other 2 routes with </w:t>
      </w:r>
      <w:r w:rsidRPr="00D51525">
        <w:rPr>
          <w:rFonts w:eastAsia="SimSun" w:cs="Times New Roman"/>
          <w:vertAlign w:val="superscript"/>
        </w:rPr>
        <w:t>13</w:t>
      </w:r>
      <w:r w:rsidRPr="00D51525">
        <w:rPr>
          <w:rFonts w:eastAsia="SimSun" w:cs="Times New Roman"/>
        </w:rPr>
        <w:t>C methane</w:t>
      </w:r>
      <w:r w:rsidR="005B53F0">
        <w:rPr>
          <w:rFonts w:eastAsia="SimSun" w:cs="Times New Roman"/>
        </w:rPr>
        <w:t xml:space="preserve"> (</w:t>
      </w:r>
      <w:r w:rsidR="003B3CD9">
        <w:rPr>
          <w:rFonts w:eastAsia="SimSun" w:cs="Times New Roman"/>
        </w:rPr>
        <w:t>Figure 3.5a)</w:t>
      </w:r>
      <w:r w:rsidRPr="00D51525">
        <w:rPr>
          <w:rFonts w:eastAsia="SimSun" w:cs="Times New Roman"/>
        </w:rPr>
        <w:t xml:space="preserve"> or </w:t>
      </w:r>
      <w:r w:rsidRPr="00D51525">
        <w:rPr>
          <w:rFonts w:eastAsia="SimSun" w:cs="Times New Roman"/>
          <w:vertAlign w:val="superscript"/>
        </w:rPr>
        <w:t>13</w:t>
      </w:r>
      <w:r w:rsidRPr="00D51525">
        <w:rPr>
          <w:rFonts w:eastAsia="SimSun" w:cs="Times New Roman"/>
        </w:rPr>
        <w:t>C carbonate as tracer</w:t>
      </w:r>
      <w:r w:rsidR="003B3CD9">
        <w:rPr>
          <w:rFonts w:eastAsia="SimSun" w:cs="Times New Roman"/>
        </w:rPr>
        <w:t xml:space="preserve"> (Figure 3.5b)</w:t>
      </w:r>
      <w:r w:rsidRPr="00D51525">
        <w:rPr>
          <w:rFonts w:eastAsia="SimSun" w:cs="Times New Roman"/>
        </w:rPr>
        <w:t>. The flux of carboxylation summarizes all the flux contributions to malate through CO</w:t>
      </w:r>
      <w:r w:rsidRPr="00D51525">
        <w:rPr>
          <w:rFonts w:eastAsia="SimSun" w:cs="Times New Roman"/>
          <w:vertAlign w:val="subscript"/>
        </w:rPr>
        <w:t>2</w:t>
      </w:r>
      <w:r w:rsidRPr="00D51525">
        <w:rPr>
          <w:rFonts w:eastAsia="SimSun" w:cs="Times New Roman"/>
        </w:rPr>
        <w:t xml:space="preserve"> incorporation. The calculation was done within in-house developed scripts using python.</w:t>
      </w:r>
    </w:p>
    <w:p w14:paraId="7967BCBF" w14:textId="77777777" w:rsidR="00D51525" w:rsidRPr="00D51525" w:rsidRDefault="00D51525" w:rsidP="00D51525">
      <w:pPr>
        <w:spacing w:after="200" w:line="240" w:lineRule="auto"/>
        <w:rPr>
          <w:rFonts w:eastAsia="SimSun" w:cs="Times New Roman"/>
          <w:bCs/>
          <w:szCs w:val="32"/>
        </w:rPr>
      </w:pPr>
      <w:r w:rsidRPr="00D51525">
        <w:rPr>
          <w:rFonts w:eastAsia="SimSun" w:cs="Times New Roman"/>
        </w:rPr>
        <w:br w:type="page"/>
      </w:r>
    </w:p>
    <w:p w14:paraId="53620A26" w14:textId="3506A3DC" w:rsidR="00234B90" w:rsidRDefault="00D51525" w:rsidP="00234B90">
      <w:pPr>
        <w:pStyle w:val="BodyText"/>
        <w:keepNext/>
      </w:pPr>
      <w:r>
        <w:rPr>
          <w:noProof/>
          <w:lang w:eastAsia="zh-CN"/>
        </w:rPr>
        <w:lastRenderedPageBreak/>
        <w:drawing>
          <wp:inline distT="0" distB="0" distL="0" distR="0" wp14:anchorId="57FDE484" wp14:editId="6D8FF071">
            <wp:extent cx="6336792" cy="3803904"/>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36792" cy="3803904"/>
                    </a:xfrm>
                    <a:prstGeom prst="rect">
                      <a:avLst/>
                    </a:prstGeom>
                    <a:noFill/>
                  </pic:spPr>
                </pic:pic>
              </a:graphicData>
            </a:graphic>
          </wp:inline>
        </w:drawing>
      </w:r>
    </w:p>
    <w:p w14:paraId="3A8B43D1" w14:textId="10CE00DA" w:rsidR="007B6E3F" w:rsidRPr="00587737" w:rsidRDefault="00234B90" w:rsidP="00234B90">
      <w:pPr>
        <w:pStyle w:val="Caption"/>
      </w:pPr>
      <w:r>
        <w:t xml:space="preserve">Figure </w:t>
      </w:r>
      <w:r w:rsidR="00C87AE3">
        <w:t>3.5</w:t>
      </w:r>
      <w:r>
        <w:t xml:space="preserve">. </w:t>
      </w:r>
      <w:r w:rsidRPr="00234B90">
        <w:t xml:space="preserve">Flux ratio quantification methodology. Figure </w:t>
      </w:r>
      <w:r w:rsidR="00597F40">
        <w:t>3.</w:t>
      </w:r>
      <w:r w:rsidRPr="00234B90">
        <w:t xml:space="preserve">5a shows the equation for the condition with </w:t>
      </w:r>
      <w:r w:rsidRPr="00597F40">
        <w:rPr>
          <w:vertAlign w:val="superscript"/>
        </w:rPr>
        <w:t>13</w:t>
      </w:r>
      <w:r w:rsidRPr="00234B90">
        <w:t xml:space="preserve">C methane, </w:t>
      </w:r>
      <w:r w:rsidRPr="00597F40">
        <w:rPr>
          <w:vertAlign w:val="superscript"/>
        </w:rPr>
        <w:t>12</w:t>
      </w:r>
      <w:r w:rsidRPr="00234B90">
        <w:t xml:space="preserve">C carbonate, and Figure </w:t>
      </w:r>
      <w:r w:rsidR="00597F40">
        <w:t>3.</w:t>
      </w:r>
      <w:r w:rsidRPr="00234B90">
        <w:t xml:space="preserve">5b shows the equation for the condition with </w:t>
      </w:r>
      <w:r w:rsidRPr="00597F40">
        <w:rPr>
          <w:vertAlign w:val="superscript"/>
        </w:rPr>
        <w:t>12</w:t>
      </w:r>
      <w:r w:rsidRPr="00234B90">
        <w:t xml:space="preserve">C methane, </w:t>
      </w:r>
      <w:r w:rsidRPr="00597F40">
        <w:rPr>
          <w:vertAlign w:val="superscript"/>
        </w:rPr>
        <w:t>13</w:t>
      </w:r>
      <w:r w:rsidRPr="00234B90">
        <w:t>C carbonate. Summary equation: Matrix A*Matrix F = Matrix M. The Matrix F is then further calculated using in-house script implemented in python.</w:t>
      </w:r>
    </w:p>
    <w:p w14:paraId="52C17793" w14:textId="77777777" w:rsidR="008C670A" w:rsidRDefault="008C670A" w:rsidP="008C670A">
      <w:pPr>
        <w:spacing w:after="200"/>
        <w:rPr>
          <w:rFonts w:eastAsiaTheme="majorEastAsia" w:cstheme="majorBidi"/>
          <w:bCs/>
          <w:szCs w:val="32"/>
        </w:rPr>
      </w:pPr>
      <w:bookmarkStart w:id="83" w:name="header-c94"/>
      <w:bookmarkEnd w:id="83"/>
      <w:r>
        <w:br w:type="page"/>
      </w:r>
    </w:p>
    <w:p w14:paraId="3F05845F" w14:textId="2E871AC2" w:rsidR="008C670A" w:rsidRPr="00DE0303" w:rsidRDefault="008C670A" w:rsidP="00DE0303">
      <w:pPr>
        <w:pStyle w:val="Heading2"/>
      </w:pPr>
      <w:bookmarkStart w:id="84" w:name="_Toc468311740"/>
      <w:r w:rsidRPr="00F47893">
        <w:lastRenderedPageBreak/>
        <w:t>Tables</w:t>
      </w:r>
      <w:bookmarkEnd w:id="84"/>
    </w:p>
    <w:p w14:paraId="51B41344" w14:textId="49ABC85A" w:rsidR="008C670A" w:rsidRPr="00F47893" w:rsidRDefault="008C670A" w:rsidP="008C670A">
      <w:pPr>
        <w:pStyle w:val="Caption"/>
        <w:keepNext/>
        <w:rPr>
          <w:i/>
        </w:rPr>
      </w:pPr>
      <w:r w:rsidRPr="00F47893">
        <w:t xml:space="preserve">Table </w:t>
      </w:r>
      <w:r w:rsidR="0082638E">
        <w:t>3.</w:t>
      </w:r>
      <w:r w:rsidR="008F6669">
        <w:fldChar w:fldCharType="begin"/>
      </w:r>
      <w:r w:rsidR="008F6669">
        <w:instrText xml:space="preserve"> SEQ Table \* ARABIC </w:instrText>
      </w:r>
      <w:r w:rsidR="008F6669">
        <w:fldChar w:fldCharType="separate"/>
      </w:r>
      <w:r>
        <w:rPr>
          <w:noProof/>
        </w:rPr>
        <w:t>1</w:t>
      </w:r>
      <w:r w:rsidR="008F6669">
        <w:rPr>
          <w:noProof/>
        </w:rPr>
        <w:fldChar w:fldCharType="end"/>
      </w:r>
      <w:r w:rsidRPr="00F47893">
        <w:t xml:space="preserve"> </w:t>
      </w:r>
      <w:r>
        <w:t>C</w:t>
      </w:r>
      <w:r w:rsidRPr="00F47893">
        <w:t>arbon atom transition in sub-network</w:t>
      </w:r>
      <w:r>
        <w:t>s</w:t>
      </w:r>
      <w:r w:rsidRPr="00F47893">
        <w:t xml:space="preserve"> of core metabolism in </w:t>
      </w:r>
      <w:r>
        <w:t xml:space="preserve">M. buryatense </w:t>
      </w:r>
      <w:r w:rsidRPr="00F47893">
        <w:t>5GB1</w:t>
      </w:r>
    </w:p>
    <w:tbl>
      <w:tblPr>
        <w:tblStyle w:val="TableGrid"/>
        <w:tblW w:w="6680"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2000"/>
        <w:gridCol w:w="2420"/>
        <w:gridCol w:w="2260"/>
      </w:tblGrid>
      <w:tr w:rsidR="008C670A" w:rsidRPr="00926AC1" w14:paraId="417F1516" w14:textId="77777777" w:rsidTr="006D7FDC">
        <w:trPr>
          <w:trHeight w:val="312"/>
        </w:trPr>
        <w:tc>
          <w:tcPr>
            <w:tcW w:w="2000" w:type="dxa"/>
            <w:noWrap/>
            <w:hideMark/>
          </w:tcPr>
          <w:p w14:paraId="045400FB" w14:textId="77777777" w:rsidR="008C670A" w:rsidRPr="002B2668" w:rsidRDefault="008C670A" w:rsidP="006D7FDC">
            <w:pPr>
              <w:pStyle w:val="Compact"/>
              <w:rPr>
                <w:b/>
                <w:lang w:eastAsia="zh-CN"/>
              </w:rPr>
            </w:pPr>
            <w:r w:rsidRPr="002B2668">
              <w:rPr>
                <w:b/>
                <w:lang w:eastAsia="zh-CN"/>
              </w:rPr>
              <w:t>Reaction name</w:t>
            </w:r>
          </w:p>
        </w:tc>
        <w:tc>
          <w:tcPr>
            <w:tcW w:w="2420" w:type="dxa"/>
            <w:noWrap/>
            <w:hideMark/>
          </w:tcPr>
          <w:p w14:paraId="25B65887" w14:textId="77777777" w:rsidR="008C670A" w:rsidRPr="002B2668" w:rsidRDefault="008C670A" w:rsidP="006D7FDC">
            <w:pPr>
              <w:pStyle w:val="Compact"/>
              <w:rPr>
                <w:b/>
                <w:lang w:eastAsia="zh-CN"/>
              </w:rPr>
            </w:pPr>
            <w:r w:rsidRPr="002B2668">
              <w:rPr>
                <w:b/>
                <w:lang w:eastAsia="zh-CN"/>
              </w:rPr>
              <w:t xml:space="preserve"> Stoichiometry </w:t>
            </w:r>
          </w:p>
        </w:tc>
        <w:tc>
          <w:tcPr>
            <w:tcW w:w="2260" w:type="dxa"/>
            <w:noWrap/>
            <w:hideMark/>
          </w:tcPr>
          <w:p w14:paraId="5F6F077C" w14:textId="77777777" w:rsidR="008C670A" w:rsidRPr="002B2668" w:rsidRDefault="008C670A" w:rsidP="006D7FDC">
            <w:pPr>
              <w:pStyle w:val="Compact"/>
              <w:rPr>
                <w:b/>
                <w:lang w:eastAsia="zh-CN"/>
              </w:rPr>
            </w:pPr>
            <w:r w:rsidRPr="002B2668">
              <w:rPr>
                <w:b/>
                <w:lang w:eastAsia="zh-CN"/>
              </w:rPr>
              <w:t>Atom transition</w:t>
            </w:r>
          </w:p>
        </w:tc>
      </w:tr>
      <w:tr w:rsidR="008C670A" w:rsidRPr="00926AC1" w14:paraId="0B7A08F9" w14:textId="77777777" w:rsidTr="006D7FDC">
        <w:trPr>
          <w:trHeight w:val="312"/>
        </w:trPr>
        <w:tc>
          <w:tcPr>
            <w:tcW w:w="2000" w:type="dxa"/>
            <w:noWrap/>
            <w:hideMark/>
          </w:tcPr>
          <w:p w14:paraId="4358BC31" w14:textId="77777777" w:rsidR="008C670A" w:rsidRPr="00926AC1" w:rsidRDefault="008C670A" w:rsidP="006D7FDC">
            <w:pPr>
              <w:pStyle w:val="Compact"/>
              <w:rPr>
                <w:color w:val="333333"/>
                <w:lang w:eastAsia="zh-CN"/>
              </w:rPr>
            </w:pPr>
            <w:proofErr w:type="spellStart"/>
            <w:r w:rsidRPr="00926AC1">
              <w:rPr>
                <w:color w:val="333333"/>
                <w:lang w:eastAsia="zh-CN"/>
              </w:rPr>
              <w:t>R_pk</w:t>
            </w:r>
            <w:proofErr w:type="spellEnd"/>
            <w:r w:rsidRPr="00926AC1">
              <w:rPr>
                <w:color w:val="333333"/>
                <w:lang w:eastAsia="zh-CN"/>
              </w:rPr>
              <w:t xml:space="preserve"> </w:t>
            </w:r>
          </w:p>
        </w:tc>
        <w:tc>
          <w:tcPr>
            <w:tcW w:w="2420" w:type="dxa"/>
            <w:noWrap/>
            <w:hideMark/>
          </w:tcPr>
          <w:p w14:paraId="3E387D6A" w14:textId="77777777" w:rsidR="008C670A" w:rsidRPr="00926AC1" w:rsidRDefault="008C670A" w:rsidP="006D7FDC">
            <w:pPr>
              <w:pStyle w:val="Compact"/>
              <w:rPr>
                <w:lang w:eastAsia="zh-CN"/>
              </w:rPr>
            </w:pPr>
            <w:r w:rsidRPr="00926AC1">
              <w:rPr>
                <w:lang w:eastAsia="zh-CN"/>
              </w:rPr>
              <w:t>PEP -&gt; PYR</w:t>
            </w:r>
          </w:p>
        </w:tc>
        <w:tc>
          <w:tcPr>
            <w:tcW w:w="2260" w:type="dxa"/>
            <w:noWrap/>
            <w:hideMark/>
          </w:tcPr>
          <w:p w14:paraId="18302EA4" w14:textId="77777777" w:rsidR="008C670A" w:rsidRPr="00926AC1" w:rsidRDefault="008C670A" w:rsidP="006D7FDC">
            <w:pPr>
              <w:pStyle w:val="Compact"/>
              <w:rPr>
                <w:lang w:eastAsia="zh-CN"/>
              </w:rPr>
            </w:pPr>
            <w:r w:rsidRPr="00926AC1">
              <w:rPr>
                <w:lang w:eastAsia="zh-CN"/>
              </w:rPr>
              <w:t>ABC -&gt; ABC</w:t>
            </w:r>
          </w:p>
        </w:tc>
      </w:tr>
      <w:tr w:rsidR="008C670A" w:rsidRPr="00926AC1" w14:paraId="2A624CE0" w14:textId="77777777" w:rsidTr="006D7FDC">
        <w:trPr>
          <w:trHeight w:val="312"/>
        </w:trPr>
        <w:tc>
          <w:tcPr>
            <w:tcW w:w="2000" w:type="dxa"/>
            <w:noWrap/>
            <w:hideMark/>
          </w:tcPr>
          <w:p w14:paraId="63B6DF31" w14:textId="77777777" w:rsidR="008C670A" w:rsidRPr="00926AC1" w:rsidRDefault="008C670A" w:rsidP="006D7FDC">
            <w:pPr>
              <w:pStyle w:val="Compact"/>
              <w:rPr>
                <w:lang w:eastAsia="zh-CN"/>
              </w:rPr>
            </w:pPr>
            <w:proofErr w:type="spellStart"/>
            <w:r w:rsidRPr="00926AC1">
              <w:rPr>
                <w:lang w:eastAsia="zh-CN"/>
              </w:rPr>
              <w:t>R_pyc</w:t>
            </w:r>
            <w:proofErr w:type="spellEnd"/>
          </w:p>
        </w:tc>
        <w:tc>
          <w:tcPr>
            <w:tcW w:w="2420" w:type="dxa"/>
            <w:noWrap/>
            <w:hideMark/>
          </w:tcPr>
          <w:p w14:paraId="799D577A" w14:textId="77777777" w:rsidR="008C670A" w:rsidRPr="00926AC1" w:rsidRDefault="008C670A" w:rsidP="006D7FDC">
            <w:pPr>
              <w:pStyle w:val="Compact"/>
              <w:rPr>
                <w:lang w:eastAsia="zh-CN"/>
              </w:rPr>
            </w:pPr>
            <w:r w:rsidRPr="00926AC1">
              <w:rPr>
                <w:lang w:eastAsia="zh-CN"/>
              </w:rPr>
              <w:t>PYR + CO2 -&gt; OAA</w:t>
            </w:r>
          </w:p>
        </w:tc>
        <w:tc>
          <w:tcPr>
            <w:tcW w:w="2260" w:type="dxa"/>
            <w:noWrap/>
            <w:hideMark/>
          </w:tcPr>
          <w:p w14:paraId="2431ED1E" w14:textId="77777777" w:rsidR="008C670A" w:rsidRPr="00926AC1" w:rsidRDefault="008C670A" w:rsidP="006D7FDC">
            <w:pPr>
              <w:pStyle w:val="Compact"/>
              <w:rPr>
                <w:lang w:eastAsia="zh-CN"/>
              </w:rPr>
            </w:pPr>
            <w:r w:rsidRPr="00926AC1">
              <w:rPr>
                <w:lang w:eastAsia="zh-CN"/>
              </w:rPr>
              <w:t>ABC + D -&gt; ABCD</w:t>
            </w:r>
          </w:p>
        </w:tc>
      </w:tr>
      <w:tr w:rsidR="008C670A" w:rsidRPr="00926AC1" w14:paraId="67784B73" w14:textId="77777777" w:rsidTr="006D7FDC">
        <w:trPr>
          <w:trHeight w:val="312"/>
        </w:trPr>
        <w:tc>
          <w:tcPr>
            <w:tcW w:w="2000" w:type="dxa"/>
            <w:noWrap/>
            <w:hideMark/>
          </w:tcPr>
          <w:p w14:paraId="182BF0F7" w14:textId="77777777" w:rsidR="008C670A" w:rsidRPr="00926AC1" w:rsidRDefault="008C670A" w:rsidP="006D7FDC">
            <w:pPr>
              <w:pStyle w:val="Compact"/>
              <w:rPr>
                <w:lang w:eastAsia="zh-CN"/>
              </w:rPr>
            </w:pPr>
            <w:proofErr w:type="spellStart"/>
            <w:r w:rsidRPr="00926AC1">
              <w:rPr>
                <w:lang w:eastAsia="zh-CN"/>
              </w:rPr>
              <w:t>R_me</w:t>
            </w:r>
            <w:proofErr w:type="spellEnd"/>
          </w:p>
        </w:tc>
        <w:tc>
          <w:tcPr>
            <w:tcW w:w="2420" w:type="dxa"/>
            <w:noWrap/>
            <w:hideMark/>
          </w:tcPr>
          <w:p w14:paraId="68C7E10F" w14:textId="77777777" w:rsidR="008C670A" w:rsidRPr="00926AC1" w:rsidRDefault="008C670A" w:rsidP="006D7FDC">
            <w:pPr>
              <w:pStyle w:val="Compact"/>
              <w:rPr>
                <w:lang w:eastAsia="zh-CN"/>
              </w:rPr>
            </w:pPr>
            <w:r w:rsidRPr="00926AC1">
              <w:rPr>
                <w:lang w:eastAsia="zh-CN"/>
              </w:rPr>
              <w:t>PYR + CO2 -&gt; MAL</w:t>
            </w:r>
          </w:p>
        </w:tc>
        <w:tc>
          <w:tcPr>
            <w:tcW w:w="2260" w:type="dxa"/>
            <w:noWrap/>
            <w:hideMark/>
          </w:tcPr>
          <w:p w14:paraId="5711F888" w14:textId="77777777" w:rsidR="008C670A" w:rsidRPr="00926AC1" w:rsidRDefault="008C670A" w:rsidP="006D7FDC">
            <w:pPr>
              <w:pStyle w:val="Compact"/>
              <w:rPr>
                <w:lang w:eastAsia="zh-CN"/>
              </w:rPr>
            </w:pPr>
            <w:r w:rsidRPr="00926AC1">
              <w:rPr>
                <w:lang w:eastAsia="zh-CN"/>
              </w:rPr>
              <w:t>ABC + D -&gt; ABCD</w:t>
            </w:r>
          </w:p>
        </w:tc>
      </w:tr>
      <w:tr w:rsidR="008C670A" w:rsidRPr="00926AC1" w14:paraId="41171FC2" w14:textId="77777777" w:rsidTr="006D7FDC">
        <w:trPr>
          <w:trHeight w:val="312"/>
        </w:trPr>
        <w:tc>
          <w:tcPr>
            <w:tcW w:w="2000" w:type="dxa"/>
            <w:noWrap/>
            <w:hideMark/>
          </w:tcPr>
          <w:p w14:paraId="0CF37703" w14:textId="77777777" w:rsidR="008C670A" w:rsidRPr="00926AC1" w:rsidRDefault="008C670A" w:rsidP="006D7FDC">
            <w:pPr>
              <w:pStyle w:val="Compact"/>
              <w:rPr>
                <w:lang w:eastAsia="zh-CN"/>
              </w:rPr>
            </w:pPr>
            <w:proofErr w:type="spellStart"/>
            <w:r w:rsidRPr="00926AC1">
              <w:rPr>
                <w:lang w:eastAsia="zh-CN"/>
              </w:rPr>
              <w:t>R_mdh</w:t>
            </w:r>
            <w:proofErr w:type="spellEnd"/>
          </w:p>
        </w:tc>
        <w:tc>
          <w:tcPr>
            <w:tcW w:w="2420" w:type="dxa"/>
            <w:noWrap/>
            <w:hideMark/>
          </w:tcPr>
          <w:p w14:paraId="732967B5" w14:textId="77777777" w:rsidR="008C670A" w:rsidRPr="00926AC1" w:rsidRDefault="008C670A" w:rsidP="006D7FDC">
            <w:pPr>
              <w:pStyle w:val="Compact"/>
              <w:rPr>
                <w:lang w:eastAsia="zh-CN"/>
              </w:rPr>
            </w:pPr>
            <w:r w:rsidRPr="00926AC1">
              <w:rPr>
                <w:lang w:eastAsia="zh-CN"/>
              </w:rPr>
              <w:t>OAA -&gt; MAL</w:t>
            </w:r>
          </w:p>
        </w:tc>
        <w:tc>
          <w:tcPr>
            <w:tcW w:w="2260" w:type="dxa"/>
            <w:noWrap/>
            <w:hideMark/>
          </w:tcPr>
          <w:p w14:paraId="167C7EBF" w14:textId="77777777" w:rsidR="008C670A" w:rsidRPr="00926AC1" w:rsidRDefault="008C670A" w:rsidP="006D7FDC">
            <w:pPr>
              <w:pStyle w:val="Compact"/>
              <w:rPr>
                <w:lang w:eastAsia="zh-CN"/>
              </w:rPr>
            </w:pPr>
            <w:r w:rsidRPr="00926AC1">
              <w:rPr>
                <w:lang w:eastAsia="zh-CN"/>
              </w:rPr>
              <w:t>ABCD -&gt; ABCD</w:t>
            </w:r>
          </w:p>
        </w:tc>
      </w:tr>
      <w:tr w:rsidR="008C670A" w:rsidRPr="00926AC1" w14:paraId="331DEC13" w14:textId="77777777" w:rsidTr="006D7FDC">
        <w:trPr>
          <w:trHeight w:val="312"/>
        </w:trPr>
        <w:tc>
          <w:tcPr>
            <w:tcW w:w="2000" w:type="dxa"/>
            <w:noWrap/>
            <w:hideMark/>
          </w:tcPr>
          <w:p w14:paraId="2F2A1C0F" w14:textId="77777777" w:rsidR="008C670A" w:rsidRPr="00926AC1" w:rsidRDefault="008C670A" w:rsidP="006D7FDC">
            <w:pPr>
              <w:pStyle w:val="Compact"/>
              <w:rPr>
                <w:lang w:eastAsia="zh-CN"/>
              </w:rPr>
            </w:pPr>
            <w:proofErr w:type="spellStart"/>
            <w:r w:rsidRPr="00926AC1">
              <w:rPr>
                <w:lang w:eastAsia="zh-CN"/>
              </w:rPr>
              <w:t>R_mcl</w:t>
            </w:r>
            <w:proofErr w:type="spellEnd"/>
          </w:p>
        </w:tc>
        <w:tc>
          <w:tcPr>
            <w:tcW w:w="2420" w:type="dxa"/>
            <w:noWrap/>
            <w:hideMark/>
          </w:tcPr>
          <w:p w14:paraId="7D834955" w14:textId="77777777" w:rsidR="008C670A" w:rsidRPr="00926AC1" w:rsidRDefault="008C670A" w:rsidP="006D7FDC">
            <w:pPr>
              <w:pStyle w:val="Compact"/>
              <w:rPr>
                <w:lang w:eastAsia="zh-CN"/>
              </w:rPr>
            </w:pPr>
            <w:r w:rsidRPr="00926AC1">
              <w:rPr>
                <w:lang w:eastAsia="zh-CN"/>
              </w:rPr>
              <w:t>MAL -&gt; GOX + ACCOA</w:t>
            </w:r>
          </w:p>
        </w:tc>
        <w:tc>
          <w:tcPr>
            <w:tcW w:w="2260" w:type="dxa"/>
            <w:noWrap/>
            <w:hideMark/>
          </w:tcPr>
          <w:p w14:paraId="30A13293" w14:textId="77777777" w:rsidR="008C670A" w:rsidRPr="00926AC1" w:rsidRDefault="008C670A" w:rsidP="006D7FDC">
            <w:pPr>
              <w:pStyle w:val="Compact"/>
              <w:rPr>
                <w:lang w:eastAsia="zh-CN"/>
              </w:rPr>
            </w:pPr>
            <w:r w:rsidRPr="00926AC1">
              <w:rPr>
                <w:lang w:eastAsia="zh-CN"/>
              </w:rPr>
              <w:t>ABCD -&gt; AB + DC</w:t>
            </w:r>
          </w:p>
        </w:tc>
      </w:tr>
      <w:tr w:rsidR="008C670A" w:rsidRPr="00926AC1" w14:paraId="03C374D1" w14:textId="77777777" w:rsidTr="006D7FDC">
        <w:trPr>
          <w:trHeight w:val="312"/>
        </w:trPr>
        <w:tc>
          <w:tcPr>
            <w:tcW w:w="2000" w:type="dxa"/>
            <w:noWrap/>
            <w:hideMark/>
          </w:tcPr>
          <w:p w14:paraId="1DF650FF" w14:textId="77777777" w:rsidR="008C670A" w:rsidRPr="00926AC1" w:rsidRDefault="008C670A" w:rsidP="006D7FDC">
            <w:pPr>
              <w:pStyle w:val="Compact"/>
              <w:rPr>
                <w:lang w:eastAsia="zh-CN"/>
              </w:rPr>
            </w:pPr>
            <w:proofErr w:type="spellStart"/>
            <w:r w:rsidRPr="00926AC1">
              <w:rPr>
                <w:lang w:eastAsia="zh-CN"/>
              </w:rPr>
              <w:t>R_pdh</w:t>
            </w:r>
            <w:proofErr w:type="spellEnd"/>
          </w:p>
        </w:tc>
        <w:tc>
          <w:tcPr>
            <w:tcW w:w="2420" w:type="dxa"/>
            <w:noWrap/>
            <w:hideMark/>
          </w:tcPr>
          <w:p w14:paraId="0D8E140B" w14:textId="77777777" w:rsidR="008C670A" w:rsidRPr="00926AC1" w:rsidRDefault="008C670A" w:rsidP="006D7FDC">
            <w:pPr>
              <w:pStyle w:val="Compact"/>
              <w:rPr>
                <w:lang w:eastAsia="zh-CN"/>
              </w:rPr>
            </w:pPr>
            <w:r w:rsidRPr="00926AC1">
              <w:rPr>
                <w:lang w:eastAsia="zh-CN"/>
              </w:rPr>
              <w:t>PYR -&gt; ACCOA + CO2</w:t>
            </w:r>
          </w:p>
        </w:tc>
        <w:tc>
          <w:tcPr>
            <w:tcW w:w="2260" w:type="dxa"/>
            <w:noWrap/>
            <w:hideMark/>
          </w:tcPr>
          <w:p w14:paraId="1EA38F76" w14:textId="77777777" w:rsidR="008C670A" w:rsidRPr="00926AC1" w:rsidRDefault="008C670A" w:rsidP="006D7FDC">
            <w:pPr>
              <w:pStyle w:val="Compact"/>
              <w:rPr>
                <w:lang w:eastAsia="zh-CN"/>
              </w:rPr>
            </w:pPr>
            <w:r w:rsidRPr="00926AC1">
              <w:rPr>
                <w:lang w:eastAsia="zh-CN"/>
              </w:rPr>
              <w:t>ABC -&gt; BC + A</w:t>
            </w:r>
          </w:p>
        </w:tc>
      </w:tr>
      <w:tr w:rsidR="008C670A" w:rsidRPr="00926AC1" w14:paraId="41079A64" w14:textId="77777777" w:rsidTr="006D7FDC">
        <w:trPr>
          <w:trHeight w:val="312"/>
        </w:trPr>
        <w:tc>
          <w:tcPr>
            <w:tcW w:w="2000" w:type="dxa"/>
            <w:noWrap/>
            <w:hideMark/>
          </w:tcPr>
          <w:p w14:paraId="7C652C52" w14:textId="77777777" w:rsidR="008C670A" w:rsidRPr="00926AC1" w:rsidRDefault="008C670A" w:rsidP="006D7FDC">
            <w:pPr>
              <w:pStyle w:val="Compact"/>
              <w:rPr>
                <w:lang w:eastAsia="zh-CN"/>
              </w:rPr>
            </w:pPr>
            <w:proofErr w:type="spellStart"/>
            <w:r w:rsidRPr="00926AC1">
              <w:rPr>
                <w:lang w:eastAsia="zh-CN"/>
              </w:rPr>
              <w:t>R_sga</w:t>
            </w:r>
            <w:proofErr w:type="spellEnd"/>
          </w:p>
        </w:tc>
        <w:tc>
          <w:tcPr>
            <w:tcW w:w="2420" w:type="dxa"/>
            <w:noWrap/>
            <w:hideMark/>
          </w:tcPr>
          <w:p w14:paraId="5062410C" w14:textId="77777777" w:rsidR="008C670A" w:rsidRPr="00926AC1" w:rsidRDefault="008C670A" w:rsidP="006D7FDC">
            <w:pPr>
              <w:pStyle w:val="Compact"/>
              <w:rPr>
                <w:lang w:eastAsia="zh-CN"/>
              </w:rPr>
            </w:pPr>
            <w:r w:rsidRPr="00926AC1">
              <w:rPr>
                <w:lang w:eastAsia="zh-CN"/>
              </w:rPr>
              <w:t>GOX + SER -&gt; HPR +GLY</w:t>
            </w:r>
          </w:p>
        </w:tc>
        <w:tc>
          <w:tcPr>
            <w:tcW w:w="2260" w:type="dxa"/>
            <w:noWrap/>
            <w:hideMark/>
          </w:tcPr>
          <w:p w14:paraId="64663B8E" w14:textId="77777777" w:rsidR="008C670A" w:rsidRPr="00926AC1" w:rsidRDefault="008C670A" w:rsidP="006D7FDC">
            <w:pPr>
              <w:pStyle w:val="Compact"/>
              <w:rPr>
                <w:lang w:eastAsia="zh-CN"/>
              </w:rPr>
            </w:pPr>
            <w:r w:rsidRPr="00926AC1">
              <w:rPr>
                <w:lang w:eastAsia="zh-CN"/>
              </w:rPr>
              <w:t>AB + CDE -&gt; CDE + AB</w:t>
            </w:r>
          </w:p>
        </w:tc>
      </w:tr>
      <w:tr w:rsidR="008C670A" w:rsidRPr="00926AC1" w14:paraId="304CF6C4" w14:textId="77777777" w:rsidTr="006D7FDC">
        <w:trPr>
          <w:trHeight w:val="312"/>
        </w:trPr>
        <w:tc>
          <w:tcPr>
            <w:tcW w:w="2000" w:type="dxa"/>
            <w:noWrap/>
            <w:hideMark/>
          </w:tcPr>
          <w:p w14:paraId="5BBAC611" w14:textId="77777777" w:rsidR="008C670A" w:rsidRPr="00926AC1" w:rsidRDefault="008C670A" w:rsidP="006D7FDC">
            <w:pPr>
              <w:pStyle w:val="Compact"/>
              <w:rPr>
                <w:lang w:eastAsia="zh-CN"/>
              </w:rPr>
            </w:pPr>
            <w:r w:rsidRPr="00926AC1">
              <w:rPr>
                <w:lang w:eastAsia="zh-CN"/>
              </w:rPr>
              <w:t>R_TCA1</w:t>
            </w:r>
          </w:p>
        </w:tc>
        <w:tc>
          <w:tcPr>
            <w:tcW w:w="2420" w:type="dxa"/>
            <w:noWrap/>
            <w:hideMark/>
          </w:tcPr>
          <w:p w14:paraId="274D6EEA" w14:textId="77777777" w:rsidR="008C670A" w:rsidRPr="00926AC1" w:rsidRDefault="008C670A" w:rsidP="006D7FDC">
            <w:pPr>
              <w:pStyle w:val="Compact"/>
              <w:rPr>
                <w:lang w:eastAsia="zh-CN"/>
              </w:rPr>
            </w:pPr>
            <w:r w:rsidRPr="00926AC1">
              <w:rPr>
                <w:lang w:eastAsia="zh-CN"/>
              </w:rPr>
              <w:t>ACCOA + OAA -&gt; CIT</w:t>
            </w:r>
          </w:p>
        </w:tc>
        <w:tc>
          <w:tcPr>
            <w:tcW w:w="2260" w:type="dxa"/>
            <w:noWrap/>
            <w:hideMark/>
          </w:tcPr>
          <w:p w14:paraId="60A4E0B2" w14:textId="77777777" w:rsidR="008C670A" w:rsidRPr="00926AC1" w:rsidRDefault="008C670A" w:rsidP="006D7FDC">
            <w:pPr>
              <w:pStyle w:val="Compact"/>
              <w:rPr>
                <w:lang w:eastAsia="zh-CN"/>
              </w:rPr>
            </w:pPr>
            <w:r w:rsidRPr="00926AC1">
              <w:rPr>
                <w:lang w:eastAsia="zh-CN"/>
              </w:rPr>
              <w:t>AB + CDEF -&gt; FEDBAC</w:t>
            </w:r>
          </w:p>
        </w:tc>
      </w:tr>
      <w:tr w:rsidR="008C670A" w:rsidRPr="00926AC1" w14:paraId="46D0F416" w14:textId="77777777" w:rsidTr="006D7FDC">
        <w:trPr>
          <w:trHeight w:val="312"/>
        </w:trPr>
        <w:tc>
          <w:tcPr>
            <w:tcW w:w="2000" w:type="dxa"/>
            <w:noWrap/>
            <w:hideMark/>
          </w:tcPr>
          <w:p w14:paraId="13A37879" w14:textId="77777777" w:rsidR="008C670A" w:rsidRPr="00926AC1" w:rsidRDefault="008C670A" w:rsidP="006D7FDC">
            <w:pPr>
              <w:pStyle w:val="Compact"/>
              <w:rPr>
                <w:lang w:eastAsia="zh-CN"/>
              </w:rPr>
            </w:pPr>
            <w:r w:rsidRPr="00926AC1">
              <w:rPr>
                <w:lang w:eastAsia="zh-CN"/>
              </w:rPr>
              <w:t>R_TCA2</w:t>
            </w:r>
          </w:p>
        </w:tc>
        <w:tc>
          <w:tcPr>
            <w:tcW w:w="2420" w:type="dxa"/>
            <w:noWrap/>
            <w:hideMark/>
          </w:tcPr>
          <w:p w14:paraId="01518770" w14:textId="77777777" w:rsidR="008C670A" w:rsidRPr="00926AC1" w:rsidRDefault="008C670A" w:rsidP="006D7FDC">
            <w:pPr>
              <w:pStyle w:val="Compact"/>
              <w:rPr>
                <w:lang w:eastAsia="zh-CN"/>
              </w:rPr>
            </w:pPr>
            <w:r w:rsidRPr="00926AC1">
              <w:rPr>
                <w:lang w:eastAsia="zh-CN"/>
              </w:rPr>
              <w:t>CIT -&gt; AKG + CO2</w:t>
            </w:r>
          </w:p>
        </w:tc>
        <w:tc>
          <w:tcPr>
            <w:tcW w:w="2260" w:type="dxa"/>
            <w:noWrap/>
            <w:hideMark/>
          </w:tcPr>
          <w:p w14:paraId="2FC5801F" w14:textId="77777777" w:rsidR="008C670A" w:rsidRPr="00926AC1" w:rsidRDefault="008C670A" w:rsidP="006D7FDC">
            <w:pPr>
              <w:pStyle w:val="Compact"/>
              <w:rPr>
                <w:lang w:eastAsia="zh-CN"/>
              </w:rPr>
            </w:pPr>
            <w:r w:rsidRPr="00926AC1">
              <w:rPr>
                <w:lang w:eastAsia="zh-CN"/>
              </w:rPr>
              <w:t>ABCDEF -&gt; ABCDE + F</w:t>
            </w:r>
          </w:p>
        </w:tc>
      </w:tr>
      <w:tr w:rsidR="008C670A" w:rsidRPr="00926AC1" w14:paraId="0AE1A9C1" w14:textId="77777777" w:rsidTr="006D7FDC">
        <w:trPr>
          <w:trHeight w:val="312"/>
        </w:trPr>
        <w:tc>
          <w:tcPr>
            <w:tcW w:w="2000" w:type="dxa"/>
            <w:noWrap/>
            <w:hideMark/>
          </w:tcPr>
          <w:p w14:paraId="5930D8A1" w14:textId="77777777" w:rsidR="008C670A" w:rsidRPr="00926AC1" w:rsidRDefault="008C670A" w:rsidP="006D7FDC">
            <w:pPr>
              <w:pStyle w:val="Compact"/>
              <w:rPr>
                <w:lang w:eastAsia="zh-CN"/>
              </w:rPr>
            </w:pPr>
            <w:r w:rsidRPr="00926AC1">
              <w:rPr>
                <w:lang w:eastAsia="zh-CN"/>
              </w:rPr>
              <w:t>R_TCA3</w:t>
            </w:r>
          </w:p>
        </w:tc>
        <w:tc>
          <w:tcPr>
            <w:tcW w:w="2420" w:type="dxa"/>
            <w:noWrap/>
            <w:hideMark/>
          </w:tcPr>
          <w:p w14:paraId="41F3788C" w14:textId="77777777" w:rsidR="008C670A" w:rsidRPr="00926AC1" w:rsidRDefault="008C670A" w:rsidP="006D7FDC">
            <w:pPr>
              <w:pStyle w:val="Compact"/>
              <w:rPr>
                <w:lang w:eastAsia="zh-CN"/>
              </w:rPr>
            </w:pPr>
            <w:r w:rsidRPr="00926AC1">
              <w:rPr>
                <w:lang w:eastAsia="zh-CN"/>
              </w:rPr>
              <w:t>AKG -&gt; SUCC +CO2</w:t>
            </w:r>
          </w:p>
        </w:tc>
        <w:tc>
          <w:tcPr>
            <w:tcW w:w="2260" w:type="dxa"/>
            <w:noWrap/>
            <w:hideMark/>
          </w:tcPr>
          <w:p w14:paraId="34646774" w14:textId="77777777" w:rsidR="008C670A" w:rsidRPr="00926AC1" w:rsidRDefault="008C670A" w:rsidP="006D7FDC">
            <w:pPr>
              <w:pStyle w:val="Compact"/>
              <w:rPr>
                <w:lang w:eastAsia="zh-CN"/>
              </w:rPr>
            </w:pPr>
            <w:r w:rsidRPr="00926AC1">
              <w:rPr>
                <w:lang w:eastAsia="zh-CN"/>
              </w:rPr>
              <w:t>ABCDE -&gt; BCDE + A</w:t>
            </w:r>
          </w:p>
        </w:tc>
      </w:tr>
      <w:tr w:rsidR="008C670A" w:rsidRPr="00926AC1" w14:paraId="26DBBF45" w14:textId="77777777" w:rsidTr="006D7FDC">
        <w:trPr>
          <w:trHeight w:val="312"/>
        </w:trPr>
        <w:tc>
          <w:tcPr>
            <w:tcW w:w="2000" w:type="dxa"/>
            <w:tcBorders>
              <w:bottom w:val="single" w:sz="4" w:space="0" w:color="auto"/>
            </w:tcBorders>
            <w:noWrap/>
            <w:hideMark/>
          </w:tcPr>
          <w:p w14:paraId="0E3A1813" w14:textId="77777777" w:rsidR="008C670A" w:rsidRPr="00926AC1" w:rsidRDefault="008C670A" w:rsidP="006D7FDC">
            <w:pPr>
              <w:pStyle w:val="Compact"/>
              <w:rPr>
                <w:lang w:eastAsia="zh-CN"/>
              </w:rPr>
            </w:pPr>
            <w:r w:rsidRPr="00926AC1">
              <w:rPr>
                <w:lang w:eastAsia="zh-CN"/>
              </w:rPr>
              <w:t>R_TCA4</w:t>
            </w:r>
          </w:p>
        </w:tc>
        <w:tc>
          <w:tcPr>
            <w:tcW w:w="2420" w:type="dxa"/>
            <w:tcBorders>
              <w:bottom w:val="single" w:sz="4" w:space="0" w:color="auto"/>
            </w:tcBorders>
            <w:noWrap/>
            <w:hideMark/>
          </w:tcPr>
          <w:p w14:paraId="65BA44E7" w14:textId="77777777" w:rsidR="008C670A" w:rsidRPr="00926AC1" w:rsidRDefault="008C670A" w:rsidP="006D7FDC">
            <w:pPr>
              <w:pStyle w:val="Compact"/>
              <w:rPr>
                <w:lang w:eastAsia="zh-CN"/>
              </w:rPr>
            </w:pPr>
            <w:r w:rsidRPr="00926AC1">
              <w:rPr>
                <w:lang w:eastAsia="zh-CN"/>
              </w:rPr>
              <w:t>SUCC -&gt; FUM</w:t>
            </w:r>
          </w:p>
        </w:tc>
        <w:tc>
          <w:tcPr>
            <w:tcW w:w="2260" w:type="dxa"/>
            <w:tcBorders>
              <w:bottom w:val="single" w:sz="4" w:space="0" w:color="auto"/>
            </w:tcBorders>
            <w:noWrap/>
            <w:hideMark/>
          </w:tcPr>
          <w:p w14:paraId="35F22E01" w14:textId="77777777" w:rsidR="008C670A" w:rsidRPr="00926AC1" w:rsidRDefault="008C670A" w:rsidP="006D7FDC">
            <w:pPr>
              <w:pStyle w:val="Compact"/>
              <w:rPr>
                <w:lang w:eastAsia="zh-CN"/>
              </w:rPr>
            </w:pPr>
            <w:r w:rsidRPr="00926AC1">
              <w:rPr>
                <w:lang w:eastAsia="zh-CN"/>
              </w:rPr>
              <w:t>ABCD -&gt; ABCD</w:t>
            </w:r>
          </w:p>
        </w:tc>
      </w:tr>
      <w:tr w:rsidR="008C670A" w:rsidRPr="00926AC1" w14:paraId="2288C6CD" w14:textId="77777777" w:rsidTr="006D7FDC">
        <w:trPr>
          <w:trHeight w:val="312"/>
        </w:trPr>
        <w:tc>
          <w:tcPr>
            <w:tcW w:w="2000" w:type="dxa"/>
            <w:tcBorders>
              <w:bottom w:val="single" w:sz="4" w:space="0" w:color="auto"/>
            </w:tcBorders>
            <w:noWrap/>
            <w:hideMark/>
          </w:tcPr>
          <w:p w14:paraId="57458AEA" w14:textId="77777777" w:rsidR="008C670A" w:rsidRPr="00926AC1" w:rsidRDefault="008C670A" w:rsidP="006D7FDC">
            <w:pPr>
              <w:pStyle w:val="Compact"/>
              <w:rPr>
                <w:lang w:eastAsia="zh-CN"/>
              </w:rPr>
            </w:pPr>
            <w:proofErr w:type="spellStart"/>
            <w:r w:rsidRPr="00926AC1">
              <w:rPr>
                <w:lang w:eastAsia="zh-CN"/>
              </w:rPr>
              <w:t>R_fum</w:t>
            </w:r>
            <w:proofErr w:type="spellEnd"/>
          </w:p>
        </w:tc>
        <w:tc>
          <w:tcPr>
            <w:tcW w:w="2420" w:type="dxa"/>
            <w:tcBorders>
              <w:bottom w:val="single" w:sz="4" w:space="0" w:color="auto"/>
            </w:tcBorders>
            <w:noWrap/>
            <w:hideMark/>
          </w:tcPr>
          <w:p w14:paraId="21EF0C79" w14:textId="77777777" w:rsidR="008C670A" w:rsidRPr="00926AC1" w:rsidRDefault="008C670A" w:rsidP="006D7FDC">
            <w:pPr>
              <w:pStyle w:val="Compact"/>
              <w:rPr>
                <w:lang w:eastAsia="zh-CN"/>
              </w:rPr>
            </w:pPr>
            <w:r w:rsidRPr="00926AC1">
              <w:rPr>
                <w:lang w:eastAsia="zh-CN"/>
              </w:rPr>
              <w:t>FUM -&gt; MAL</w:t>
            </w:r>
          </w:p>
        </w:tc>
        <w:tc>
          <w:tcPr>
            <w:tcW w:w="2260" w:type="dxa"/>
            <w:tcBorders>
              <w:bottom w:val="single" w:sz="4" w:space="0" w:color="auto"/>
            </w:tcBorders>
            <w:noWrap/>
            <w:hideMark/>
          </w:tcPr>
          <w:p w14:paraId="6ABE5326" w14:textId="77777777" w:rsidR="008C670A" w:rsidRPr="00926AC1" w:rsidRDefault="008C670A" w:rsidP="006D7FDC">
            <w:pPr>
              <w:pStyle w:val="Compact"/>
              <w:rPr>
                <w:lang w:eastAsia="zh-CN"/>
              </w:rPr>
            </w:pPr>
            <w:r w:rsidRPr="00926AC1">
              <w:rPr>
                <w:lang w:eastAsia="zh-CN"/>
              </w:rPr>
              <w:t>ABCD -&gt; ABCD</w:t>
            </w:r>
          </w:p>
        </w:tc>
      </w:tr>
    </w:tbl>
    <w:p w14:paraId="743F72D2" w14:textId="77777777" w:rsidR="008C670A" w:rsidRPr="00F47893" w:rsidRDefault="008C670A" w:rsidP="008C670A">
      <w:pPr>
        <w:pStyle w:val="Caption"/>
        <w:keepNext/>
        <w:rPr>
          <w:i/>
        </w:rPr>
      </w:pPr>
    </w:p>
    <w:p w14:paraId="4124E603" w14:textId="25BD08B4" w:rsidR="008C670A" w:rsidRPr="00F47893" w:rsidRDefault="008C670A" w:rsidP="008C670A">
      <w:pPr>
        <w:pStyle w:val="Caption"/>
        <w:keepNext/>
        <w:rPr>
          <w:i/>
        </w:rPr>
      </w:pPr>
      <w:r w:rsidRPr="00F47893">
        <w:t xml:space="preserve">Table </w:t>
      </w:r>
      <w:r w:rsidR="00E67357">
        <w:t>3.</w:t>
      </w:r>
      <w:r w:rsidR="008F6669">
        <w:fldChar w:fldCharType="begin"/>
      </w:r>
      <w:r w:rsidR="008F6669">
        <w:instrText xml:space="preserve"> SEQ Table \* ARABIC </w:instrText>
      </w:r>
      <w:r w:rsidR="008F6669">
        <w:fldChar w:fldCharType="separate"/>
      </w:r>
      <w:r>
        <w:rPr>
          <w:noProof/>
        </w:rPr>
        <w:t>2</w:t>
      </w:r>
      <w:r w:rsidR="008F6669">
        <w:rPr>
          <w:noProof/>
        </w:rPr>
        <w:fldChar w:fldCharType="end"/>
      </w:r>
      <w:r w:rsidRPr="00F47893">
        <w:t xml:space="preserve"> List of metabolites monitored using LC-MS/MS</w:t>
      </w:r>
    </w:p>
    <w:tbl>
      <w:tblPr>
        <w:tblW w:w="2819" w:type="pct"/>
        <w:tblBorders>
          <w:top w:val="single" w:sz="4" w:space="0" w:color="auto"/>
          <w:bottom w:val="single" w:sz="4" w:space="0" w:color="auto"/>
          <w:insideH w:val="single" w:sz="4" w:space="0" w:color="auto"/>
        </w:tblBorders>
        <w:tblLook w:val="07E0" w:firstRow="1" w:lastRow="1" w:firstColumn="1" w:lastColumn="1" w:noHBand="1" w:noVBand="1"/>
      </w:tblPr>
      <w:tblGrid>
        <w:gridCol w:w="3523"/>
        <w:gridCol w:w="1876"/>
      </w:tblGrid>
      <w:tr w:rsidR="008C670A" w:rsidRPr="003C4A8E" w14:paraId="1DB4D198" w14:textId="77777777" w:rsidTr="006D7FDC">
        <w:trPr>
          <w:trHeight w:val="284"/>
        </w:trPr>
        <w:tc>
          <w:tcPr>
            <w:tcW w:w="0" w:type="auto"/>
            <w:vAlign w:val="bottom"/>
          </w:tcPr>
          <w:p w14:paraId="3F98E75E" w14:textId="77777777" w:rsidR="008C670A" w:rsidRPr="002B2668" w:rsidRDefault="008C670A" w:rsidP="006D7FDC">
            <w:pPr>
              <w:pStyle w:val="Compact"/>
              <w:rPr>
                <w:b/>
              </w:rPr>
            </w:pPr>
            <w:r w:rsidRPr="002B2668">
              <w:rPr>
                <w:b/>
              </w:rPr>
              <w:t xml:space="preserve">Metabolites name </w:t>
            </w:r>
          </w:p>
        </w:tc>
        <w:tc>
          <w:tcPr>
            <w:tcW w:w="0" w:type="auto"/>
            <w:vAlign w:val="bottom"/>
          </w:tcPr>
          <w:p w14:paraId="67F0D8AA" w14:textId="77777777" w:rsidR="008C670A" w:rsidRPr="002B2668" w:rsidRDefault="008C670A" w:rsidP="006D7FDC">
            <w:pPr>
              <w:pStyle w:val="Compact"/>
              <w:rPr>
                <w:b/>
              </w:rPr>
            </w:pPr>
            <w:r w:rsidRPr="002B2668">
              <w:rPr>
                <w:b/>
              </w:rPr>
              <w:t>Ionization mode</w:t>
            </w:r>
          </w:p>
        </w:tc>
      </w:tr>
      <w:tr w:rsidR="008C670A" w:rsidRPr="003C4A8E" w14:paraId="2CB8CDD0" w14:textId="77777777" w:rsidTr="006D7FDC">
        <w:trPr>
          <w:trHeight w:val="271"/>
        </w:trPr>
        <w:tc>
          <w:tcPr>
            <w:tcW w:w="0" w:type="auto"/>
          </w:tcPr>
          <w:p w14:paraId="3CD973E9" w14:textId="77777777" w:rsidR="008C670A" w:rsidRPr="003C4A8E" w:rsidRDefault="008C670A" w:rsidP="006D7FDC">
            <w:pPr>
              <w:pStyle w:val="Compact"/>
            </w:pPr>
            <w:r w:rsidRPr="003C4A8E">
              <w:t>Succinate</w:t>
            </w:r>
          </w:p>
        </w:tc>
        <w:tc>
          <w:tcPr>
            <w:tcW w:w="0" w:type="auto"/>
          </w:tcPr>
          <w:p w14:paraId="7D407441" w14:textId="77777777" w:rsidR="008C670A" w:rsidRPr="003C4A8E" w:rsidRDefault="008C670A" w:rsidP="006D7FDC">
            <w:pPr>
              <w:pStyle w:val="Compact"/>
            </w:pPr>
            <w:r w:rsidRPr="003C4A8E">
              <w:t>negative</w:t>
            </w:r>
          </w:p>
        </w:tc>
      </w:tr>
      <w:tr w:rsidR="008C670A" w:rsidRPr="003C4A8E" w14:paraId="20E0468C" w14:textId="77777777" w:rsidTr="006D7FDC">
        <w:trPr>
          <w:trHeight w:val="284"/>
        </w:trPr>
        <w:tc>
          <w:tcPr>
            <w:tcW w:w="0" w:type="auto"/>
          </w:tcPr>
          <w:p w14:paraId="48BC6321" w14:textId="77777777" w:rsidR="008C670A" w:rsidRPr="003C4A8E" w:rsidRDefault="008C670A" w:rsidP="006D7FDC">
            <w:pPr>
              <w:pStyle w:val="Compact"/>
            </w:pPr>
            <w:r w:rsidRPr="003C4A8E">
              <w:t>Malate</w:t>
            </w:r>
          </w:p>
        </w:tc>
        <w:tc>
          <w:tcPr>
            <w:tcW w:w="0" w:type="auto"/>
          </w:tcPr>
          <w:p w14:paraId="7E33B629" w14:textId="77777777" w:rsidR="008C670A" w:rsidRPr="003C4A8E" w:rsidRDefault="008C670A" w:rsidP="006D7FDC">
            <w:pPr>
              <w:pStyle w:val="Compact"/>
            </w:pPr>
            <w:r w:rsidRPr="003C4A8E">
              <w:t>negative</w:t>
            </w:r>
          </w:p>
        </w:tc>
      </w:tr>
      <w:tr w:rsidR="008C670A" w:rsidRPr="003C4A8E" w14:paraId="2E91E64F" w14:textId="77777777" w:rsidTr="006D7FDC">
        <w:trPr>
          <w:trHeight w:val="284"/>
        </w:trPr>
        <w:tc>
          <w:tcPr>
            <w:tcW w:w="0" w:type="auto"/>
          </w:tcPr>
          <w:p w14:paraId="56FF21E1" w14:textId="77777777" w:rsidR="008C670A" w:rsidRPr="003C4A8E" w:rsidRDefault="008C670A" w:rsidP="006D7FDC">
            <w:pPr>
              <w:pStyle w:val="Compact"/>
            </w:pPr>
            <w:r w:rsidRPr="003C4A8E">
              <w:t>Phosphoenolpyruvate (PEP)</w:t>
            </w:r>
          </w:p>
        </w:tc>
        <w:tc>
          <w:tcPr>
            <w:tcW w:w="0" w:type="auto"/>
          </w:tcPr>
          <w:p w14:paraId="14C39759" w14:textId="77777777" w:rsidR="008C670A" w:rsidRPr="003C4A8E" w:rsidRDefault="008C670A" w:rsidP="006D7FDC">
            <w:pPr>
              <w:pStyle w:val="Compact"/>
            </w:pPr>
            <w:r w:rsidRPr="003C4A8E">
              <w:t>negative</w:t>
            </w:r>
          </w:p>
        </w:tc>
      </w:tr>
      <w:tr w:rsidR="008C670A" w:rsidRPr="003C4A8E" w14:paraId="465BAFB3" w14:textId="77777777" w:rsidTr="006D7FDC">
        <w:trPr>
          <w:trHeight w:val="271"/>
        </w:trPr>
        <w:tc>
          <w:tcPr>
            <w:tcW w:w="0" w:type="auto"/>
          </w:tcPr>
          <w:p w14:paraId="2E3D2849" w14:textId="77777777" w:rsidR="008C670A" w:rsidRPr="003C4A8E" w:rsidRDefault="008C670A" w:rsidP="006D7FDC">
            <w:pPr>
              <w:pStyle w:val="Compact"/>
            </w:pPr>
            <w:r w:rsidRPr="003C4A8E">
              <w:t>Citrate</w:t>
            </w:r>
          </w:p>
        </w:tc>
        <w:tc>
          <w:tcPr>
            <w:tcW w:w="0" w:type="auto"/>
          </w:tcPr>
          <w:p w14:paraId="7B3F4C36" w14:textId="77777777" w:rsidR="008C670A" w:rsidRPr="003C4A8E" w:rsidRDefault="008C670A" w:rsidP="006D7FDC">
            <w:pPr>
              <w:pStyle w:val="Compact"/>
            </w:pPr>
            <w:r w:rsidRPr="003C4A8E">
              <w:t>negative</w:t>
            </w:r>
          </w:p>
        </w:tc>
      </w:tr>
      <w:tr w:rsidR="008C670A" w:rsidRPr="003C4A8E" w14:paraId="3324938D" w14:textId="77777777" w:rsidTr="006D7FDC">
        <w:trPr>
          <w:trHeight w:val="284"/>
        </w:trPr>
        <w:tc>
          <w:tcPr>
            <w:tcW w:w="0" w:type="auto"/>
          </w:tcPr>
          <w:p w14:paraId="46703813" w14:textId="77777777" w:rsidR="008C670A" w:rsidRPr="003C4A8E" w:rsidRDefault="008C670A" w:rsidP="006D7FDC">
            <w:pPr>
              <w:pStyle w:val="Compact"/>
            </w:pPr>
            <w:r w:rsidRPr="003C4A8E">
              <w:t>Ribulose-5-phosphate (R5P)</w:t>
            </w:r>
          </w:p>
        </w:tc>
        <w:tc>
          <w:tcPr>
            <w:tcW w:w="0" w:type="auto"/>
          </w:tcPr>
          <w:p w14:paraId="5A2406C5" w14:textId="77777777" w:rsidR="008C670A" w:rsidRPr="003C4A8E" w:rsidRDefault="008C670A" w:rsidP="006D7FDC">
            <w:pPr>
              <w:pStyle w:val="Compact"/>
            </w:pPr>
            <w:r w:rsidRPr="003C4A8E">
              <w:t>negative</w:t>
            </w:r>
          </w:p>
        </w:tc>
      </w:tr>
      <w:tr w:rsidR="008C670A" w:rsidRPr="003C4A8E" w14:paraId="5F86EF42" w14:textId="77777777" w:rsidTr="006D7FDC">
        <w:trPr>
          <w:trHeight w:val="284"/>
        </w:trPr>
        <w:tc>
          <w:tcPr>
            <w:tcW w:w="0" w:type="auto"/>
          </w:tcPr>
          <w:p w14:paraId="1D3D55DA" w14:textId="77777777" w:rsidR="008C670A" w:rsidRPr="003C4A8E" w:rsidRDefault="008C670A" w:rsidP="006D7FDC">
            <w:pPr>
              <w:pStyle w:val="Compact"/>
            </w:pPr>
            <w:r w:rsidRPr="003C4A8E">
              <w:t>Fructose 6 phosphate (F6P)</w:t>
            </w:r>
          </w:p>
        </w:tc>
        <w:tc>
          <w:tcPr>
            <w:tcW w:w="0" w:type="auto"/>
          </w:tcPr>
          <w:p w14:paraId="55134690" w14:textId="77777777" w:rsidR="008C670A" w:rsidRPr="003C4A8E" w:rsidRDefault="008C670A" w:rsidP="006D7FDC">
            <w:pPr>
              <w:pStyle w:val="Compact"/>
            </w:pPr>
            <w:r w:rsidRPr="003C4A8E">
              <w:t>negative</w:t>
            </w:r>
          </w:p>
        </w:tc>
      </w:tr>
      <w:tr w:rsidR="008C670A" w:rsidRPr="003C4A8E" w14:paraId="20F6E412" w14:textId="77777777" w:rsidTr="006D7FDC">
        <w:trPr>
          <w:trHeight w:val="271"/>
        </w:trPr>
        <w:tc>
          <w:tcPr>
            <w:tcW w:w="0" w:type="auto"/>
          </w:tcPr>
          <w:p w14:paraId="569594DC" w14:textId="77777777" w:rsidR="008C670A" w:rsidRPr="003C4A8E" w:rsidRDefault="008C670A" w:rsidP="006D7FDC">
            <w:pPr>
              <w:pStyle w:val="Compact"/>
            </w:pPr>
            <w:r w:rsidRPr="003C4A8E">
              <w:t>Glucose 6 phosphate (G6P)</w:t>
            </w:r>
          </w:p>
        </w:tc>
        <w:tc>
          <w:tcPr>
            <w:tcW w:w="0" w:type="auto"/>
          </w:tcPr>
          <w:p w14:paraId="437CAC9D" w14:textId="77777777" w:rsidR="008C670A" w:rsidRPr="003C4A8E" w:rsidRDefault="008C670A" w:rsidP="006D7FDC">
            <w:pPr>
              <w:pStyle w:val="Compact"/>
            </w:pPr>
            <w:r w:rsidRPr="003C4A8E">
              <w:t>negative</w:t>
            </w:r>
          </w:p>
        </w:tc>
      </w:tr>
      <w:tr w:rsidR="008C670A" w:rsidRPr="003C4A8E" w14:paraId="20CC9F71" w14:textId="77777777" w:rsidTr="006D7FDC">
        <w:trPr>
          <w:trHeight w:val="284"/>
        </w:trPr>
        <w:tc>
          <w:tcPr>
            <w:tcW w:w="0" w:type="auto"/>
          </w:tcPr>
          <w:p w14:paraId="3A9842A2" w14:textId="77777777" w:rsidR="008C670A" w:rsidRPr="003C4A8E" w:rsidRDefault="008C670A" w:rsidP="006D7FDC">
            <w:pPr>
              <w:pStyle w:val="Compact"/>
            </w:pPr>
            <w:r w:rsidRPr="003C4A8E">
              <w:t>6-phosphoglucnate (6PG)</w:t>
            </w:r>
          </w:p>
        </w:tc>
        <w:tc>
          <w:tcPr>
            <w:tcW w:w="0" w:type="auto"/>
          </w:tcPr>
          <w:p w14:paraId="7E410E40" w14:textId="77777777" w:rsidR="008C670A" w:rsidRPr="003C4A8E" w:rsidRDefault="008C670A" w:rsidP="006D7FDC">
            <w:pPr>
              <w:pStyle w:val="Compact"/>
            </w:pPr>
            <w:r w:rsidRPr="003C4A8E">
              <w:t>negative</w:t>
            </w:r>
          </w:p>
        </w:tc>
      </w:tr>
      <w:tr w:rsidR="008C670A" w:rsidRPr="003C4A8E" w14:paraId="5F8CA8F2" w14:textId="77777777" w:rsidTr="006D7FDC">
        <w:trPr>
          <w:trHeight w:val="487"/>
        </w:trPr>
        <w:tc>
          <w:tcPr>
            <w:tcW w:w="0" w:type="auto"/>
          </w:tcPr>
          <w:p w14:paraId="650D84FF" w14:textId="77777777" w:rsidR="008C670A" w:rsidRPr="003C4A8E" w:rsidRDefault="008C670A" w:rsidP="006D7FDC">
            <w:pPr>
              <w:pStyle w:val="Compact"/>
            </w:pPr>
            <w:proofErr w:type="spellStart"/>
            <w:r w:rsidRPr="003C4A8E">
              <w:t>Sedoheptulose</w:t>
            </w:r>
            <w:proofErr w:type="spellEnd"/>
            <w:r w:rsidRPr="003C4A8E">
              <w:t xml:space="preserve"> 7-phosphate (S7P)</w:t>
            </w:r>
          </w:p>
        </w:tc>
        <w:tc>
          <w:tcPr>
            <w:tcW w:w="0" w:type="auto"/>
          </w:tcPr>
          <w:p w14:paraId="52B40766" w14:textId="77777777" w:rsidR="008C670A" w:rsidRPr="003C4A8E" w:rsidRDefault="008C670A" w:rsidP="006D7FDC">
            <w:pPr>
              <w:pStyle w:val="Compact"/>
            </w:pPr>
            <w:r w:rsidRPr="003C4A8E">
              <w:t>negative</w:t>
            </w:r>
          </w:p>
        </w:tc>
      </w:tr>
      <w:tr w:rsidR="008C670A" w:rsidRPr="003C4A8E" w14:paraId="51D9DBB0" w14:textId="77777777" w:rsidTr="006D7FDC">
        <w:trPr>
          <w:trHeight w:val="284"/>
        </w:trPr>
        <w:tc>
          <w:tcPr>
            <w:tcW w:w="0" w:type="auto"/>
          </w:tcPr>
          <w:p w14:paraId="323A4466" w14:textId="77777777" w:rsidR="008C670A" w:rsidRPr="003C4A8E" w:rsidRDefault="008C670A" w:rsidP="006D7FDC">
            <w:pPr>
              <w:pStyle w:val="Compact"/>
            </w:pPr>
            <w:r w:rsidRPr="003C4A8E">
              <w:t>Fructose 1,6-biphosphate (FBP)</w:t>
            </w:r>
          </w:p>
        </w:tc>
        <w:tc>
          <w:tcPr>
            <w:tcW w:w="0" w:type="auto"/>
          </w:tcPr>
          <w:p w14:paraId="005ED9E5" w14:textId="77777777" w:rsidR="008C670A" w:rsidRPr="003C4A8E" w:rsidRDefault="008C670A" w:rsidP="006D7FDC">
            <w:pPr>
              <w:pStyle w:val="Compact"/>
            </w:pPr>
            <w:r w:rsidRPr="003C4A8E">
              <w:t>negative</w:t>
            </w:r>
          </w:p>
        </w:tc>
      </w:tr>
      <w:tr w:rsidR="008C670A" w:rsidRPr="003C4A8E" w14:paraId="68A17095" w14:textId="77777777" w:rsidTr="006D7FDC">
        <w:trPr>
          <w:trHeight w:val="284"/>
        </w:trPr>
        <w:tc>
          <w:tcPr>
            <w:tcW w:w="0" w:type="auto"/>
          </w:tcPr>
          <w:p w14:paraId="2DCDE34E" w14:textId="77777777" w:rsidR="008C670A" w:rsidRPr="003C4A8E" w:rsidRDefault="008C670A" w:rsidP="006D7FDC">
            <w:pPr>
              <w:pStyle w:val="Compact"/>
            </w:pPr>
            <w:r w:rsidRPr="003C4A8E">
              <w:t>Alanine</w:t>
            </w:r>
          </w:p>
        </w:tc>
        <w:tc>
          <w:tcPr>
            <w:tcW w:w="0" w:type="auto"/>
          </w:tcPr>
          <w:p w14:paraId="4E95EC92" w14:textId="77777777" w:rsidR="008C670A" w:rsidRPr="003C4A8E" w:rsidRDefault="008C670A" w:rsidP="006D7FDC">
            <w:pPr>
              <w:pStyle w:val="Compact"/>
            </w:pPr>
            <w:r w:rsidRPr="003C4A8E">
              <w:t>positive</w:t>
            </w:r>
          </w:p>
        </w:tc>
      </w:tr>
      <w:tr w:rsidR="008C670A" w:rsidRPr="003C4A8E" w14:paraId="789D04F6" w14:textId="77777777" w:rsidTr="006D7FDC">
        <w:trPr>
          <w:trHeight w:val="284"/>
        </w:trPr>
        <w:tc>
          <w:tcPr>
            <w:tcW w:w="0" w:type="auto"/>
          </w:tcPr>
          <w:p w14:paraId="1468F247" w14:textId="77777777" w:rsidR="008C670A" w:rsidRPr="003C4A8E" w:rsidRDefault="008C670A" w:rsidP="006D7FDC">
            <w:pPr>
              <w:pStyle w:val="Compact"/>
            </w:pPr>
            <w:r w:rsidRPr="003C4A8E">
              <w:t>Threonine</w:t>
            </w:r>
          </w:p>
        </w:tc>
        <w:tc>
          <w:tcPr>
            <w:tcW w:w="0" w:type="auto"/>
          </w:tcPr>
          <w:p w14:paraId="192341B9" w14:textId="77777777" w:rsidR="008C670A" w:rsidRPr="003C4A8E" w:rsidRDefault="008C670A" w:rsidP="006D7FDC">
            <w:pPr>
              <w:pStyle w:val="Compact"/>
            </w:pPr>
            <w:r w:rsidRPr="003C4A8E">
              <w:t>positive</w:t>
            </w:r>
          </w:p>
        </w:tc>
      </w:tr>
    </w:tbl>
    <w:p w14:paraId="5B331165" w14:textId="77777777" w:rsidR="00131654" w:rsidRDefault="00131654" w:rsidP="008C670A">
      <w:pPr>
        <w:pStyle w:val="Caption"/>
        <w:keepNext/>
      </w:pPr>
    </w:p>
    <w:p w14:paraId="0D8D1E93" w14:textId="77777777" w:rsidR="00131654" w:rsidRDefault="00131654">
      <w:pPr>
        <w:spacing w:line="240" w:lineRule="auto"/>
        <w:rPr>
          <w:b/>
          <w:bCs/>
          <w:sz w:val="18"/>
          <w:szCs w:val="18"/>
        </w:rPr>
      </w:pPr>
      <w:r>
        <w:br w:type="page"/>
      </w:r>
    </w:p>
    <w:p w14:paraId="7A844B3C" w14:textId="01FECD9B" w:rsidR="008C670A" w:rsidRPr="00F47893" w:rsidRDefault="008C670A" w:rsidP="008C670A">
      <w:pPr>
        <w:pStyle w:val="Caption"/>
        <w:keepNext/>
        <w:rPr>
          <w:i/>
        </w:rPr>
      </w:pPr>
      <w:r w:rsidRPr="00F47893">
        <w:lastRenderedPageBreak/>
        <w:t xml:space="preserve">Table </w:t>
      </w:r>
      <w:fldSimple w:instr=" SEQ Table \* ARABIC ">
        <w:r w:rsidRPr="00F47893">
          <w:rPr>
            <w:noProof/>
          </w:rPr>
          <w:t>3</w:t>
        </w:r>
      </w:fldSimple>
      <w:r w:rsidR="00792581">
        <w:rPr>
          <w:i/>
        </w:rPr>
        <w:t>.3</w:t>
      </w:r>
      <w:r w:rsidRPr="00F47893">
        <w:t xml:space="preserve"> </w:t>
      </w:r>
      <w:r w:rsidRPr="00F47893">
        <w:rPr>
          <w:rFonts w:cs="Arial"/>
        </w:rPr>
        <w:t>Strains used in this study</w:t>
      </w:r>
    </w:p>
    <w:tbl>
      <w:tblPr>
        <w:tblW w:w="10128" w:type="dxa"/>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178"/>
        <w:gridCol w:w="5876"/>
        <w:gridCol w:w="2074"/>
      </w:tblGrid>
      <w:tr w:rsidR="008C670A" w:rsidRPr="005D0C4A" w14:paraId="4377B7F9" w14:textId="77777777" w:rsidTr="008C670A">
        <w:trPr>
          <w:trHeight w:val="304"/>
        </w:trPr>
        <w:tc>
          <w:tcPr>
            <w:tcW w:w="2178" w:type="dxa"/>
            <w:shd w:val="clear" w:color="auto" w:fill="auto"/>
            <w:noWrap/>
            <w:vAlign w:val="bottom"/>
            <w:hideMark/>
          </w:tcPr>
          <w:p w14:paraId="4047471D" w14:textId="77777777" w:rsidR="008C670A" w:rsidRPr="005D0C4A" w:rsidRDefault="008C670A" w:rsidP="006D7FDC">
            <w:pPr>
              <w:rPr>
                <w:b/>
                <w:sz w:val="18"/>
                <w:szCs w:val="18"/>
                <w:lang w:eastAsia="zh-CN"/>
              </w:rPr>
            </w:pPr>
            <w:r w:rsidRPr="005D0C4A">
              <w:rPr>
                <w:b/>
                <w:sz w:val="18"/>
                <w:szCs w:val="18"/>
                <w:lang w:eastAsia="zh-CN"/>
              </w:rPr>
              <w:t>Strain</w:t>
            </w:r>
          </w:p>
        </w:tc>
        <w:tc>
          <w:tcPr>
            <w:tcW w:w="5876" w:type="dxa"/>
            <w:shd w:val="clear" w:color="auto" w:fill="auto"/>
            <w:noWrap/>
            <w:vAlign w:val="bottom"/>
            <w:hideMark/>
          </w:tcPr>
          <w:p w14:paraId="09800937" w14:textId="77777777" w:rsidR="008C670A" w:rsidRPr="005D0C4A" w:rsidRDefault="008C670A" w:rsidP="006D7FDC">
            <w:pPr>
              <w:rPr>
                <w:b/>
                <w:sz w:val="18"/>
                <w:szCs w:val="18"/>
                <w:lang w:eastAsia="zh-CN"/>
              </w:rPr>
            </w:pPr>
            <w:r w:rsidRPr="005D0C4A">
              <w:rPr>
                <w:b/>
                <w:sz w:val="18"/>
                <w:szCs w:val="18"/>
                <w:lang w:eastAsia="zh-CN"/>
              </w:rPr>
              <w:t>Description</w:t>
            </w:r>
          </w:p>
        </w:tc>
        <w:tc>
          <w:tcPr>
            <w:tcW w:w="2074" w:type="dxa"/>
            <w:shd w:val="clear" w:color="auto" w:fill="auto"/>
            <w:noWrap/>
            <w:vAlign w:val="bottom"/>
            <w:hideMark/>
          </w:tcPr>
          <w:p w14:paraId="0FEE491E" w14:textId="77777777" w:rsidR="008C670A" w:rsidRPr="005D0C4A" w:rsidRDefault="008C670A" w:rsidP="006D7FDC">
            <w:pPr>
              <w:rPr>
                <w:b/>
                <w:sz w:val="18"/>
                <w:szCs w:val="18"/>
                <w:lang w:eastAsia="zh-CN"/>
              </w:rPr>
            </w:pPr>
            <w:r w:rsidRPr="005D0C4A">
              <w:rPr>
                <w:b/>
                <w:sz w:val="18"/>
                <w:szCs w:val="18"/>
                <w:lang w:eastAsia="zh-CN"/>
              </w:rPr>
              <w:t>Reference or source</w:t>
            </w:r>
          </w:p>
        </w:tc>
      </w:tr>
      <w:tr w:rsidR="008C670A" w:rsidRPr="005D0C4A" w14:paraId="30DF5F07" w14:textId="77777777" w:rsidTr="008C670A">
        <w:trPr>
          <w:trHeight w:val="304"/>
        </w:trPr>
        <w:tc>
          <w:tcPr>
            <w:tcW w:w="2178" w:type="dxa"/>
            <w:shd w:val="clear" w:color="auto" w:fill="auto"/>
            <w:noWrap/>
            <w:vAlign w:val="bottom"/>
            <w:hideMark/>
          </w:tcPr>
          <w:p w14:paraId="62D9AE83"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w:t>
            </w:r>
          </w:p>
        </w:tc>
        <w:tc>
          <w:tcPr>
            <w:tcW w:w="5876" w:type="dxa"/>
            <w:shd w:val="clear" w:color="auto" w:fill="auto"/>
            <w:noWrap/>
            <w:vAlign w:val="bottom"/>
            <w:hideMark/>
          </w:tcPr>
          <w:p w14:paraId="5408B660" w14:textId="77777777" w:rsidR="008C670A" w:rsidRPr="005D0C4A" w:rsidRDefault="008C670A" w:rsidP="006D7FDC">
            <w:pPr>
              <w:rPr>
                <w:rFonts w:cs="Arial"/>
                <w:sz w:val="18"/>
                <w:szCs w:val="18"/>
                <w:lang w:eastAsia="zh-CN"/>
              </w:rPr>
            </w:pPr>
            <w:r w:rsidRPr="005D0C4A">
              <w:rPr>
                <w:rFonts w:cs="Arial"/>
                <w:sz w:val="18"/>
                <w:szCs w:val="18"/>
                <w:lang w:eastAsia="zh-CN"/>
              </w:rPr>
              <w:t xml:space="preserve">Variant of </w:t>
            </w:r>
            <w:r w:rsidRPr="005D0C4A">
              <w:rPr>
                <w:rFonts w:cs="Arial"/>
                <w:i/>
                <w:sz w:val="18"/>
                <w:szCs w:val="18"/>
                <w:lang w:eastAsia="zh-CN"/>
              </w:rPr>
              <w:t>M. buryatense</w:t>
            </w:r>
            <w:r w:rsidRPr="005D0C4A">
              <w:rPr>
                <w:rFonts w:cs="Arial"/>
                <w:sz w:val="18"/>
                <w:szCs w:val="18"/>
                <w:lang w:eastAsia="zh-CN"/>
              </w:rPr>
              <w:t xml:space="preserve"> 5GB1 intentionally cured of native plasmid by knocking out </w:t>
            </w:r>
            <w:proofErr w:type="spellStart"/>
            <w:r w:rsidRPr="005D0C4A">
              <w:rPr>
                <w:rFonts w:cs="Arial"/>
                <w:sz w:val="18"/>
                <w:szCs w:val="18"/>
                <w:lang w:eastAsia="zh-CN"/>
              </w:rPr>
              <w:t>repA</w:t>
            </w:r>
            <w:proofErr w:type="spellEnd"/>
            <w:r w:rsidRPr="005D0C4A">
              <w:rPr>
                <w:rFonts w:cs="Arial"/>
                <w:sz w:val="18"/>
                <w:szCs w:val="18"/>
                <w:lang w:eastAsia="zh-CN"/>
              </w:rPr>
              <w:t xml:space="preserve"> (METBUDRAFT_0076) to </w:t>
            </w:r>
            <w:proofErr w:type="spellStart"/>
            <w:r w:rsidRPr="005D0C4A">
              <w:rPr>
                <w:rFonts w:cs="Arial"/>
                <w:sz w:val="18"/>
                <w:szCs w:val="18"/>
                <w:lang w:eastAsia="zh-CN"/>
              </w:rPr>
              <w:t>repB</w:t>
            </w:r>
            <w:proofErr w:type="spellEnd"/>
            <w:r w:rsidRPr="005D0C4A">
              <w:rPr>
                <w:rFonts w:cs="Arial"/>
                <w:sz w:val="18"/>
                <w:szCs w:val="18"/>
                <w:lang w:eastAsia="zh-CN"/>
              </w:rPr>
              <w:t xml:space="preserve"> (METBUDRAFT_0086) native plasmid locus.</w:t>
            </w:r>
          </w:p>
        </w:tc>
        <w:tc>
          <w:tcPr>
            <w:tcW w:w="2074" w:type="dxa"/>
            <w:shd w:val="clear" w:color="auto" w:fill="auto"/>
            <w:vAlign w:val="bottom"/>
          </w:tcPr>
          <w:p w14:paraId="6D495218" w14:textId="2CA2B6CE" w:rsidR="008C670A" w:rsidRPr="005D0C4A" w:rsidRDefault="008C670A" w:rsidP="002227CD">
            <w:pPr>
              <w:rPr>
                <w:rFonts w:cs="Arial"/>
                <w:sz w:val="18"/>
                <w:szCs w:val="18"/>
                <w:lang w:eastAsia="zh-CN"/>
              </w:rPr>
            </w:pPr>
            <w:r w:rsidRPr="005D0C4A">
              <w:rPr>
                <w:rFonts w:cs="Arial"/>
                <w:sz w:val="18"/>
                <w:szCs w:val="18"/>
                <w:lang w:eastAsia="zh-CN"/>
              </w:rPr>
              <w:fldChar w:fldCharType="begin" w:fldLock="1"/>
            </w:r>
            <w:r w:rsidR="008C0508" w:rsidRPr="005D0C4A">
              <w:rPr>
                <w:rFonts w:cs="Arial"/>
                <w:sz w:val="18"/>
                <w:szCs w:val="18"/>
                <w:lang w:eastAsia="zh-CN"/>
              </w:rPr>
              <w:instrText>ADDIN CSL_CITATION { "citationItems" : [ { "id" : "ITEM-1",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"ITEM-1",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"[63]", "plainTextFormattedCitation" : "[63]", "previouslyFormattedCitation" : "[63]" }, "properties" : { "noteIndex" : 0 }, "schema" : "https://github.com/citation-style-language/schema/raw/master/csl-citation.json" }</w:instrText>
            </w:r>
            <w:r w:rsidRPr="005D0C4A">
              <w:rPr>
                <w:rFonts w:cs="Arial"/>
                <w:sz w:val="18"/>
                <w:szCs w:val="18"/>
                <w:lang w:eastAsia="zh-CN"/>
              </w:rPr>
              <w:fldChar w:fldCharType="separate"/>
            </w:r>
            <w:r w:rsidR="0005386F" w:rsidRPr="005D0C4A">
              <w:rPr>
                <w:rFonts w:cs="Arial"/>
                <w:noProof/>
                <w:sz w:val="18"/>
                <w:szCs w:val="18"/>
                <w:lang w:eastAsia="zh-CN"/>
              </w:rPr>
              <w:t>[63]</w:t>
            </w:r>
            <w:r w:rsidRPr="005D0C4A">
              <w:rPr>
                <w:rFonts w:cs="Arial"/>
                <w:sz w:val="18"/>
                <w:szCs w:val="18"/>
                <w:lang w:eastAsia="zh-CN"/>
              </w:rPr>
              <w:fldChar w:fldCharType="end"/>
            </w:r>
          </w:p>
        </w:tc>
      </w:tr>
      <w:tr w:rsidR="008C670A" w:rsidRPr="005D0C4A" w14:paraId="05A19663" w14:textId="77777777" w:rsidTr="008C670A">
        <w:trPr>
          <w:trHeight w:val="304"/>
        </w:trPr>
        <w:tc>
          <w:tcPr>
            <w:tcW w:w="2178" w:type="dxa"/>
            <w:shd w:val="clear" w:color="auto" w:fill="auto"/>
            <w:noWrap/>
            <w:vAlign w:val="bottom"/>
            <w:hideMark/>
          </w:tcPr>
          <w:p w14:paraId="044D5036"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i/>
                <w:sz w:val="18"/>
                <w:szCs w:val="18"/>
                <w:lang w:eastAsia="zh-CN"/>
              </w:rPr>
              <w:t>Δsga</w:t>
            </w:r>
            <w:proofErr w:type="spellEnd"/>
          </w:p>
        </w:tc>
        <w:tc>
          <w:tcPr>
            <w:tcW w:w="5876" w:type="dxa"/>
            <w:shd w:val="clear" w:color="auto" w:fill="auto"/>
            <w:noWrap/>
            <w:vAlign w:val="bottom"/>
            <w:hideMark/>
          </w:tcPr>
          <w:p w14:paraId="250AD1BB"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(METBUDRAFT_2200)</w:t>
            </w:r>
          </w:p>
        </w:tc>
        <w:tc>
          <w:tcPr>
            <w:tcW w:w="2074" w:type="dxa"/>
            <w:shd w:val="clear" w:color="auto" w:fill="auto"/>
            <w:noWrap/>
            <w:vAlign w:val="bottom"/>
            <w:hideMark/>
          </w:tcPr>
          <w:p w14:paraId="2B1CA98F"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763C1A47" w14:textId="77777777" w:rsidTr="008C670A">
        <w:trPr>
          <w:trHeight w:val="304"/>
        </w:trPr>
        <w:tc>
          <w:tcPr>
            <w:tcW w:w="2178" w:type="dxa"/>
            <w:shd w:val="clear" w:color="auto" w:fill="auto"/>
            <w:noWrap/>
            <w:vAlign w:val="bottom"/>
            <w:hideMark/>
          </w:tcPr>
          <w:p w14:paraId="231319BA"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i/>
                <w:sz w:val="18"/>
                <w:szCs w:val="18"/>
                <w:lang w:eastAsia="zh-CN"/>
              </w:rPr>
              <w:t>ΔfumA</w:t>
            </w:r>
            <w:proofErr w:type="spellEnd"/>
          </w:p>
        </w:tc>
        <w:tc>
          <w:tcPr>
            <w:tcW w:w="5876" w:type="dxa"/>
            <w:shd w:val="clear" w:color="auto" w:fill="auto"/>
            <w:noWrap/>
            <w:vAlign w:val="bottom"/>
            <w:hideMark/>
          </w:tcPr>
          <w:p w14:paraId="2ECEAC2B"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(METBUDRAFT_1453)</w:t>
            </w:r>
          </w:p>
        </w:tc>
        <w:tc>
          <w:tcPr>
            <w:tcW w:w="2074" w:type="dxa"/>
            <w:shd w:val="clear" w:color="auto" w:fill="auto"/>
            <w:noWrap/>
            <w:vAlign w:val="bottom"/>
            <w:hideMark/>
          </w:tcPr>
          <w:p w14:paraId="49AFBEEB"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6485C3AC" w14:textId="77777777" w:rsidTr="008C670A">
        <w:trPr>
          <w:trHeight w:val="304"/>
        </w:trPr>
        <w:tc>
          <w:tcPr>
            <w:tcW w:w="2178" w:type="dxa"/>
            <w:shd w:val="clear" w:color="auto" w:fill="auto"/>
            <w:noWrap/>
            <w:vAlign w:val="bottom"/>
            <w:hideMark/>
          </w:tcPr>
          <w:p w14:paraId="7AC91EFC"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sz w:val="18"/>
                <w:szCs w:val="18"/>
                <w:lang w:eastAsia="zh-CN"/>
              </w:rPr>
              <w:t>Δ</w:t>
            </w:r>
            <w:r w:rsidRPr="005D0C4A">
              <w:rPr>
                <w:rFonts w:cs="Arial"/>
                <w:i/>
                <w:sz w:val="18"/>
                <w:szCs w:val="18"/>
                <w:lang w:eastAsia="zh-CN"/>
              </w:rPr>
              <w:t>fumC</w:t>
            </w:r>
            <w:proofErr w:type="spellEnd"/>
          </w:p>
        </w:tc>
        <w:tc>
          <w:tcPr>
            <w:tcW w:w="5876" w:type="dxa"/>
            <w:shd w:val="clear" w:color="auto" w:fill="auto"/>
            <w:noWrap/>
            <w:vAlign w:val="bottom"/>
            <w:hideMark/>
          </w:tcPr>
          <w:p w14:paraId="10B699DE" w14:textId="77777777" w:rsidR="008C670A" w:rsidRPr="005D0C4A" w:rsidRDefault="008C670A" w:rsidP="006D7FDC">
            <w:pPr>
              <w:rPr>
                <w:rFonts w:cs="Arial"/>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(METBUDRAFT_2764)</w:t>
            </w:r>
          </w:p>
        </w:tc>
        <w:tc>
          <w:tcPr>
            <w:tcW w:w="2074" w:type="dxa"/>
            <w:shd w:val="clear" w:color="auto" w:fill="auto"/>
            <w:noWrap/>
            <w:vAlign w:val="bottom"/>
            <w:hideMark/>
          </w:tcPr>
          <w:p w14:paraId="483997EA"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r w:rsidR="008C670A" w:rsidRPr="005D0C4A" w14:paraId="438CBE28" w14:textId="77777777" w:rsidTr="008C670A">
        <w:trPr>
          <w:trHeight w:val="304"/>
        </w:trPr>
        <w:tc>
          <w:tcPr>
            <w:tcW w:w="2178" w:type="dxa"/>
            <w:shd w:val="clear" w:color="auto" w:fill="auto"/>
            <w:noWrap/>
            <w:vAlign w:val="bottom"/>
          </w:tcPr>
          <w:p w14:paraId="7AB08B40" w14:textId="77777777" w:rsidR="008C670A" w:rsidRPr="005D0C4A" w:rsidRDefault="008C670A" w:rsidP="006D7FDC">
            <w:pPr>
              <w:rPr>
                <w:rFonts w:cs="Arial"/>
                <w:i/>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w:t>
            </w:r>
            <w:proofErr w:type="spellStart"/>
            <w:r w:rsidRPr="005D0C4A">
              <w:rPr>
                <w:rFonts w:cs="Arial"/>
                <w:sz w:val="18"/>
                <w:szCs w:val="18"/>
                <w:lang w:eastAsia="zh-CN"/>
              </w:rPr>
              <w:t>Δ</w:t>
            </w:r>
            <w:r w:rsidRPr="005D0C4A">
              <w:rPr>
                <w:rFonts w:cs="Arial"/>
                <w:i/>
                <w:sz w:val="18"/>
                <w:szCs w:val="18"/>
                <w:lang w:eastAsia="zh-CN"/>
              </w:rPr>
              <w:t>lpd</w:t>
            </w:r>
            <w:proofErr w:type="spellEnd"/>
          </w:p>
        </w:tc>
        <w:tc>
          <w:tcPr>
            <w:tcW w:w="5876" w:type="dxa"/>
            <w:shd w:val="clear" w:color="auto" w:fill="auto"/>
            <w:noWrap/>
            <w:vAlign w:val="bottom"/>
          </w:tcPr>
          <w:p w14:paraId="61DB1A6C" w14:textId="77777777" w:rsidR="008C670A" w:rsidRPr="005D0C4A" w:rsidRDefault="008C670A" w:rsidP="006D7FDC">
            <w:pPr>
              <w:rPr>
                <w:rFonts w:cs="Arial"/>
                <w:i/>
                <w:sz w:val="18"/>
                <w:szCs w:val="18"/>
                <w:lang w:eastAsia="zh-CN"/>
              </w:rPr>
            </w:pPr>
            <w:r w:rsidRPr="005D0C4A">
              <w:rPr>
                <w:rFonts w:cs="Arial"/>
                <w:i/>
                <w:sz w:val="18"/>
                <w:szCs w:val="18"/>
                <w:lang w:eastAsia="zh-CN"/>
              </w:rPr>
              <w:t>M. buryatense</w:t>
            </w:r>
            <w:r w:rsidRPr="005D0C4A">
              <w:rPr>
                <w:rFonts w:cs="Arial"/>
                <w:sz w:val="18"/>
                <w:szCs w:val="18"/>
                <w:lang w:eastAsia="zh-CN"/>
              </w:rPr>
              <w:t xml:space="preserve"> 5GB1C (</w:t>
            </w:r>
            <w:r w:rsidRPr="005D0C4A">
              <w:rPr>
                <w:sz w:val="18"/>
                <w:szCs w:val="18"/>
              </w:rPr>
              <w:t>METBUDRAFT_0801)</w:t>
            </w:r>
          </w:p>
        </w:tc>
        <w:tc>
          <w:tcPr>
            <w:tcW w:w="2074" w:type="dxa"/>
            <w:shd w:val="clear" w:color="auto" w:fill="auto"/>
            <w:noWrap/>
            <w:vAlign w:val="bottom"/>
          </w:tcPr>
          <w:p w14:paraId="2D918AF6" w14:textId="77777777" w:rsidR="008C670A" w:rsidRPr="005D0C4A" w:rsidRDefault="008C670A" w:rsidP="006D7FDC">
            <w:pPr>
              <w:rPr>
                <w:rFonts w:cs="Arial"/>
                <w:sz w:val="18"/>
                <w:szCs w:val="18"/>
                <w:lang w:eastAsia="zh-CN"/>
              </w:rPr>
            </w:pPr>
            <w:r w:rsidRPr="005D0C4A">
              <w:rPr>
                <w:rFonts w:cs="Arial"/>
                <w:sz w:val="18"/>
                <w:szCs w:val="18"/>
                <w:lang w:eastAsia="zh-CN"/>
              </w:rPr>
              <w:t>this study</w:t>
            </w:r>
          </w:p>
        </w:tc>
      </w:tr>
    </w:tbl>
    <w:p w14:paraId="5AF1E11C" w14:textId="6137AFAE" w:rsidR="008C670A" w:rsidRPr="00492FBB" w:rsidRDefault="008C670A" w:rsidP="00492FBB">
      <w:pPr>
        <w:pStyle w:val="Heading2"/>
      </w:pPr>
      <w:bookmarkStart w:id="85" w:name="header-c393"/>
      <w:bookmarkEnd w:id="85"/>
    </w:p>
    <w:p w14:paraId="0C55C6D7" w14:textId="77777777" w:rsidR="008C670A" w:rsidRPr="00587737" w:rsidRDefault="008C670A" w:rsidP="008C670A">
      <w:pPr>
        <w:pStyle w:val="Heading2"/>
      </w:pPr>
      <w:bookmarkStart w:id="86" w:name="header-c128"/>
      <w:bookmarkStart w:id="87" w:name="_Toc468311741"/>
      <w:bookmarkEnd w:id="86"/>
      <w:r w:rsidRPr="00587737">
        <w:t>Supplemental materials</w:t>
      </w:r>
      <w:bookmarkEnd w:id="87"/>
    </w:p>
    <w:p w14:paraId="51B9ED83" w14:textId="196F15C1" w:rsidR="008C670A" w:rsidRPr="00587737" w:rsidRDefault="008C670A" w:rsidP="008C670A">
      <w:pPr>
        <w:pStyle w:val="BodyText"/>
      </w:pPr>
      <w:r w:rsidRPr="00587737">
        <w:t xml:space="preserve">Table </w:t>
      </w:r>
      <w:r w:rsidR="00293207">
        <w:t>S3</w:t>
      </w:r>
      <w:r w:rsidR="00AA6DA0">
        <w:t>_</w:t>
      </w:r>
      <w:r w:rsidRPr="00587737">
        <w:t>1.</w:t>
      </w:r>
      <w:r>
        <w:t xml:space="preserve"> </w:t>
      </w:r>
      <w:r w:rsidRPr="00587737">
        <w:t xml:space="preserve">Sample information and </w:t>
      </w:r>
      <w:proofErr w:type="spellStart"/>
      <w:r w:rsidRPr="00587737">
        <w:t>isotopomer</w:t>
      </w:r>
      <w:proofErr w:type="spellEnd"/>
      <w:r w:rsidRPr="00587737">
        <w:t xml:space="preserve"> labeling pattern of key intermediate metabolites with </w:t>
      </w:r>
      <w:r w:rsidRPr="00587737">
        <w:rPr>
          <w:vertAlign w:val="superscript"/>
        </w:rPr>
        <w:t>13</w:t>
      </w:r>
      <w:r w:rsidRPr="00587737">
        <w:t xml:space="preserve">C methane and </w:t>
      </w:r>
      <w:r w:rsidRPr="00587737">
        <w:rPr>
          <w:vertAlign w:val="superscript"/>
        </w:rPr>
        <w:t>12</w:t>
      </w:r>
      <w:r w:rsidRPr="00587737">
        <w:t>C carbohydrate buffer as substrate.</w:t>
      </w:r>
    </w:p>
    <w:p w14:paraId="64D99866" w14:textId="10EA6C52" w:rsidR="008C670A" w:rsidRPr="00587737" w:rsidRDefault="008C670A" w:rsidP="008C670A">
      <w:pPr>
        <w:pStyle w:val="BodyText"/>
      </w:pPr>
      <w:r w:rsidRPr="00587737">
        <w:t xml:space="preserve">Table </w:t>
      </w:r>
      <w:r w:rsidR="00293207">
        <w:t>S3</w:t>
      </w:r>
      <w:r w:rsidR="00AA6DA0">
        <w:t>_</w:t>
      </w:r>
      <w:r w:rsidRPr="00587737">
        <w:t xml:space="preserve">2. Sample information and </w:t>
      </w:r>
      <w:proofErr w:type="spellStart"/>
      <w:r w:rsidRPr="00587737">
        <w:t>isotopomer</w:t>
      </w:r>
      <w:proofErr w:type="spellEnd"/>
      <w:r w:rsidRPr="00587737">
        <w:t xml:space="preserve"> labeling pattern of key intermediate metabolites with </w:t>
      </w:r>
      <w:r w:rsidRPr="00587737">
        <w:rPr>
          <w:vertAlign w:val="superscript"/>
        </w:rPr>
        <w:t>12</w:t>
      </w:r>
      <w:r w:rsidRPr="00587737">
        <w:t xml:space="preserve">C methane and </w:t>
      </w:r>
      <w:r w:rsidRPr="00587737">
        <w:rPr>
          <w:vertAlign w:val="superscript"/>
        </w:rPr>
        <w:t>13</w:t>
      </w:r>
      <w:r w:rsidRPr="00587737">
        <w:t>C carbohydrate buffer.</w:t>
      </w:r>
    </w:p>
    <w:p w14:paraId="0AB86AC8" w14:textId="580E6AEC" w:rsidR="008C670A" w:rsidRPr="00587737" w:rsidRDefault="008C670A" w:rsidP="008C670A">
      <w:pPr>
        <w:pStyle w:val="BodyText"/>
      </w:pPr>
      <w:r w:rsidRPr="00587737">
        <w:t xml:space="preserve">Table </w:t>
      </w:r>
      <w:r w:rsidR="006E1C4F">
        <w:t>S3_3</w:t>
      </w:r>
      <w:r w:rsidRPr="00587737">
        <w:t>. Primers for knockout construction</w:t>
      </w:r>
      <w:r>
        <w:t>.</w:t>
      </w:r>
    </w:p>
    <w:p w14:paraId="5FE53972" w14:textId="00C03573" w:rsidR="008C670A" w:rsidRPr="00587737" w:rsidRDefault="008C670A" w:rsidP="008C670A">
      <w:pPr>
        <w:pStyle w:val="BodyText"/>
        <w:rPr>
          <w:rFonts w:cs="Arial"/>
        </w:rPr>
      </w:pPr>
      <w:r w:rsidRPr="00587737">
        <w:rPr>
          <w:rFonts w:cs="Arial"/>
        </w:rPr>
        <w:t xml:space="preserve">Table </w:t>
      </w:r>
      <w:r w:rsidR="006E1C4F">
        <w:rPr>
          <w:rFonts w:cs="Arial"/>
        </w:rPr>
        <w:t>S3_4</w:t>
      </w:r>
      <w:r w:rsidRPr="00587737">
        <w:rPr>
          <w:rFonts w:cs="Arial"/>
        </w:rPr>
        <w:t>. Multiple reaction monitors (MRM) for key metabolites measured in this study</w:t>
      </w:r>
      <w:r>
        <w:rPr>
          <w:rFonts w:cs="Arial"/>
        </w:rPr>
        <w:t>.</w:t>
      </w:r>
    </w:p>
    <w:p w14:paraId="196E8CF1" w14:textId="4121B977" w:rsidR="00ED098A" w:rsidRPr="00ED098A" w:rsidRDefault="008C670A" w:rsidP="00ED098A">
      <w:pPr>
        <w:pStyle w:val="BodyText"/>
      </w:pPr>
      <w:r>
        <w:rPr>
          <w:rFonts w:cs="Arial"/>
        </w:rPr>
        <w:t>Figure S</w:t>
      </w:r>
      <w:r w:rsidR="00293207">
        <w:rPr>
          <w:rFonts w:cs="Arial"/>
        </w:rPr>
        <w:t>3_</w:t>
      </w:r>
      <w:r>
        <w:rPr>
          <w:rFonts w:cs="Arial"/>
        </w:rPr>
        <w:t>1</w:t>
      </w:r>
      <w:r w:rsidRPr="00587737">
        <w:rPr>
          <w:rFonts w:cs="Arial"/>
        </w:rPr>
        <w:t xml:space="preserve">. </w:t>
      </w:r>
      <w:r>
        <w:rPr>
          <w:rFonts w:cs="Arial"/>
        </w:rPr>
        <w:t xml:space="preserve"> Q-TOF </w:t>
      </w:r>
      <w:r>
        <w:t>MS spectra of 6PG showing that M+4 peak is an interference</w:t>
      </w:r>
      <w:r w:rsidR="00ED098A">
        <w:t>.</w:t>
      </w:r>
      <w:r w:rsidR="00ED098A" w:rsidRPr="00ED098A">
        <w:rPr>
          <w:rFonts w:asciiTheme="minorHAnsi" w:hAnsi="Calibri"/>
          <w:color w:val="000000"/>
          <w:kern w:val="24"/>
          <w:sz w:val="24"/>
          <w:lang w:eastAsia="zh-CN"/>
        </w:rPr>
        <w:t xml:space="preserve"> </w:t>
      </w:r>
      <w:r w:rsidR="00ED098A" w:rsidRPr="00ED098A">
        <w:t xml:space="preserve">The </w:t>
      </w:r>
      <w:proofErr w:type="spellStart"/>
      <w:r w:rsidR="00ED098A" w:rsidRPr="00ED098A">
        <w:t>mz</w:t>
      </w:r>
      <w:proofErr w:type="spellEnd"/>
      <w:r w:rsidR="00ED098A" w:rsidRPr="00ED098A">
        <w:t xml:space="preserve"> of 279.0176 is 50 ppm away from the theoretical </w:t>
      </w:r>
      <w:proofErr w:type="spellStart"/>
      <w:r w:rsidR="00ED098A" w:rsidRPr="00ED098A">
        <w:t>mz</w:t>
      </w:r>
      <w:proofErr w:type="spellEnd"/>
      <w:r w:rsidR="00ED098A" w:rsidRPr="00ED098A">
        <w:t xml:space="preserve"> of M+4 of 6PG based on the mass difference between </w:t>
      </w:r>
      <w:r w:rsidR="00ED098A" w:rsidRPr="00ED098A">
        <w:rPr>
          <w:vertAlign w:val="superscript"/>
        </w:rPr>
        <w:t>12</w:t>
      </w:r>
      <w:r w:rsidR="00ED098A" w:rsidRPr="00ED098A">
        <w:t xml:space="preserve">C and </w:t>
      </w:r>
      <w:r w:rsidR="00ED098A" w:rsidRPr="00ED098A">
        <w:rPr>
          <w:vertAlign w:val="superscript"/>
        </w:rPr>
        <w:t>13</w:t>
      </w:r>
      <w:r w:rsidR="00ED098A" w:rsidRPr="00ED098A">
        <w:t xml:space="preserve">C is 1.003355. The High resolution Q-TOF was calibrated and tuned at accuracy of 30 ppm, showing that the </w:t>
      </w:r>
      <w:proofErr w:type="spellStart"/>
      <w:r w:rsidR="00ED098A" w:rsidRPr="00ED098A">
        <w:t>mz</w:t>
      </w:r>
      <w:proofErr w:type="spellEnd"/>
      <w:r w:rsidR="00ED098A" w:rsidRPr="00ED098A">
        <w:t xml:space="preserve"> of 279.0176 is not the M+4 of 6PG.</w:t>
      </w:r>
    </w:p>
    <w:p w14:paraId="77D9AC7E" w14:textId="17BF049D" w:rsidR="008C670A" w:rsidRDefault="008C670A" w:rsidP="008C670A">
      <w:pPr>
        <w:pStyle w:val="BodyText"/>
      </w:pPr>
    </w:p>
    <w:bookmarkEnd w:id="61"/>
    <w:p w14:paraId="319EFFBE" w14:textId="1587B9D8" w:rsidR="00DE0303" w:rsidRDefault="00DE0303" w:rsidP="00CF7D99">
      <w:pPr>
        <w:widowControl w:val="0"/>
        <w:autoSpaceDE w:val="0"/>
        <w:autoSpaceDN w:val="0"/>
        <w:adjustRightInd w:val="0"/>
        <w:spacing w:before="180" w:after="180"/>
      </w:pPr>
    </w:p>
    <w:p w14:paraId="4E133486" w14:textId="3748C0C0" w:rsidR="00D34E8B" w:rsidRPr="003123C3" w:rsidRDefault="001860E9" w:rsidP="003123C3">
      <w:pPr>
        <w:pStyle w:val="Heading1"/>
      </w:pPr>
      <w:bookmarkStart w:id="88" w:name="_Toc468311742"/>
      <w:r w:rsidRPr="003123C3">
        <w:lastRenderedPageBreak/>
        <w:t>Chapter 4</w:t>
      </w:r>
      <w:r w:rsidR="004C2C99">
        <w:t xml:space="preserve">: </w:t>
      </w:r>
      <w:r w:rsidR="00D34E8B" w:rsidRPr="003123C3">
        <w:t xml:space="preserve">Core metabolism rearrangements in the methanotroph </w:t>
      </w:r>
      <w:proofErr w:type="spellStart"/>
      <w:r w:rsidR="00D34E8B" w:rsidRPr="003123C3">
        <w:t>Methylomicrobium</w:t>
      </w:r>
      <w:proofErr w:type="spellEnd"/>
      <w:r w:rsidR="00D34E8B" w:rsidRPr="003123C3">
        <w:t xml:space="preserve"> buryatense 5GB1 grown on methanol</w:t>
      </w:r>
      <w:bookmarkEnd w:id="88"/>
    </w:p>
    <w:p w14:paraId="040F8E93" w14:textId="77777777" w:rsidR="008417A4" w:rsidRPr="003123C3" w:rsidRDefault="008417A4" w:rsidP="003123C3">
      <w:pPr>
        <w:pStyle w:val="Heading2"/>
      </w:pPr>
      <w:bookmarkStart w:id="89" w:name="header-c6"/>
      <w:bookmarkStart w:id="90" w:name="_Toc468311743"/>
      <w:bookmarkEnd w:id="89"/>
      <w:r w:rsidRPr="003123C3">
        <w:t>Abstract</w:t>
      </w:r>
      <w:bookmarkEnd w:id="90"/>
    </w:p>
    <w:p w14:paraId="63DD54FF" w14:textId="77777777" w:rsidR="008417A4" w:rsidRDefault="008417A4" w:rsidP="003123C3">
      <w:proofErr w:type="spellStart"/>
      <w:r>
        <w:rPr>
          <w:i/>
        </w:rPr>
        <w:t>Methylomicrobium</w:t>
      </w:r>
      <w:proofErr w:type="spellEnd"/>
      <w:r>
        <w:rPr>
          <w:i/>
        </w:rPr>
        <w:t xml:space="preserve"> buryatense</w:t>
      </w:r>
      <w:r>
        <w:t xml:space="preserve"> 5GB1 is an obligate </w:t>
      </w:r>
      <w:proofErr w:type="spellStart"/>
      <w:r>
        <w:t>methylotroph</w:t>
      </w:r>
      <w:proofErr w:type="spellEnd"/>
      <w:r>
        <w:t xml:space="preserve">, which can grow on either methane or methanol with similar growth rates. Although the basic understanding of </w:t>
      </w:r>
      <w:r w:rsidRPr="00C55C44">
        <w:rPr>
          <w:i/>
        </w:rPr>
        <w:t>M.</w:t>
      </w:r>
      <w:r>
        <w:t xml:space="preserve"> </w:t>
      </w:r>
      <w:r>
        <w:rPr>
          <w:i/>
        </w:rPr>
        <w:t>buryatense</w:t>
      </w:r>
      <w:r>
        <w:t xml:space="preserve"> 5GB1 metabolism under methane growth is moving forward rapidly, little is known about metabolic flux during growth on methanol. In this study, both targeted metabolomics as well as </w:t>
      </w:r>
      <w:r w:rsidRPr="0085384C">
        <w:rPr>
          <w:vertAlign w:val="superscript"/>
        </w:rPr>
        <w:t>13</w:t>
      </w:r>
      <w:r>
        <w:t xml:space="preserve">C tracer analysis have been undertaken to understand the core carbon metabolism in </w:t>
      </w:r>
      <w:r w:rsidRPr="00CF336B">
        <w:rPr>
          <w:i/>
        </w:rPr>
        <w:t>M.</w:t>
      </w:r>
      <w:r>
        <w:t xml:space="preserve"> </w:t>
      </w:r>
      <w:r>
        <w:rPr>
          <w:i/>
        </w:rPr>
        <w:t>buryatense</w:t>
      </w:r>
      <w:r>
        <w:t xml:space="preserve"> 5GB1 during methanol growth, to provide baseline metabolic performance characterization for future metabolic engineering procedures. Targeted metabolomics analysis were performed on both methane and methanol cultures to identify metabolic nodes with altered fluxes. Several key metabolites showed large differences in pool size. Notably, 2-keto-3-deoxy-6-phosphogluconate (KDPG) showed much larger pools under methanol growth, suggesting the </w:t>
      </w:r>
      <w:proofErr w:type="spellStart"/>
      <w:r>
        <w:t>Entner-Doudoroff</w:t>
      </w:r>
      <w:proofErr w:type="spellEnd"/>
      <w:r>
        <w:t xml:space="preserve"> (ED) pathway was active. Intermediates in other parts of metabolism also showed pool size changes under methanol growth. A systematic shift of active core metabolism is proposed to explain the pool changes. The ED Pathway was also manipulated by swapping the native promoter with a tunable promoter system to assess pool size changes correlated with pathway activity. In order to distinguish flux partition differences in the C3-C4 node, </w:t>
      </w:r>
      <w:r>
        <w:rPr>
          <w:vertAlign w:val="superscript"/>
        </w:rPr>
        <w:t>13</w:t>
      </w:r>
      <w:r>
        <w:t xml:space="preserve">C tracer analysis was also applied to methanol culture. These flux ratios were then incorporated into an FBA model for better prediction of global metabolism change. Taken together, these results show that the metabolism on methanol is substantially different from that on methane, with a shift towards flux through the ED pathway and serine cycle, and an incomplete TCA cycle balanced with increased flux through </w:t>
      </w:r>
      <w:proofErr w:type="spellStart"/>
      <w:r>
        <w:t>formate</w:t>
      </w:r>
      <w:proofErr w:type="spellEnd"/>
      <w:r>
        <w:t xml:space="preserve"> dehydrogenase.  </w:t>
      </w:r>
    </w:p>
    <w:p w14:paraId="3D12B24C" w14:textId="77777777" w:rsidR="008417A4" w:rsidRDefault="008417A4" w:rsidP="003123C3">
      <w:pPr>
        <w:pStyle w:val="Heading2"/>
      </w:pPr>
      <w:bookmarkStart w:id="91" w:name="header-c9"/>
      <w:bookmarkStart w:id="92" w:name="_Toc468311744"/>
      <w:bookmarkEnd w:id="91"/>
      <w:r>
        <w:t>Introduction</w:t>
      </w:r>
      <w:bookmarkEnd w:id="92"/>
    </w:p>
    <w:p w14:paraId="114EEA86" w14:textId="26BF276E" w:rsidR="008417A4" w:rsidRDefault="008417A4" w:rsidP="008226DB">
      <w:pPr>
        <w:rPr>
          <w:highlight w:val="yellow"/>
        </w:rPr>
      </w:pPr>
      <w:proofErr w:type="spellStart"/>
      <w:r>
        <w:rPr>
          <w:i/>
        </w:rPr>
        <w:t>Methylomicrobium</w:t>
      </w:r>
      <w:proofErr w:type="spellEnd"/>
      <w:r>
        <w:rPr>
          <w:i/>
        </w:rPr>
        <w:t xml:space="preserve"> buryatense</w:t>
      </w:r>
      <w:r>
        <w:t xml:space="preserve"> 5GB1 is an obligate type I methanotroph, which is an industrial-promising candidate for converting methane into valuable chemicals</w:t>
      </w:r>
      <w:r w:rsidRPr="007E757D">
        <w:t xml:space="preserve"> </w:t>
      </w:r>
      <w:r>
        <w:t>due to advantages of robust growth and high resistance to contamination</w:t>
      </w:r>
      <w:r>
        <w:fldChar w:fldCharType="begin" w:fldLock="1"/>
      </w:r>
      <w:r w:rsidR="008C0508">
        <w:instrText>ADDIN CSL_CITATION { "citationItems" : [ { "id" : "ITEM-1", "itemData" : { "DOI" : "10.1016/j.biotechadv.2014.03.011", "ISSN" : "1873-1899", "PMID" : "24726715", "abstract" : "Natural gas is a mixture of low molecular weight hydrocarbon gases that can be generated from either fossil or anthropogenic resources. Although natural gas is used as a transportation fuel, constraints in storage, relatively low energy content (MJ/L), and delivery have limited widespread adoption. Advanced utilization of natural gas has been explored for biofuel production by microorganisms. In recent years, the aerobic bioconversion of natural gas (or primarily the methane content of natural gas) into liquid fuels (Bio-GTL) by biocatalysts (methanotrophs) has gained increasing attention as a promising alternative for drop-in biofuel production. Methanotrophic bacteria are capable of converting methane into microbial lipids, which can in turn be converted into renewable diesel via a hydrotreating process. In this paper, biodiversity, catalytic properties and key enzymes and pathways of these microbes are summarized. Bioprocess technologies are discussed based upon existing literature, including cultivation conditions, fermentation modes, bioreactor design, and lipid extraction and upgrading. This review also outlines the potential of Bio-GTL using methane as an alternative carbon source as well as the major challenges and future research needs of microbial lipid accumulation derived from methane, key performance index, and techno-economic analysis. An analysis of raw material costs suggests that methane-derived diesel fuel has the potential to be competitive with petroleum-derived diesel.", "author" : [ { "dropping-particle" : "", "family" : "Fei", "given" : "Qiang", "non-dropping-particle" : "", "parse-names" : false, "suffix" : "" }, { "dropping-particle" : "", "family" : "Guarnieri", "given" : "Michael T", "non-dropping-particle" : "", "parse-names" : false, "suffix" : "" }, { "dropping-particle" : "", "family" : "Tao", "given" : "Ling", "non-dropping-particle" : "", "parse-names" : false, "suffix" : "" }, { "dropping-particle" : "", "family" : "Laurens", "given" : "Lieve M L", "non-dropping-particle" : "", "parse-names" : false, "suffix" : "" }, { "dropping-particle" : "", "family" : "Dowe", "given" : "Nancy", "non-dropping-particle" : "", "parse-names" : false, "suffix" : "" }, { "dropping-particle" : "", "family" : "Pienkos", "given" : "Philip T", "non-dropping-particle" : "", "parse-names" : false, "suffix" : "" } ], "container-title" : "Biotechnology advances", "id" : "ITEM-1", "issue" : "3", "issued" : { "date-parts" : [ [ "2014", "1" ] ] }, "page" : "596-614", "title" : "Bioconversion of natural gas to liquid fuel: opportunities and challenges.", "type" : "article-journal", "volume" : "32" }, "uris" : [ "http://www.mendeley.com/documents/?uuid=07a9e746-9dc8-40ee-9bb1-5d31e5752d9e" ] }, { "id" : "ITEM-2", "itemData" : { "DOI" : "10.1016/j.ymben.2015.03.010", "ISSN" : "1096-7184", "PMID" : "25825038", "abstract" : "Methane, as natural gas or biogas, is the least expensive source of carbon for (bio)chemical synthesis. Scalable biological upgrading of this simple alkane to chemicals and fuels can bring new sustainable solutions to a number of industries with large environmental footprints, such as natural gas/petroleum production, landfills, wastewater treatment, and livestock. Microbial biocatalysis with methane as a feedstock has been pursued off and on for almost a half century, with little enduring success. Today, biological engineering and systems biology provide new opportunities for metabolic system modulation and give new optimism to the concept of a methane-based bio-industry. Here we present an overview of the most recent advances pertaining to metabolic engineering of microbial methane utilization. Some ideas concerning metabolic improvements for production of acetyl-CoA and pyruvate, two main precursors for bioconversion, are presented. We also discuss main gaps in the current knowledge of aerobic methane utilization, which must be solved in order to release the full potential of methane-based biosystems.", "author" : [ { "dropping-particle" : "", "family" : "Kalyuzhnaya", "given" : "Marina", "non-dropping-particle" : "", "parse-names" : false, "suffix" : "" }, { "dropping-particle" : "", "family" : "Puri", "given" : "Aaron W", "non-dropping-particle" : "", "parse-names" : false, "suffix" : "" }, { "dropping-particle" : "", "family" : "Lidstrom", "given" : "Mary E", "non-dropping-particle" : "", "parse-names" : false, "suffix" : "" } ], "container-title" : "Metabolic engineering", "id" : "ITEM-2", "issued" : { "date-parts" : [ [ "2015", "3", "27" ] ] }, "page" : "142-52", "title" : "Metabolic engineering in methanotrophic bacteria.", "type" : "article-journal", "volume" : "29" }, "uris" : [ "http://www.mendeley.com/documents/?uuid=32e253e7-67d3-4c6d-aa02-acf8ada1ca28" ] }, { "id" : "ITEM-3", "itemData" : { "abstract" : "Methane is the second most abundant greenhouse gas (GHG), with nearly 60% of emissions derived from anthropogenic sources. Microbial conversion of methane to fuels and value-added chemicals offers a means to reduce GHG emissions, while also valorizing this otherwise squandered high-volume, high-energy gas. However, to date, advances in methane biocatalysis have been constrained by the low-productivity and limited genetic tractability of natural methane-consuming microbes. Here, leveraging recent identification of a novel, tractable methanotrophic bacterium, Methylomicrobium buryatense, we demonstrate microbial biocatalysis of methane to lactate, an industrial platform chemical. Heterologous overexpression of a Lactobacillus helveticus L-lactate dehydrogenase in M. buryatense resulted in an initial titer of 0.06\u2009g lactate/L from methane. Cultivation in a 5\u2009L continuously stirred tank bioreactor enabled production of 0.8\u2009g lactate/L, representing a 13-fold improvement compared to the initial titer. The yields (0.05\u2009g lactate/g methane) and productivity (0.008\u2009g lactate/L/h) indicate the need and opportunity for future strain improvement. Additionally, real-time analysis of methane utilization implicated gas-to-liquid transfer and/or microbial methane consumption as process limitations. This work opens the door to develop an array of methanotrophic bacterial strain-engineering strategies currently employed for biocatalytic sugar upgrading to \"green\" chemicals and fuels.",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"container-title" : "Scientific reports", "id" : "ITEM-3", "issue" : "February", "issued" : { "date-parts" : [ [ "2016" ] ] }, "page" : "21585", "publisher" : "Nature Publishing Group", "title" : "Bioconversion of methane to lactate by an obligate methanotrophic bacterium.", "type" : "article-journal", "volume" : "6" }, "uris" : [ "http://www.mendeley.com/documents/?uuid=09efe60c-74e0-4a55-b8eb-d5d063291229" ] } ], "mendeley" : { "formattedCitation" : "[60, 74, 78]", "plainTextFormattedCitation" : "[60, 74, 78]", "previouslyFormattedCitation" : "[60, 74, 78]" }, "properties" : { "noteIndex" : 0 }, "schema" : "https://github.com/citation-style-language/schema/raw/master/csl-citation.json" }</w:instrText>
      </w:r>
      <w:r>
        <w:fldChar w:fldCharType="separate"/>
      </w:r>
      <w:r w:rsidR="0005386F" w:rsidRPr="0005386F">
        <w:rPr>
          <w:noProof/>
        </w:rPr>
        <w:t>[60, 74, 78]</w:t>
      </w:r>
      <w:r>
        <w:fldChar w:fldCharType="end"/>
      </w:r>
      <w:r>
        <w:t xml:space="preserve">. The basic understanding of metabolism for </w:t>
      </w:r>
      <w:r w:rsidRPr="00CF336B">
        <w:rPr>
          <w:i/>
        </w:rPr>
        <w:t>M.</w:t>
      </w:r>
      <w:r>
        <w:t xml:space="preserve"> </w:t>
      </w:r>
      <w:r>
        <w:rPr>
          <w:i/>
        </w:rPr>
        <w:t>buryatense</w:t>
      </w:r>
      <w:r>
        <w:t xml:space="preserve"> 5GB1 </w:t>
      </w:r>
      <w:r>
        <w:lastRenderedPageBreak/>
        <w:t>growing on methane is moving forward rapidly</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"id" : "ITEM-2",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"ITEM-2",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"id" : "ITEM-3", "itemData" : { "DOI" : "10.1128/AEM.03795-14", "ISSN" : "0099-2240",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"ITEM-3", "issue" : "5", "issued" : { "date-parts" : [ [ "2015" ] ] }, "page" : "1775-1781", "title" : "Genetic Tools for the Industrially Promising Methanotroph Methylomicrobium buryatense", "type" : "article-journal", "volume" : "81" }, "uris" : [ "http://www.mendeley.com/documents/?uuid=3ec90cf2-f7f5-425d-80b6-7c4814db6c3c" ] }, { "id" : "ITEM-4", "itemData" : { "DOI" : "10.1128/JB.00959-15", "ISSN" : "1098-5530", "PMID" : "26858104", "abstract" : "UNLABELLED Many methylotrophic taxa harbor two distinct methanol dehydrogenase (MDH) systems for oxidizing methanol to formaldehyde: the well-studied calcium-dependent MxaFI type and the more recently discovered lanthanide-containing XoxF type. MxaFI has traditionally been accepted as the major functional MDH in bacteria that contain both enzymes. However, in this study, we present evidence that, in a type I methanotroph, Methylomicrobium buryatense, XoxF is likely the primary functional MDH in the environment. The addition of lanthanides increases xoxF expression and greatly reduces mxa expression, even under conditions in which calcium concentrations are almost 100-fold higher than lanthanide concentrations. Mutations in genes encoding the MDH enzymes validate our finding that XoxF is the major functional MDH, as XoxF mutants grow more poorly than MxaFI mutants under unfavorable culturing conditions. In addition, mutant and transcriptional analyses demonstrate that the lanthanide-dependent MDH switch operating in methanotrophs is mediated in part by the orphan response regulator MxaB, whose gene transcription is itself lanthanide responsive. IMPORTANCE Aerobic methanotrophs, bacteria that oxidize methane for carbon and energy, require a methanol dehydrogenase enzyme to convert methanol into formaldehyde. The calcium-dependent enzyme MxaFI has been thought to primarily carry out methanol oxidation in methanotrophs. Recently, it was discovered that XoxF, a lanthanide-containing enzyme present in most methanotrophs, can also oxidize methanol. In a methanotroph with both MxaFI and XoxF, we demonstrate that lanthanides transcriptionally control genes encoding the two methanol dehydrogenases, in part by controlling expression of the response regulator MxaB. Lanthanides are abundant in the Earth's crust, and we demonstrate that micromolar amounts of lanthanides are sufficient to suppress MxaFI expression. Thus, we present evidence that XoxF acts as the predominant methanol dehydrogenase in a methanotroph.", "author" : [ { "dropping-particle" : "", "family" : "Chu", "given" : "Frances", "non-dropping-particle" : "", "parse-names" : false, "suffix" : "" }, { "dropping-particle" : "", "family" : "Lidstrom", "given" : "Mary E", "non-dropping-particle" : "", "parse-names" : false, "suffix" : "" } ], "container-title" : "Journal of bacteriology", "id" : "ITEM-4", "issue" : "8", "issued" : { "date-parts" : [ [ "2016", "4" ] ] }, "page" : "1317-25", "title" : "XoxF Acts as the Predominant Methanol Dehydrogenase in the Type I Methanotroph Methylomicrobium buryatense.", "type" : "article-journal", "volume" : "198" }, "uris" : [ "http://www.mendeley.com/documents/?uuid=6c12090f-3f9a-38d8-8c63-b21e356f3101" ] } ], "mendeley" : { "formattedCitation" : "[27, 64, 68, 79]", "plainTextFormattedCitation" : "[27, 64, 68, 79]", "previouslyFormattedCitation" : "[27, 64, 68, 79]" }, "properties" : { "noteIndex" : 0 }, "schema" : "https://github.com/citation-style-language/schema/raw/master/csl-citation.json" }</w:instrText>
      </w:r>
      <w:r>
        <w:fldChar w:fldCharType="separate"/>
      </w:r>
      <w:r w:rsidR="0005386F" w:rsidRPr="0005386F">
        <w:rPr>
          <w:noProof/>
        </w:rPr>
        <w:t>[27, 64, 68, 79]</w:t>
      </w:r>
      <w:r>
        <w:fldChar w:fldCharType="end"/>
      </w:r>
      <w:r>
        <w:t xml:space="preserve">. This obligate </w:t>
      </w:r>
      <w:proofErr w:type="spellStart"/>
      <w:r>
        <w:t>methylotroph</w:t>
      </w:r>
      <w:proofErr w:type="spellEnd"/>
      <w:r>
        <w:t xml:space="preserve"> can also grow on methanol with a growth rate similar to that on methane</w:t>
      </w:r>
      <w:r w:rsidRPr="00C55C44">
        <w:rPr>
          <w:vertAlign w:val="superscript"/>
        </w:rPr>
        <w:t>4</w:t>
      </w:r>
      <w:r>
        <w:t xml:space="preserve">. The expanded scope of usable substrates for </w:t>
      </w:r>
      <w:r w:rsidRPr="00CF336B">
        <w:rPr>
          <w:i/>
        </w:rPr>
        <w:t>M.</w:t>
      </w:r>
      <w:r>
        <w:t xml:space="preserve"> </w:t>
      </w:r>
      <w:r>
        <w:rPr>
          <w:i/>
        </w:rPr>
        <w:t>buryatense</w:t>
      </w:r>
      <w:r>
        <w:t xml:space="preserve"> 5GB1 provides more opportunities for metabolic engineering this strain with C1 substrates compared to many </w:t>
      </w:r>
      <w:proofErr w:type="spellStart"/>
      <w:r>
        <w:t>methanotrophs</w:t>
      </w:r>
      <w:proofErr w:type="spellEnd"/>
      <w:r>
        <w:t>, which grow poorly if at all on methanol. Similarly to methane-based biotechnology, methanol-based biotechnology is also an exciting and fast-moving area</w:t>
      </w:r>
      <w:r>
        <w:fldChar w:fldCharType="begin" w:fldLock="1"/>
      </w:r>
      <w:r w:rsidR="00AF0B7D">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"id" : "ITEM-2", "itemData" : { "DOI" : "10.1016/j.tibtech.2008.10.009", "ISSN" : "0167-7799", "PMID" : "19111927", "abstract" : "Methanol is one of the building blocks in the chemical industry and can be synthesized either from petrochemical or renewable resources, such as biogas. Bioprocess technology with methylotrophic bacteria is well established, as illustrated by large-scale single-cell protein production in the past. During recent years, the first genomes of methylotrophs have been sequenced and significant progress in elucidating their metabolism has been made. In addition, the tool set for genetic engineering of methylotrophic bacteria has expanded greatly and strategies to produce fine and bulk chemicals with methylotrophs have been described. This review highlights the potential of these bacteria for the development of economically competitive bioprocesses based on methanol as an alternative carbon source, bringing together biological, technical and economic considerations.", "author" : [ { "dropping-particle" : "", "family" : "Schrader", "given" : "Jens", "non-dropping-particle" : "", "parse-names" : false, "suffix" : "" }, { "dropping-particle" : "", "family" : "Schilling", "given" : "Martin", "non-dropping-particle" : "", "parse-names" : false, "suffix" : "" }, { "dropping-particle" : "", "family" : "Holtmann", "given" : "Dirk", "non-dropping-particle" : "", "parse-names" : false, "suffix" : "" }, { "dropping-particle" : "", "family" : "Sell", "given" : "Dieter", "non-dropping-particle" : "", "parse-names" : false, "suffix" : "" }, { "dropping-particle" : "", "family" : "Filho", "given" : "Murillo Villela", "non-dropping-particle" : "", "parse-names" : false, "suffix" : "" }, { "dropping-particle" : "", "family" : "Marx", "given" : "Achim", "non-dropping-particle" : "", "parse-names" : false, "suffix" : "" }, { "dropping-particle" : "", "family" : "Vorholt", "given" : "Julia a", "non-dropping-particle" : "", "parse-names" : false, "suffix" : "" } ], "container-title" : "Trends in biotechnology", "id" : "ITEM-2", "issue" : "2", "issued" : { "date-parts" : [ [ "2009", "2" ] ] }, "page" : "107-15", "title" : "Methanol-based industrial biotechnology: current status and future perspectives of methylotrophic bacteria.", "type" : "article-journal", "volume" : "27" }, "uris" : [ "http://www.mendeley.com/documents/?uuid=7bb97132-a13e-45a3-9454-6a6db4eb7ddf" ] } ], "mendeley" : { "formattedCitation" : "[14, 23]", "plainTextFormattedCitation" : "[14, 23]", "previouslyFormattedCitation" : "[14, 23]" }, "properties" : { "noteIndex" : 0 }, "schema" : "https://github.com/citation-style-language/schema/raw/master/csl-citation.json" }</w:instrText>
      </w:r>
      <w:r>
        <w:fldChar w:fldCharType="separate"/>
      </w:r>
      <w:r w:rsidR="00300EB6" w:rsidRPr="00300EB6">
        <w:rPr>
          <w:noProof/>
        </w:rPr>
        <w:t>[14, 23]</w:t>
      </w:r>
      <w:r>
        <w:fldChar w:fldCharType="end"/>
      </w:r>
      <w:r>
        <w:t xml:space="preserve">. </w:t>
      </w:r>
      <w:r w:rsidRPr="005D066E">
        <w:t xml:space="preserve">Currently, in methanol-based biotechnology, several categories of </w:t>
      </w:r>
      <w:proofErr w:type="spellStart"/>
      <w:r w:rsidRPr="005D066E">
        <w:t>methylotrophs</w:t>
      </w:r>
      <w:proofErr w:type="spellEnd"/>
      <w:r w:rsidRPr="005D066E">
        <w:t xml:space="preserve"> are used as model organism</w:t>
      </w:r>
      <w:r>
        <w:t>s</w:t>
      </w:r>
      <w:r w:rsidRPr="005D066E">
        <w:t xml:space="preserve">. </w:t>
      </w:r>
      <w:r>
        <w:t>One example is</w:t>
      </w:r>
      <w:r w:rsidRPr="005D066E">
        <w:t xml:space="preserve"> </w:t>
      </w:r>
      <w:r w:rsidRPr="008F3502">
        <w:rPr>
          <w:i/>
        </w:rPr>
        <w:t xml:space="preserve">Methylobacterium </w:t>
      </w:r>
      <w:proofErr w:type="spellStart"/>
      <w:r w:rsidRPr="008F3502">
        <w:rPr>
          <w:i/>
        </w:rPr>
        <w:t>extorquens</w:t>
      </w:r>
      <w:proofErr w:type="spellEnd"/>
      <w:r w:rsidRPr="005D066E">
        <w:t xml:space="preserve"> AM1</w:t>
      </w:r>
      <w:r w:rsidRPr="005D066E">
        <w:fldChar w:fldCharType="begin" w:fldLock="1"/>
      </w:r>
      <w:r w:rsidR="00AF0B7D">
        <w:instrText>ADDIN CSL_CITATION { "citationItems" : [ { "id" : "ITEM-1", "itemData" : { "DOI" : "10.1186/s13068-014-0156-0", "ISSN" : "1754-6834", "PMID" : "25349627", "abstract" : "BACKGROUND: Butanol is a promising next generation fuel and a bulk chemical precursor. Although clostridia are the primary industrial microbes for the fermentative production of 1-butanol, alternative engineered hosts have the potential to generate 1-butanol from alternative carbon feedstocks via synthetic metabolic pathways. Methylobacterium extorquens AM1, a facultative methylotrophic \u03b1-proteobacterium, is a model system for assessing the possibility of generating products such as 1-butanol from one-carbon and two-carbon feedstocks. Moreover, the core methylotrophic pathways in M. extorquens AM1 involve unusual coenzyme A (CoA)-derivative metabolites, such as crotonyl-CoA, which is a precursor for the production of 1-butanol.\n\nRESULTS: In this work, we engineered a modified CoA-dependent pathway in Methylobacterium extorquens AM1 to produce 1-butanol. Engineered strains displayed different 1-butanol titers using ethylamine as a substrate. A strain overexpressing Treponema denticola trans-enoyl-CoA reductase, Clostridium acetobutylicum alcohol dehydrogenase, and native crotonase was able to generate the highest 1-butanol titer (15.2\u00a0mg\u00a0l(-1)). In vitro isotopic tracing of metabolic flux and in vivo metabolite analysis showed the accumulation of butyryl-CoA, demonstrating the functionality of the synthetic pathway and identifying targets for future improvement.\n\nCONCLUSIONS: We demonstrated the feasibility of using metabolic intermediates of the ethylmalonyl-CoA pathway in M. extorquens AM1 to generate value-added chemicals, with 1-butanol as the test case. This will not only establish the biotechnological potential of the ethylmalonyl-CoA pathway, but will also introduce M. extorquens AM1 as a potential platform to produce value-added chemicals.", "author" : [ { "dropping-particle" : "", "family" : "Hu", "given" : "Bo", "non-dropping-particle" : "", "parse-names" : false, "suffix" : "" }, { "dropping-particle" : "", "family" : "Lidstrom", "given" : "Mary E", "non-dropping-particle" : "", "parse-names" : false, "suffix" : "" } ], "container-title" : "Biotechnology for biofuels", "id" : "ITEM-1", "issue" : "1", "issued" : { "date-parts" : [ [ "2014", "1" ] ] }, "page" : "156", "title" : "Metabolic engineering of Methylobacterium extorquens AM1 for 1-butanol production.", "type" : "article-journal", "volume" : "7" }, "uris" : [ "http://www.mendeley.com/documents/?uuid=ffb56c5a-c4ef-48a9-ba55-8e9e728006fd" ] } ], "mendeley" : { "formattedCitation" : "[23]", "plainTextFormattedCitation" : "[23]", "previouslyFormattedCitation" : "[23]" }, "properties" : { "noteIndex" : 0 }, "schema" : "https://github.com/citation-style-language/schema/raw/master/csl-citation.json" }</w:instrText>
      </w:r>
      <w:r w:rsidRPr="005D066E">
        <w:fldChar w:fldCharType="separate"/>
      </w:r>
      <w:r w:rsidR="00300EB6" w:rsidRPr="00300EB6">
        <w:rPr>
          <w:noProof/>
        </w:rPr>
        <w:t>[23]</w:t>
      </w:r>
      <w:r w:rsidRPr="005D066E">
        <w:fldChar w:fldCharType="end"/>
      </w:r>
      <w:r w:rsidRPr="005D066E">
        <w:t xml:space="preserve">, which use </w:t>
      </w:r>
      <w:r>
        <w:t xml:space="preserve">the </w:t>
      </w:r>
      <w:r w:rsidRPr="005D066E">
        <w:t>serine cycle as the assimilation pathway for C1 unit</w:t>
      </w:r>
      <w:r>
        <w:t>s</w:t>
      </w:r>
      <w:r w:rsidRPr="005D066E">
        <w:t xml:space="preserve">. This model organism </w:t>
      </w:r>
      <w:r>
        <w:t>has been</w:t>
      </w:r>
      <w:r w:rsidRPr="005D066E">
        <w:t xml:space="preserve"> thoroughly explored using both metabolomics </w:t>
      </w:r>
      <w:r>
        <w:t xml:space="preserve">and </w:t>
      </w:r>
      <w:r w:rsidRPr="005D066E">
        <w:t xml:space="preserve">metabolic flux </w:t>
      </w:r>
      <w:r>
        <w:t>analysis</w:t>
      </w:r>
      <w:r>
        <w:fldChar w:fldCharType="begin" w:fldLock="1"/>
      </w:r>
      <w:r w:rsidR="008C0508">
        <w:instrText>ADDIN CSL_CITATION { "citationItems" : [ { "id" : "ITEM-1", "itemData" : { "DOI" : "10.1073/pnas.0810932106", "ISSN" : "1091-6490", "PMID" : "19261854", "abstract" : "The assimilation of one-carbon (C1) compounds, such as methanol, by serine cycle methylotrophs requires the continuous regeneration of glyoxylate. Instead of the glyoxylate cycle, this process is achieved by a not yet established pathway where CoA thioesters are known to play a key role. We applied state-of-the-art metabolomics and (13)C metabolomics strategies to demonstrate how glyoxylate is generated during methylotrophic growth in the isocitrate lyase-negative methylotroph Methylobacterium extorquens AM1. High-resolution mass spectrometry showed the presence of CoA thioesters specific to the recently proposed ethylmalonyl-CoA pathway. The operation of this pathway was demonstrated by short-term (13)C-labeling experiments, which allowed determination of the sequence of reactions from the order of label incorporation into the different CoA derivatives. Analysis of (13)C positional enrichment in glycine by NMR was consistent with the predicted labeling pattern as a result of the operation of the ethylmalonyl-CoA pathway and the unique operation of the latter for glyoxylate generation during growth on methanol. The results also revealed that 2 molecules of glyoxylate were regenerated in this process. This work provides a complete pathway for methanol assimilation in the model methylotroph M. extorquens AM1 and represents an important step toward the determination of the overall topology of its metabolic network. The operation of the ethylmalonyl-CoA pathway in M. extorquens AM1 has major implications for the physiology of these methylotrophs and their role in nature, and it also provides a common ground for C1 and C2 compound assimilation in isocitrate lyase-negative bacteria.", "author"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"Massou", "given" : "Stephane", "non-dropping-particle" : "", "parse-names" : false, "suffix" : "" }, { "dropping-particle" : "", "family" : "Portais", "given" : "Jean-Charles", "non-dropping-particle" : "", "parse-names" : false, "suffix" : "" }, { "dropping-particle" : "", "family" : "Vorholt", "given" : "Julia a", "non-dropping-particle" : "", "parse-names" : false, "suffix" : "" } ], "container-title" : "Proceedings of the National Academy of Sciences of the United States of America", "id" : "ITEM-1", "issue" : "12", "issued" : { "date-parts" : [ [ "2009", "3", "24" ] ] }, "page" : "4846-51", "title" : "Demonstration of the ethylmalonyl-CoA pathway by using 13C metabolomics.", "type" : "article-journal", "volume" : "106" }, "uris" : [ "http://www.mendeley.com/documents/?uuid=94ea79c5-5994-4cb3-9cb0-5cbb87561931" ] }, { "id" : "ITEM-2", "itemData" : { "DOI" : "10.1074/jbc.M111.305219", "ISSN" : "1083-351X", "PMID" : "22105076", "abstract" : "Acetyl-CoA assimilation was extensively studied in organisms harboring the glyoxylate cycle. In this study, we analyzed the metabolism of the facultative methylotroph Methylobacterium extorquens AM1, which lacks isocitrate lyase, the key enzyme in the glyoxylate cycle, during growth on acetate. MS/MS-based proteomic analysis revealed that the protein repertoire of M. extorquens AM1 grown on acetate is similar to that of cells grown on methanol and includes enzymes of the ethylmalonyl-CoA (EMC) pathway that were recently shown to operate during growth on methanol. Dynamic 13C labeling experiments indicate the presence of distinct entry points for acetate: the EMC pathway and the TCA cycle. 13C steady-state metabolic flux analysis showed that oxidation of acetyl-CoA occurs predominantly via the TCA cycle and that assimilation occurs via the EMC pathway. Furthermore, acetyl-CoA condenses with the EMC pathway product glyoxylate, resulting in malate formation. The latter, also formed by the TCA cycle, is converted to phosphoglycerate by a reaction sequence that is reversed with respect to the serine cycle. Thus, the results obtained in this study reveal the utilization of common pathways during the growth of M. extorquens AM1 on C1 and C2 compounds, but with a major redirection of flux within the central metabolism. Furthermore, our results indicate that the metabolic flux distribution is highly complex in this model methylotroph during growth on acetate and is fundamentally different from organisms using the glyoxylate cycle.", "author" : [ { "dropping-particle" : "", "family" : "Schneider", "given" : "Kathrin", "non-dropping-particle" : "", "parse-names" : false, "suffix" : "" }, { "dropping-particle" : "", "family" : "Peyraud", "given" : "R\u00e9mi", "non-dropping-particle" : "", "parse-names" : false, "suffix" : "" }, { "dropping-particle" : "", "family" : "Kiefer", "given" : "Patrick", "non-dropping-particle" : "", "parse-names" : false, "suffix" : "" }, { "dropping-particle" : "", "family" : "Christen", "given" : "Philipp", "non-dropping-particle" : "", "parse-names" : false, "suffix" : "" }, { "dropping-particle" : "", "family" : "Delmotte", "given" : "Nathana\u00ebl", "non-dropping-particle" : "", "parse-names" : false, "suffix" : "" }, { "dropping-particle" : "", "family" : "Massou", "given" : "St\u00e9phane", "non-dropping-particle" : "", "parse-names" : false, "suffix" : "" }, { "dropping-particle" : "", "family" : "Portais", "given" : "Jean-Charles", "non-dropping-particle" : "", "parse-names" : false, "suffix" : "" }, { "dropping-particle" : "", "family" : "Vorholt", "given" : "Julia a", "non-dropping-particle" : "", "parse-names" : false, "suffix" : "" } ], "container-title" : "The Journal of biological chemistry", "id" : "ITEM-2", "issue" : "1", "issued" : { "date-parts" : [ [ "2012", "1", "2" ] ] }, "page" : "757-66", "title" : "The ethylmalonyl-CoA pathway is used in place of the glyoxylate cycle by Methylobacterium extorquens AM1 during growth on acetate.", "type" : "article-journal", "volume" : "287" }, "uris" : [ "http://www.mendeley.com/documents/?uuid=559f8cd2-f9e1-44dc-8a4c-326efd26b025" ] }, { "id" : "ITEM-3", "itemData" : { "DOI" : "10.1186/1752-0509-5-189", "ISSN" : "1752-0509", "PMID" : "22074569", "abstract" : "Methylotrophic microorganisms are playing a key role in biogeochemical processes - especially the global carbon cycle - and have gained interest for biotechnological purposes. Significant progress was made in the recent years in the biochemistry, genetics, genomics, and physiology of methylotrophic bacteria, showing that methylotrophy is much more widespread and versatile than initially assumed. Despite such progress, system-level description of the methylotrophic metabolism is currently lacking, and much remains to understand regarding the network-scale organization and properties of methylotrophy, and how the methylotrophic capacity emerges from this organization, especially in facultative organisms.", "author" : [ { "dropping-particle" : "", "family" : "Peyraud", "given" : "R\u00e9mi", "non-dropping-particle" : "", "parse-names" : false, "suffix" : "" }, { "dropping-particle" : "", "family" : "Schneider", "given" : "Kathrin", "non-dropping-particle" : "", "parse-names" : false, "suffix" : "" }, { "dropping-particle" : "", "family" : "Kiefer", "given" : "Patrick", "non-dropping-particle" : "", "parse-names" : false, "suffix" : "" }, { "dropping-particle" : "", "family" : "Massou", "given" : "St\u00e9phane", "non-dropping-particle" : "", "parse-names" : false, "suffix" : "" }, { "dropping-particle" : "", "family" : "Vorholt", "given" : "Julia A", "non-dropping-particle" : "", "parse-names" : false, "suffix" : "" }, { "dropping-particle" : "", "family" : "Portais", "given" : "Jean-Charles", "non-dropping-particle" : "", "parse-names" : false, "suffix" : "" } ], "container-title" : "BMC systems biology", "id" : "ITEM-3", "issue" : "1", "issued" : { "date-parts" : [ [ "2011", "1" ] ] }, "page" : "189", "title" : "Genome-scale reconstruction and system level investigation of the metabolic network of Methylobacterium extorquens AM1.", "type" : "article-journal", "volume" : "5" }, "uris" : [ "http://www.mendeley.com/documents/?uuid=11fd08f7-139e-4b0b-b715-15f57c4729d0" ] } ], "mendeley" : { "formattedCitation" : "[16, 44, 80]", "plainTextFormattedCitation" : "[16, 44, 80]", "previouslyFormattedCitation" : "[16, 44, 80]" }, "properties" : { "noteIndex" : 0 }, "schema" : "https://github.com/citation-style-language/schema/raw/master/csl-citation.json" }</w:instrText>
      </w:r>
      <w:r>
        <w:fldChar w:fldCharType="separate"/>
      </w:r>
      <w:r w:rsidR="0005386F" w:rsidRPr="0005386F">
        <w:rPr>
          <w:noProof/>
        </w:rPr>
        <w:t>[16, 44, 80]</w:t>
      </w:r>
      <w:r>
        <w:fldChar w:fldCharType="end"/>
      </w:r>
      <w:r w:rsidRPr="005D066E">
        <w:t>.</w:t>
      </w:r>
      <w:r>
        <w:t xml:space="preserve"> In the category of </w:t>
      </w:r>
      <w:proofErr w:type="spellStart"/>
      <w:r w:rsidRPr="005D066E">
        <w:t>methylotrophs</w:t>
      </w:r>
      <w:proofErr w:type="spellEnd"/>
      <w:r w:rsidRPr="005D066E">
        <w:t xml:space="preserve"> with </w:t>
      </w:r>
      <w:r>
        <w:t>the ribulose monophosphate (</w:t>
      </w:r>
      <w:proofErr w:type="spellStart"/>
      <w:r w:rsidRPr="005D066E">
        <w:t>RuMP</w:t>
      </w:r>
      <w:proofErr w:type="spellEnd"/>
      <w:r>
        <w:t>)</w:t>
      </w:r>
      <w:r w:rsidRPr="005D066E">
        <w:t xml:space="preserve"> cycle for formaldehyde assimilation, </w:t>
      </w:r>
      <w:r>
        <w:rPr>
          <w:i/>
        </w:rPr>
        <w:t>Bacillus m</w:t>
      </w:r>
      <w:r w:rsidRPr="00910A27">
        <w:rPr>
          <w:i/>
        </w:rPr>
        <w:t>ethanolicus</w:t>
      </w:r>
      <w:r>
        <w:t xml:space="preserve"> MGA3 is facultative </w:t>
      </w:r>
      <w:proofErr w:type="spellStart"/>
      <w:r>
        <w:t>methylotroph</w:t>
      </w:r>
      <w:proofErr w:type="spellEnd"/>
      <w:r>
        <w:t xml:space="preserve"> </w:t>
      </w:r>
      <w:r w:rsidRPr="005D066E">
        <w:t xml:space="preserve">with core metabolism </w:t>
      </w:r>
      <w:r>
        <w:t>that has been well-</w:t>
      </w:r>
      <w:r w:rsidRPr="005D066E">
        <w:t>investigated</w:t>
      </w:r>
      <w:r>
        <w:fldChar w:fldCharType="begin" w:fldLock="1"/>
      </w:r>
      <w:r w:rsidR="008C0508">
        <w:instrText>ADDIN CSL_CITATION { "citationItems" : [ { "id" : "ITEM-1", "itemData" : { "ISSN" : "0099-2240", "PMID" : "2111119", "abstract" : "The amino acid L-lysine was produced from homoserine auxotrophic and S-(2-aminoethyl)-L-cysteine-resistant mutants of a newly isolated gram-positive methylotrophic bacterium, capable of growth on methanol at 60 degrees C. The temperature optimum for growth was between 50 and 53 degrees C. These aerobic, gram-positive, endospore-forming, rod-shaped bacteria required biotin and vitamin B12 for growth. Extracts of the bacteria grown on methanol lacked hydroxypyruvate reductase and contained hexulose 6-phosphate synthase activity. Therefore, these bacteria were considered to be type I methylotrophic bacteria of the genus Bacillus. Fed-batch fermentations resulted in cell densities of 50 g of cell dry weight per liter. Biomass yields on carbon, nitrogen, phosphate, and sulfate were determined. Generation of homoserine auxotrophic and amino acid analog-resistant mutants resulted in L-lysine concentrations of nearly 20 g/liter in fed-batch fermentations.", "author" : [ { "dropping-particle" : "", "family" : "Schendel", "given" : "F J", "non-dropping-particle" : "", "parse-names" : false, "suffix" : "" }, { "dropping-particle" : "", "family" : "Bremmon", "given" : "C E", "non-dropping-particle" : "", "parse-names" : false, "suffix" : "" }, { "dropping-particle" : "", "family" : "Flickinger", "given" : "M C", "non-dropping-particle" : "", "parse-names" : false, "suffix" : "" }, { "dropping-particle" : "", "family" : "Guettler", "given" : "M", "non-dropping-particle" : "", "parse-names" : false, "suffix" : "" }, { "dropping-particle" : "", "family" : "Hanson", "given" : "R S", "non-dropping-particle" : "", "parse-names" : false, "suffix" : "" } ], "container-title" : "Applied and environmental microbiology", "id" : "ITEM-1", "issue" : "4", "issued" : { "date-parts" : [ [ "1990", "4" ] ] }, "page" : "963-70", "publisher" : "American Society for Microbiology (ASM)", "title" : "L-lysine production at 50 degrees C by mutants of a newly isolated and characterized methylotrophic Bacillus sp.", "type" : "article-journal", "volume" : "56" }, "uris" : [ "http://www.mendeley.com/documents/?uuid=fa87397c-11be-3620-b964-b12ef1aa32a1" ] }, { "id" : "ITEM-2", "itemData" : { "DOI" : "10.1111/mmi.13200", "ISSN" : "1365-2958", "PMID" : "26303953", "abstract" : "Bacillus methanolicus MGA3 is a model facultative methylotroph of interest for fundamental research and biotechnological applications. Previous research uncovered a number of pathways potentially involved in one-carbon substrate utilization. Here, we applied dynamic (13) C labeling to elucidate which of these pathways operate during growth on methanol and to uncover potentially new ones. B. methanolicus MGA3 uses the assimilatory and dissimilatory ribulose monophosphate (RuMP) cycles for conversion of the central but toxic intermediate formaldehyde. Additionally, the operation of two cofactor-dependent formaldehyde oxidation pathways with distinct roles was revealed. One is dependent on tri- and tetraglutamylated tetrahydrofolate (THF) and is involved in formaldehyde oxidation during growth on methanol. A second pathway was discovered that is dependent on bacillithiol, a thiol cofactor present also in other Bacilli where it is known to function in redox-homeostasis. We show that bacillithiol-dependent formaldehyde oxidation is activated upon an upshift in formaldehyde induced by a substrate switch from mannitol to methanol. The genes and the corresponding enzymes involved in the biosynthesis of bacillithiol were identified by heterologous production of bacillithiol in Escherichia coli. The presented results indicate metabolic plasticity of the methylotroph allowing acclimation to fluctuating intracellular formaldehyde concentrations.", "author" : [ { "dropping-particle" : "", "family" : "M\u00fcller", "given" : "Jonas E N", "non-dropping-particle" : "", "parse-names" : false, "suffix" : "" }, { "dropping-particle" : "", "family" : "Meyer", "given" : "Fabian", "non-dropping-particle" : "", "parse-names" : false, "suffix" : "" }, { "dropping-particle" : "", "family" : "Litsanov", "given" : "Boris", "non-dropping-particle" : "", "parse-names" : false, "suffix" : "" }, { "dropping-particle" : "", "family" : "Kiefer", "given" : "Patrick", "non-dropping-particle" : "", "parse-names" : false, "suffix" : "" }, { "dropping-particle" : "", "family" : "Vorholt", "given" : "Julia A", "non-dropping-particle" : "", "parse-names" : false, "suffix" : "" } ], "container-title" : "Molecular microbiology", "id" : "ITEM-2", "issue" : "6", "issued" : { "date-parts" : [ [ "2015", "12" ] ] }, "page" : "1089-100", "title" : "Core pathways operating during methylotrophy of Bacillus methanolicus MGA3 and induction of a bacillithiol-dependent detoxification pathway upon formaldehyde stress.", "type" : "article-journal", "volume" : "98" }, "uris" : [ "http://www.mendeley.com/documents/?uuid=48d3f41e-37ee-48e7-a423-7f23d0c345c9" ] } ], "mendeley" : { "formattedCitation" : "[81, 82]", "plainTextFormattedCitation" : "[81, 82]", "previouslyFormattedCitation" : "[81, 82]" }, "properties" : { "noteIndex" : 0 }, "schema" : "https://github.com/citation-style-language/schema/raw/master/csl-citation.json" }</w:instrText>
      </w:r>
      <w:r>
        <w:fldChar w:fldCharType="separate"/>
      </w:r>
      <w:r w:rsidR="0005386F" w:rsidRPr="0005386F">
        <w:rPr>
          <w:noProof/>
        </w:rPr>
        <w:t>[81, 82]</w:t>
      </w:r>
      <w:r>
        <w:fldChar w:fldCharType="end"/>
      </w:r>
      <w:r w:rsidRPr="005D066E">
        <w:t>.</w:t>
      </w:r>
    </w:p>
    <w:p w14:paraId="1B87D326" w14:textId="694D9D7D" w:rsidR="008417A4" w:rsidRPr="00FC7802" w:rsidRDefault="008417A4" w:rsidP="008226DB">
      <w:r>
        <w:t xml:space="preserve">A full suite of genetic manipulation techniques </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"id" : "ITEM-2", "itemData" : { "DOI" : "10.1128/AEM.03795-14", "ISSN" : "1098-5336", "PMID" : "25548049", "abstract" : "Aerobic methanotrophs oxidize methane at ambient temperatures and pressures and are therefore attractive systems for methane-based bioconversions. In this work, we developed and validated genetic tools for Methylomicrobium buryatense, a haloalkaliphilic gammaproteobacterial (type I) methanotroph. M. buryatense was isolated directly on natural gas and grows robustly in pure culture with a 3-h doubling time, enabling rapid genetic manipulation compared to many other methanotrophic species. As a proof of concept, we used a sucrose counterselection system to eliminate glycogen production in M. buryatense by constructing unmarked deletions in two redundant glycogen synthase genes. We also selected for a more genetically tractable variant strain that can be conjugated with small incompatibility group P (IncP)-based broad-host-range vectors and determined that this capability is due to loss of the native plasmid. These tools make M. buryatense a promising model system for studying aerobic methanotroph physiology and enable metabolic engineering in this bacterium for industrial biocatalysis of methane.", "author" : [ { "dropping-particle" : "", "family" : "Puri", "given" : "Aaron W", "non-dropping-particle" : "", "parse-names" : false, "suffix" : "" }, { "dropping-particle" : "", "family" : "Owen", "given" : "Sarah", "non-dropping-particle" : "", "parse-names" : false, "suffix" : "" }, { "dropping-particle" : "", "family" : "Chu", "given" : "Frances", "non-dropping-particle" : "", "parse-names" : false, "suffix" : "" }, { "dropping-particle" : "", "family" : "Chavkin", "given" : "Ted", "non-dropping-particle" : "", "parse-names" : false, "suffix" : "" }, { "dropping-particle" : "", "family" : "Beck", "given" : "David A C", "non-dropping-particle" : "", "parse-names" : false, "suffix" : "" }, { "dropping-particle" : "", "family" : "Kalyuzhnaya", "given" : "Marina G", "non-dropping-particle" : "", "parse-names" : false, "suffix" : "" }, { "dropping-particle" : "", "family" : "Lidstrom", "given" : "Mary E", "non-dropping-particle" : "", "parse-names" : false, "suffix" : "" } ], "container-title" : "Applied and environmental microbiology", "id" : "ITEM-2", "issue" : "5", "issued" : { "date-parts" : [ [ "2015", "3", "1" ] ] }, "page" : "1775-81", "title" : "Genetic tools for the industrially promising methanotroph Methylomicrobium buryatense.", "type" : "article-journal", "volume" : "81" }, "uris" : [ "http://www.mendeley.com/documents/?uuid=4453a7f7-d5a0-4c60-bc30-e84b22a6f12b" ] } ], "mendeley" : { "formattedCitation" : "[62, 63]", "plainTextFormattedCitation" : "[62, 63]", "previouslyFormattedCitation" : "[62, 63]" }, "properties" : { "noteIndex" : 0 }, "schema" : "https://github.com/citation-style-language/schema/raw/master/csl-citation.json" }</w:instrText>
      </w:r>
      <w:r>
        <w:fldChar w:fldCharType="separate"/>
      </w:r>
      <w:r w:rsidR="0005386F" w:rsidRPr="0005386F">
        <w:rPr>
          <w:noProof/>
        </w:rPr>
        <w:t>[62, 63]</w:t>
      </w:r>
      <w:r>
        <w:fldChar w:fldCharType="end"/>
      </w:r>
      <w:r>
        <w:t xml:space="preserve"> as well as transferable metabolic engineering toolkits are available for </w:t>
      </w:r>
      <w:r w:rsidRPr="007C07F7">
        <w:rPr>
          <w:i/>
        </w:rPr>
        <w:t>M. buryatense</w:t>
      </w:r>
      <w:r w:rsidRPr="007C07F7">
        <w:t xml:space="preserve"> 5GB1</w:t>
      </w:r>
      <w:r>
        <w:t xml:space="preserve">. Therefore, we propose that </w:t>
      </w:r>
      <w:r w:rsidRPr="00CF336B">
        <w:rPr>
          <w:i/>
        </w:rPr>
        <w:t>M.</w:t>
      </w:r>
      <w:r>
        <w:t xml:space="preserve"> </w:t>
      </w:r>
      <w:r>
        <w:rPr>
          <w:i/>
        </w:rPr>
        <w:t>buryatense</w:t>
      </w:r>
      <w:r>
        <w:t xml:space="preserve"> 5GB1 might be a candidate for methanol-based biotechnology, if similar information about metabolism were available. Little is currently known about growth on methanol.  In a set of bioreactor experiments, it was determined that compared to methane-grown cells, methanol-grown cells had a high glycogen content (43% of cell dry weight) and a high level of </w:t>
      </w:r>
      <w:proofErr w:type="spellStart"/>
      <w:r>
        <w:t>formate</w:t>
      </w:r>
      <w:proofErr w:type="spellEnd"/>
      <w:r>
        <w:t xml:space="preserve"> excretion (12 </w:t>
      </w:r>
      <w:proofErr w:type="spellStart"/>
      <w:r>
        <w:t>mM</w:t>
      </w:r>
      <w:proofErr w:type="spellEnd"/>
      <w:r>
        <w:t xml:space="preserve"> gCDW</w:t>
      </w:r>
      <w:r w:rsidRPr="00B9317D">
        <w:rPr>
          <w:vertAlign w:val="superscript"/>
        </w:rPr>
        <w:t>-1</w:t>
      </w:r>
      <w:r>
        <w:t>)</w:t>
      </w:r>
      <w:r w:rsidRPr="00B9317D">
        <w:rPr>
          <w:vertAlign w:val="superscript"/>
        </w:rPr>
        <w:t>4</w:t>
      </w:r>
      <w:r>
        <w:t>.  These results suggested that the metabolic network during growth on methanol might differ from that during growth on methane.</w:t>
      </w:r>
    </w:p>
    <w:p w14:paraId="44BC22AF" w14:textId="6210F849" w:rsidR="008417A4" w:rsidRDefault="008417A4" w:rsidP="008226DB">
      <w:r>
        <w:t xml:space="preserve">The known core metabolism network of </w:t>
      </w:r>
      <w:r>
        <w:rPr>
          <w:i/>
        </w:rPr>
        <w:t>M. buryatense</w:t>
      </w:r>
      <w:r>
        <w:t xml:space="preserve"> 5GB1 during methane growth could support growth on methanol (Fig. </w:t>
      </w:r>
      <w:r w:rsidR="00081305">
        <w:t>4.</w:t>
      </w:r>
      <w:r>
        <w:t xml:space="preserve">1). Methanol is converted into formaldehyde, which is further oxidized to </w:t>
      </w:r>
      <w:proofErr w:type="spellStart"/>
      <w:r>
        <w:t>formate</w:t>
      </w:r>
      <w:proofErr w:type="spellEnd"/>
      <w:r>
        <w:t xml:space="preserve"> and then CO</w:t>
      </w:r>
      <w:r>
        <w:rPr>
          <w:vertAlign w:val="subscript"/>
        </w:rPr>
        <w:t xml:space="preserve">2 </w:t>
      </w:r>
      <w:r>
        <w:t xml:space="preserve">to provide reducing equivalents as NADH. The formaldehyde could also be assimilated via the </w:t>
      </w:r>
      <w:proofErr w:type="spellStart"/>
      <w:r>
        <w:t>RuMP</w:t>
      </w:r>
      <w:proofErr w:type="spellEnd"/>
      <w:r>
        <w:t xml:space="preserve"> cycle. Two variants of the </w:t>
      </w:r>
      <w:proofErr w:type="spellStart"/>
      <w:r>
        <w:t>RuMP</w:t>
      </w:r>
      <w:proofErr w:type="spellEnd"/>
      <w:r>
        <w:t xml:space="preserve"> cycle are possible, the EMP variant and the ED variant. In the EMP variant, fructose-6-phosphate (F6P) is converted to fructose 1, 6-biphosphate (FBP) and split into C3 sugar phosphate via </w:t>
      </w:r>
      <w:r w:rsidRPr="00910A27">
        <w:t>fructose-bisphosphate aldolase</w:t>
      </w:r>
      <w:r>
        <w:t xml:space="preserve">. In the ED pathway, 6-phosphogluconate (6PG) is converted into </w:t>
      </w:r>
      <w:r w:rsidRPr="00EA195D">
        <w:t>2-keto-3-deoxy</w:t>
      </w:r>
      <w:r>
        <w:t xml:space="preserve"> 6-phospho</w:t>
      </w:r>
      <w:r w:rsidRPr="00EA195D">
        <w:t xml:space="preserve">gluconate </w:t>
      </w:r>
      <w:r>
        <w:t xml:space="preserve">(KDPG), and then enters the node of pyruvate directly via </w:t>
      </w:r>
      <w:r w:rsidRPr="00EA195D">
        <w:t>2-keto-3-deoxy</w:t>
      </w:r>
      <w:r>
        <w:t xml:space="preserve"> 6-phospho</w:t>
      </w:r>
      <w:r w:rsidRPr="00EA195D">
        <w:t>gluconate aldolase</w:t>
      </w:r>
      <w:r>
        <w:t>. It has recently been shown that this methanotroph operates a complete TCA cycle during growth on methane, and operates a set of C3/C4 interconversions</w:t>
      </w:r>
      <w:r>
        <w:fldChar w:fldCharType="begin" w:fldLock="1"/>
      </w:r>
      <w:r w:rsidR="008C0508">
        <w:instrText>ADDIN CSL_CITATION { "citationItems" : [ { "id" : "ITEM-1", "itemData" : { "author" : [ { "dropping-particle" : "", "family" : "Fu", "given" : "Yanfen", "non-dropping-particle" : "", "parse-names" : false, "suffix" : "" }, { "dropping-particle" : "", "family" : "Li", "given" : "Yi", "non-dropping-particle" : "", "parse-names" : false, "suffix" : "" }, { "dropping-particle" : "", "family" : "Lidstrom", "given" : "Mary", "non-dropping-particle" : "", "parse-names" : false, "suffix" : "" } ], "id" : "ITEM-1", "issue" : "206", "issued" : { "date-parts" : [ [ "0" ] ] }, "title" : "The oxidative TCA cycle operates during methanotrophic growth of the Type I methanotroph Methylomicrobium buryatense 5GB1 Department of Chemical Engineering , 2 Department of Microbiology , University of To whom correspondence should be addressed : Mary E", "type" : "article-journal" }, "uris" : [ "http://www.mendeley.com/documents/?uuid=6d2d81a5-006a-4a17-8478-4fb8c6c5261f" ] } ], "mendeley" : { "formattedCitation" : "[83]", "plainTextFormattedCitation" : "[83]", "previouslyFormattedCitation" : "[83]" }, "properties" : { "noteIndex" : 0 }, "schema" : "https://github.com/citation-style-language/schema/raw/master/csl-citation.json" }</w:instrText>
      </w:r>
      <w:r>
        <w:fldChar w:fldCharType="separate"/>
      </w:r>
      <w:r w:rsidR="0005386F" w:rsidRPr="0005386F">
        <w:rPr>
          <w:noProof/>
        </w:rPr>
        <w:t>[83]</w:t>
      </w:r>
      <w:r>
        <w:fldChar w:fldCharType="end"/>
      </w:r>
      <w:r>
        <w:t>.</w:t>
      </w:r>
    </w:p>
    <w:p w14:paraId="008B712A" w14:textId="77777777" w:rsidR="008417A4" w:rsidRDefault="008417A4" w:rsidP="008226DB">
      <w:r>
        <w:lastRenderedPageBreak/>
        <w:t xml:space="preserve">In order to determine the metabolic network involved in growth on methanol, both metabolic profiling and </w:t>
      </w:r>
      <w:r w:rsidRPr="00996761">
        <w:rPr>
          <w:vertAlign w:val="superscript"/>
        </w:rPr>
        <w:t>13</w:t>
      </w:r>
      <w:r>
        <w:t xml:space="preserve">C tracer analysis approaches have been used. These approaches provide a direct view of cellular behavior resulting from the integrative effect on gene expression and regulation, which provides critical information for metabolic engineering. In this study, targeted metabolite profiling was performed for core metabolites under both methane and methanol growth to discover and quantitate which part of the network is responding to the substrate change. Meanwhile, </w:t>
      </w:r>
      <w:r>
        <w:rPr>
          <w:vertAlign w:val="superscript"/>
        </w:rPr>
        <w:t>13</w:t>
      </w:r>
      <w:r>
        <w:t xml:space="preserve">C tracer analysis was also conducted to determine whether the organism changes strategies for interconversion of C2-C3-C4 compounds downstream of the pyruvate node. </w:t>
      </w:r>
    </w:p>
    <w:p w14:paraId="008106B8" w14:textId="76135E38" w:rsidR="008417A4" w:rsidRDefault="008417A4" w:rsidP="008226DB">
      <w:r>
        <w:t>Constraint-based analysis of genome-scale metabolic network (COBRA analysis</w:t>
      </w:r>
      <w:r>
        <w:fldChar w:fldCharType="begin" w:fldLock="1"/>
      </w:r>
      <w:r w:rsidR="008C0508">
        <w:instrText>ADDIN CSL_CITATION { "citationItems" : [ { "id" : "ITEM-1", "itemData" : { "DOI" : "10.1038/nprot.2007.99", "ISSN" : "1750-2799", "author" : [ { "dropping-particle" : "", "family" : "Becker", "given" : "Scott A", "non-dropping-particle" : "", "parse-names" : false, "suffix" : "" }, { "dropping-particle" : "", "family" : "Feist", "given" : "Adam M", "non-dropping-particle" : "", "parse-names" : false, "suffix" : "" }, { "dropping-particle" : "", "family" : "Mo", "given" : "Monica L", "non-dropping-particle" : "", "parse-names" : false, "suffix" : "" }, { "dropping-particle" : "", "family" : "Hannum", "given" : "Gregory", "non-dropping-particle" : "", "parse-names" : false, "suffix" : "" }, { "dropping-particle" : "", "family" : "Palsson", "given" : "Bernhard \u00d8", "non-dropping-particle" : "", "parse-names" : false, "suffix" : "" }, { "dropping-particle" : "", "family" : "Herrgard", "given" : "Markus J", "non-dropping-particle" : "", "parse-names" : false, "suffix" : "" } ], "container-title" : "Nature Protocols", "id" : "ITEM-1", "issue" : "3", "issued" : { "date-parts" : [ [ "2007", "3" ] ] }, "page" : "727-738", "title" : "Quantitative prediction of cellular metabolism with constraint-based models: the COBRA Toolbox", "type" : "article-journal", "volume" : "2" }, "uris" : [ "http://www.mendeley.com/documents/?uuid=607ce0f7-481b-3fd1-a999-38a9135969d6" ] }, { "id" : "ITEM-2", "itemData" : { "DOI" : "10.1038/protex.2011.234", "ISSN" : "2043-0116", "abstract" : "Over the past decade, a growing community of researchers has emerged around the use of COnstraint-Based Reconstruction and Analysis (COBRA) methods to simulate, analyze and predict a variety of metabolic phenotypes using genome-scale models. The COBRA Toolbox, a MATLAB package for implementing COBRA methods, was presented earlier. Here we present a significant update of this in silico ToolBox. Version 2.0 of the COBRA Toolbox expands the scope of computations by including in silico analysis methods developed since its original release. New functions include: (1) network gap filling, (2) 13C analysis, (3) metabolic engineering, (4) omics-guided analysis, and (5) visualization. As with the first version, the COBRA Toolbox reads and writes Systems Biology Markup Language formatted models. In version 2.0, we improved performance, usability, and the level of documentation. A suite of test scripts can now be used to learn the core functionality of the Toolbox and validate results. This Toolbox lowers the barrier of entry to use powerful COBRA methods", "author" : [ { "dropping-particle" : "", "family" : "Hyduke", "given" : "Daniel", "non-dropping-particle" : "", "parse-names" : false, "suffix" : "" }, { "dropping-particle" : "", "family" : "Schellenberger", "given" : "Jan", "non-dropping-particle" : "", "parse-names" : false, "suffix" : "" }, { "dropping-particle" : "", "family" : "Que", "given" : "Richard", "non-dropping-particle" : "", "parse-names" : false, "suffix" : "" }, { "dropping-particle" : "", "family" : "Fleming", "given" : "Ronan", "non-dropping-particle" : "", "parse-names" : false, "suffix" : "" }, { "dropping-particle" : "", "family" : "Thiele", "given" : "Ines", "non-dropping-particle" : "", "parse-names" : false, "suffix" : "" }, { "dropping-particle" : "", "family" : "Orth", "given" : "Jeffery", "non-dropping-particle" : "", "parse-names" : false, "suffix" : "" }, { "dropping-particle" : "", "family" : "Feist", "given" : "Adam", "non-dropping-particle" : "", "parse-names" : false, "suffix" : "" }, { "dropping-particle" : "", "family" : "Zielinski", "given" : "Daniel", "non-dropping-particle" : "", "parse-names" : false, "suffix" : "" }, { "dropping-particle" : "", "family" : "Bordbar", "given" : "Aarash", "non-dropping-particle" : "", "parse-names" : false, "suffix" : "" }, { "dropping-particle" : "", "family" : "Lewis", "given" : "Nathan", "non-dropping-particle" : "", "parse-names" : false, "suffix" : "" }, { "dropping-particle" : "", "family" : "Rahmanian", "given" : "Sorena", "non-dropping-particle" : "", "parse-names" : false, "suffix" : "" }, { "dropping-particle" : "", "family" : "Kang", "given" : "Joseph", "non-dropping-particle" : "", "parse-names" : false, "suffix" : "" }, { "dropping-particle" : "", "family" : "Palsson", "given" : "Bernhard", "non-dropping-particle" : "", "parse-names" : false, "suffix" : "" } ], "container-title" : "Protocol Exchange", "id" : "ITEM-2", "issued" : { "date-parts" : [ [ "2011" ] ] }, "title" : "COBRA Toolbox 2.0", "type" : "article" }, "uris" : [ "http://www.mendeley.com/documents/?uuid=48a5c78a-a51b-4d2b-9ac5-a7640c139910" ] } ], "mendeley" : { "formattedCitation" : "[84, 85]", "plainTextFormattedCitation" : "[84, 85]", "previouslyFormattedCitation" : "[84, 85]" }, "properties" : { "noteIndex" : 0 }, "schema" : "https://github.com/citation-style-language/schema/raw/master/csl-citation.json" }</w:instrText>
      </w:r>
      <w:r>
        <w:fldChar w:fldCharType="separate"/>
      </w:r>
      <w:r w:rsidR="0005386F" w:rsidRPr="0005386F">
        <w:rPr>
          <w:noProof/>
        </w:rPr>
        <w:t>[84, 85]</w:t>
      </w:r>
      <w:r>
        <w:fldChar w:fldCharType="end"/>
      </w:r>
      <w:r>
        <w:t xml:space="preserve">) is flux balance analysis (FBA) based on stoichiometric equations describing a genome scale model network, which predicts flux distribution to achieve optimization of a specified objective function. It is a complementary approach to </w:t>
      </w:r>
      <w:r>
        <w:rPr>
          <w:vertAlign w:val="superscript"/>
        </w:rPr>
        <w:t>13</w:t>
      </w:r>
      <w:r>
        <w:t xml:space="preserve">C-based flux analysis, since the network covered in FBA analysis is much broader. However, the assumption that the network operates to optimize around a single, specified objective goal as well as the fact that multiple possibilities could lead to same value of the objective function, often result in a mismatch between the predicted flux distribution and the experimentally validated </w:t>
      </w:r>
      <w:r>
        <w:rPr>
          <w:vertAlign w:val="superscript"/>
        </w:rPr>
        <w:t>13</w:t>
      </w:r>
      <w:r>
        <w:t xml:space="preserve">C MFA, leading to less accurate prediction. In this study, the data from the </w:t>
      </w:r>
      <w:r>
        <w:rPr>
          <w:vertAlign w:val="superscript"/>
        </w:rPr>
        <w:t>13</w:t>
      </w:r>
      <w:r>
        <w:t xml:space="preserve">C analysis were incorporated into a genome scale model as additional constraints, to better predict flux distribution of central metabolism during methanol growth, providing the basis for future rational strain design. </w:t>
      </w:r>
    </w:p>
    <w:p w14:paraId="70EB65A2" w14:textId="77777777" w:rsidR="008417A4" w:rsidRPr="00384DD9" w:rsidRDefault="008417A4" w:rsidP="00384DD9">
      <w:pPr>
        <w:pStyle w:val="Heading2"/>
      </w:pPr>
      <w:bookmarkStart w:id="93" w:name="header-c24"/>
      <w:bookmarkStart w:id="94" w:name="_Toc468311745"/>
      <w:bookmarkEnd w:id="93"/>
      <w:r w:rsidRPr="00384DD9">
        <w:t>Results</w:t>
      </w:r>
      <w:bookmarkEnd w:id="94"/>
    </w:p>
    <w:p w14:paraId="11A6E450" w14:textId="01A1D94A" w:rsidR="008417A4" w:rsidRPr="00384DD9" w:rsidRDefault="00384DD9" w:rsidP="00384DD9">
      <w:pPr>
        <w:pStyle w:val="Heading3"/>
      </w:pPr>
      <w:bookmarkStart w:id="95" w:name="header-c25"/>
      <w:bookmarkStart w:id="96" w:name="_Toc468311746"/>
      <w:bookmarkEnd w:id="95"/>
      <w:r>
        <w:t>4.</w:t>
      </w:r>
      <w:r w:rsidR="008417A4" w:rsidRPr="00384DD9">
        <w:t>1. Targeted metabolomics analysis showed systematical flux distribution shifts under methanol growth</w:t>
      </w:r>
      <w:bookmarkEnd w:id="96"/>
    </w:p>
    <w:p w14:paraId="3B48D136" w14:textId="738ED3BD" w:rsidR="005D512B" w:rsidRDefault="008417A4" w:rsidP="005D512B">
      <w:r>
        <w:t>Changes in the intracellular level of metabolites indicate metabolite nodes with altered flux. Targeted metabolomics analysis was performed for both methane-grown and methanol-grown cultures from the exponential growth phase to locate the metabolite nodes that respond to the two substrates. Intermediate metabolites were extracted and quantitated under both conditions. The levels of metabolites were normalized to both internal standard (</w:t>
      </w:r>
      <w:r>
        <w:rPr>
          <w:vertAlign w:val="superscript"/>
        </w:rPr>
        <w:t>13</w:t>
      </w:r>
      <w:r>
        <w:t>C</w:t>
      </w:r>
      <w:r>
        <w:rPr>
          <w:vertAlign w:val="subscript"/>
        </w:rPr>
        <w:t>4</w:t>
      </w:r>
      <w:r>
        <w:t xml:space="preserve"> succinate) as well as cell biomass. As seen in Figure </w:t>
      </w:r>
      <w:r w:rsidR="007D117B">
        <w:t>4.</w:t>
      </w:r>
      <w:r>
        <w:t xml:space="preserve">2a, the following metabolites showed pool size increase in methanol cultures compared to methane cultures of at </w:t>
      </w:r>
      <w:r>
        <w:lastRenderedPageBreak/>
        <w:t>least 3-fold: G6P, F6P, F1, 6BP,</w:t>
      </w:r>
      <w:r w:rsidRPr="00BB0A02">
        <w:t xml:space="preserve"> </w:t>
      </w:r>
      <w:r>
        <w:t>citrate,</w:t>
      </w:r>
      <w:r w:rsidRPr="00BB0A02">
        <w:t xml:space="preserve"> </w:t>
      </w:r>
      <w:r>
        <w:t xml:space="preserve">KDPG, 6PG, which are intermediates of the EMP pathway, ED pathway, and TCA cycle. Other metabolites showed pool size decreases of at least 3-fold: PEP, 3PG and R5P, which are intermediates of the EMP pathway and the </w:t>
      </w:r>
      <w:proofErr w:type="spellStart"/>
      <w:r>
        <w:t>RuMP</w:t>
      </w:r>
      <w:proofErr w:type="spellEnd"/>
      <w:r>
        <w:t xml:space="preserve"> cycle. Pools of malate, succinate and 2-</w:t>
      </w:r>
      <w:r w:rsidR="005D512B" w:rsidRPr="005D512B">
        <w:t xml:space="preserve"> </w:t>
      </w:r>
      <w:proofErr w:type="spellStart"/>
      <w:r w:rsidR="005D512B">
        <w:t>oxo-glutarate</w:t>
      </w:r>
      <w:proofErr w:type="spellEnd"/>
      <w:r w:rsidR="005D512B">
        <w:t xml:space="preserve"> did not change significantly, which are also intermediates in the TCA cycle.</w:t>
      </w:r>
    </w:p>
    <w:p w14:paraId="4A917DCB" w14:textId="29DDC12E" w:rsidR="008417A4" w:rsidRDefault="005D512B" w:rsidP="00BF525F">
      <w:r>
        <w:rPr>
          <w:noProof/>
          <w:lang w:eastAsia="zh-CN"/>
        </w:rPr>
        <w:drawing>
          <wp:inline distT="0" distB="0" distL="0" distR="0" wp14:anchorId="2D8346E6" wp14:editId="5769BD79">
            <wp:extent cx="6254496" cy="4453128"/>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4496" cy="4453128"/>
                    </a:xfrm>
                    <a:prstGeom prst="rect">
                      <a:avLst/>
                    </a:prstGeom>
                    <a:noFill/>
                  </pic:spPr>
                </pic:pic>
              </a:graphicData>
            </a:graphic>
          </wp:inline>
        </w:drawing>
      </w:r>
    </w:p>
    <w:p w14:paraId="6858E48E" w14:textId="61919B39" w:rsidR="00286135" w:rsidRPr="00312865" w:rsidRDefault="004C3B40" w:rsidP="00312865">
      <w:pPr>
        <w:pStyle w:val="Caption"/>
      </w:pPr>
      <w:r w:rsidRPr="00312865">
        <w:t xml:space="preserve">Figure </w:t>
      </w:r>
      <w:fldSimple w:instr=" SEQ Figure \* ARABIC ">
        <w:r w:rsidR="00174625">
          <w:rPr>
            <w:noProof/>
          </w:rPr>
          <w:t>4</w:t>
        </w:r>
      </w:fldSimple>
      <w:r w:rsidRPr="00312865">
        <w:t>.2</w:t>
      </w:r>
      <w:r w:rsidR="00312865">
        <w:t xml:space="preserve"> </w:t>
      </w:r>
      <w:r w:rsidR="00312865" w:rsidRPr="00312865">
        <w:t>Targeted metabolite profile for M. buryatense 5GB1. a) Pools of the following metabolites changed, indicating altered flux through those metabolite nodes. Metabolites in the EMP and ED pathway, such as G6P, F6P, FBP, 6PG and KDPG increased under methanol growth, as did citrate, an intermediate of the TCA cycle. R5P, PEP, and 3PG decreased. C4 metabolites such as malate and succinate did not change. b) KDPG and 6PG pool changes for various conditions for WT and strain with tunable promoter for edd. Values were in triplicate</w:t>
      </w:r>
    </w:p>
    <w:p w14:paraId="4A93BF72" w14:textId="77777777" w:rsidR="008417A4" w:rsidRDefault="008417A4" w:rsidP="00BF525F">
      <w:r>
        <w:lastRenderedPageBreak/>
        <w:t xml:space="preserve">These results showed that the pools for most of the metabolites in core carbon metabolism changed under methanol growth, which indicates a systematic shift of flux distribution under methanol growth involving the EMP pathway, the ED pathway, C3-C4 metabolite interconversions and the TCA cycle. </w:t>
      </w:r>
    </w:p>
    <w:p w14:paraId="21244511" w14:textId="379F7857" w:rsidR="008417A4" w:rsidRDefault="008417A4" w:rsidP="00BF525F">
      <w:r>
        <w:t xml:space="preserve">The increased levels of 6PG and KDPG suggested a shift towards the ED pathway.  In order to test this hypothesis, attempts were made to generate null mutants in the first two genes of the ED pathway, </w:t>
      </w:r>
      <w:r>
        <w:rPr>
          <w:i/>
        </w:rPr>
        <w:t xml:space="preserve">edd </w:t>
      </w:r>
      <w:r>
        <w:t>(METBUDRAFT</w:t>
      </w:r>
      <w:r>
        <w:rPr>
          <w:i/>
        </w:rPr>
        <w:t>1903/MBURv2</w:t>
      </w:r>
      <w:r>
        <w:t xml:space="preserve">130008) encoding </w:t>
      </w:r>
      <w:r w:rsidRPr="003175A6">
        <w:t>6-phosphogluconate dehydratase</w:t>
      </w:r>
      <w:r>
        <w:t xml:space="preserve"> and </w:t>
      </w:r>
      <w:proofErr w:type="spellStart"/>
      <w:r>
        <w:rPr>
          <w:i/>
        </w:rPr>
        <w:t>eda</w:t>
      </w:r>
      <w:proofErr w:type="spellEnd"/>
      <w:r>
        <w:rPr>
          <w:i/>
        </w:rPr>
        <w:t xml:space="preserve"> </w:t>
      </w:r>
      <w:r>
        <w:t>(METBUDRAFT</w:t>
      </w:r>
      <w:r>
        <w:rPr>
          <w:i/>
        </w:rPr>
        <w:t>1904/MBURv2</w:t>
      </w:r>
      <w:r>
        <w:t xml:space="preserve">130009), encoding </w:t>
      </w:r>
      <w:r w:rsidRPr="00EA195D">
        <w:t>2-keto-3-deoxy</w:t>
      </w:r>
      <w:r>
        <w:t xml:space="preserve"> 6-phospho</w:t>
      </w:r>
      <w:r w:rsidRPr="00EA195D">
        <w:t>gluconate aldolase</w:t>
      </w:r>
      <w:r>
        <w:t xml:space="preserve">. No deletion mutants were obtained. Instead, the native </w:t>
      </w:r>
      <w:r>
        <w:rPr>
          <w:i/>
        </w:rPr>
        <w:t xml:space="preserve">edd </w:t>
      </w:r>
      <w:r>
        <w:t>promoter was replaced in the chromosome with a tunable promoter system described previously</w:t>
      </w:r>
      <w:r>
        <w:fldChar w:fldCharType="begin" w:fldLock="1"/>
      </w:r>
      <w:r w:rsidR="008C0508">
        <w:instrText>ADDIN CSL_CITATION { "citationItems" : [ { "id" : "ITEM-1", "itemData" : { "abstract" : "Methane is the second most abundant greenhouse gas (GHG), with nearly 60% of emissions derived from anthropogenic sources. Microbial conversion of methane to fuels and value-added chemicals offers a means to reduce GHG emissions, while also valorizing this otherwise squandered high-volume, high-energy gas. However, to date, advances in methane biocatalysis have been constrained by the low-productivity and limited genetic tractability of natural methane-consuming microbes. Here, leveraging recent identification of a novel, tractable methanotrophic bacterium, Methylomicrobium buryatense, we demonstrate microbial biocatalysis of methane to lactate, an industrial platform chemical. Heterologous overexpression of a Lactobacillus helveticus L-lactate dehydrogenase in M. buryatense resulted in an initial titer of 0.06\u2009g lactate/L from methane. Cultivation in a 5\u2009L continuously stirred tank bioreactor enabled production of 0.8\u2009g lactate/L, representing a 13-fold improvement compared to the initial titer. The yields (0.05\u2009g lactate/g methane) and productivity (0.008\u2009g lactate/L/h) indicate the need and opportunity for future strain improvement. Additionally, real-time analysis of methane utilization implicated gas-to-liquid transfer and/or microbial methane consumption as process limitations. This work opens the door to develop an array of methanotrophic bacterial strain-engineering strategies currently employed for biocatalytic sugar upgrading to \"green\" chemicals and fuels.",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"container-title" : "Scientific reports", "id" : "ITEM-1", "issue" : "February", "issued" : { "date-parts" : [ [ "2016" ] ] }, "page" : "21585", "publisher" : "Nature Publishing Group", "title" : "Bioconversion of methane to lactate by an obligate methanotrophic bacterium.", "type" : "article-journal", "volume" : "6" }, "uris" : [ "http://www.mendeley.com/documents/?uuid=09efe60c-74e0-4a55-b8eb-d5d063291229" ] } ], "mendeley" : { "formattedCitation" : "[78]", "plainTextFormattedCitation" : "[78]", "previouslyFormattedCitation" : "[78]" }, "properties" : { "noteIndex" : 0 }, "schema" : "https://github.com/citation-style-language/schema/raw/master/csl-citation.json" }</w:instrText>
      </w:r>
      <w:r>
        <w:fldChar w:fldCharType="separate"/>
      </w:r>
      <w:r w:rsidR="0005386F" w:rsidRPr="0005386F">
        <w:rPr>
          <w:noProof/>
        </w:rPr>
        <w:t>[78]</w:t>
      </w:r>
      <w:r>
        <w:fldChar w:fldCharType="end"/>
      </w:r>
      <w:r>
        <w:t xml:space="preserve">. The promoter system showed leaky expression when repressed by </w:t>
      </w:r>
      <w:proofErr w:type="spellStart"/>
      <w:r>
        <w:t>TetR</w:t>
      </w:r>
      <w:proofErr w:type="spellEnd"/>
      <w:r>
        <w:t xml:space="preserve"> protein, and is fully induced with </w:t>
      </w:r>
      <w:proofErr w:type="spellStart"/>
      <w:r>
        <w:t>anhydro</w:t>
      </w:r>
      <w:proofErr w:type="spellEnd"/>
      <w:r>
        <w:t xml:space="preserve">-tetracycline above the level of 0.3 </w:t>
      </w:r>
      <w:proofErr w:type="spellStart"/>
      <w:r>
        <w:t>ug</w:t>
      </w:r>
      <w:proofErr w:type="spellEnd"/>
      <w:r>
        <w:t xml:space="preserve">/ml (unpublished data), and this construct was successful. The key metabolites of the ED pathway were monitored in this strain with either the 'on' state or 'off' state under both methane and methanol growth. Shown in Figure </w:t>
      </w:r>
      <w:r w:rsidR="00AC1ED7">
        <w:t>4.</w:t>
      </w:r>
      <w:r>
        <w:t xml:space="preserve">2b, under methanol growth, the KDPG pool decreased and 6PG level did not change significantly when the promoter was ‘off’ (with leaky expression), compared to the native promoter. When the promoter was tuned up by the inducer, both 6PG and KDPG levels dropped compared to the native promoter. Under methane growth, when turning the promoter ‘off’ (with leaky expression), no significant change in either the KDPG or 6PG level was observed compared to the native promoter, while tuning the promoter up to the ‘on’ state resulted in increased KDPG level but little change for the 6PG level. The increase of KDPG in the 'on' state under methane growth suggested that the construction functioned as designed, to increase flux through KDPG during growth on methane. </w:t>
      </w:r>
    </w:p>
    <w:p w14:paraId="077A700D" w14:textId="7B6D5EAF" w:rsidR="008417A4" w:rsidRPr="003A45EB" w:rsidRDefault="003A45EB" w:rsidP="003A45EB">
      <w:pPr>
        <w:pStyle w:val="Heading3"/>
      </w:pPr>
      <w:bookmarkStart w:id="97" w:name="_Toc468311747"/>
      <w:r>
        <w:t>4.</w:t>
      </w:r>
      <w:r w:rsidR="008417A4" w:rsidRPr="003A45EB">
        <w:t>2. Gene expression of core metabolism response to substrate shifts</w:t>
      </w:r>
      <w:bookmarkEnd w:id="97"/>
    </w:p>
    <w:p w14:paraId="7F295226" w14:textId="45782D3F" w:rsidR="008417A4" w:rsidRDefault="008417A4" w:rsidP="00420CDE">
      <w:r>
        <w:t>RNA-</w:t>
      </w:r>
      <w:proofErr w:type="spellStart"/>
      <w:r>
        <w:t>seq</w:t>
      </w:r>
      <w:proofErr w:type="spellEnd"/>
      <w:r>
        <w:t xml:space="preserve"> data was obtained and analyzed in order to identify gene expression response to the change of substrate from methane to methanol. RNA samples were taken from bioreactor runs with either methane or methanol as sole carbon source as described previously</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Table </w:t>
      </w:r>
      <w:r w:rsidR="006063FE">
        <w:t>4.</w:t>
      </w:r>
      <w:r>
        <w:t xml:space="preserve">1 shows the genes in core metabolism with fold change and p values (cut-off value =0.05) comparing methane and methanol culture. The gene expression fold changes were in the range of 0.3 - 2.8. In methanol culture compared to methane, genes of the </w:t>
      </w:r>
      <w:proofErr w:type="spellStart"/>
      <w:r>
        <w:t>RuMP</w:t>
      </w:r>
      <w:proofErr w:type="spellEnd"/>
      <w:r>
        <w:t xml:space="preserve"> cycle (such as </w:t>
      </w:r>
      <w:proofErr w:type="spellStart"/>
      <w:r>
        <w:t>hexulose</w:t>
      </w:r>
      <w:proofErr w:type="spellEnd"/>
      <w:r>
        <w:t xml:space="preserve"> phosphate synthase), ED pathway (such as 6PG dehydratase), and serine cycle (such as serine-</w:t>
      </w:r>
      <w:proofErr w:type="spellStart"/>
      <w:r>
        <w:t>glyoxylate</w:t>
      </w:r>
      <w:proofErr w:type="spellEnd"/>
      <w:r>
        <w:t xml:space="preserve"> aminotransferase) tended to be upregulated, </w:t>
      </w:r>
      <w:r>
        <w:lastRenderedPageBreak/>
        <w:t>while those of the TCA cycle, such as fumarate hydratase, tended to be down-regulated. Most genes in C1</w:t>
      </w:r>
      <w:r w:rsidR="00F031B6">
        <w:t xml:space="preserve"> metabolism did not </w:t>
      </w:r>
      <w:r>
        <w:t xml:space="preserve">change, while </w:t>
      </w:r>
      <w:proofErr w:type="spellStart"/>
      <w:r>
        <w:t>Fdh</w:t>
      </w:r>
      <w:proofErr w:type="spellEnd"/>
      <w:r>
        <w:t xml:space="preserve"> expression was down-regulated.</w:t>
      </w:r>
    </w:p>
    <w:p w14:paraId="6F417B2E" w14:textId="3A87B51D" w:rsidR="008417A4" w:rsidRPr="00A03A7C" w:rsidRDefault="00A03A7C" w:rsidP="00A03A7C">
      <w:pPr>
        <w:pStyle w:val="Heading3"/>
      </w:pPr>
      <w:bookmarkStart w:id="98" w:name="header-c38"/>
      <w:bookmarkStart w:id="99" w:name="_Toc468311748"/>
      <w:bookmarkEnd w:id="98"/>
      <w:r>
        <w:t>4.</w:t>
      </w:r>
      <w:r w:rsidR="008417A4" w:rsidRPr="00A03A7C">
        <w:t xml:space="preserve">3. Supernatant metabolite profile showed more </w:t>
      </w:r>
      <w:proofErr w:type="spellStart"/>
      <w:r w:rsidR="008417A4" w:rsidRPr="00A03A7C">
        <w:t>formate</w:t>
      </w:r>
      <w:proofErr w:type="spellEnd"/>
      <w:r w:rsidR="008417A4" w:rsidRPr="00A03A7C">
        <w:t xml:space="preserve"> secretion than methane culture</w:t>
      </w:r>
      <w:bookmarkEnd w:id="99"/>
    </w:p>
    <w:p w14:paraId="3E1F8BD2" w14:textId="7BA11A98" w:rsidR="008417A4" w:rsidRDefault="008417A4" w:rsidP="007B7C21">
      <w:r>
        <w:t xml:space="preserve">Previous bioreactor studies had shown high excretion of </w:t>
      </w:r>
      <w:proofErr w:type="spellStart"/>
      <w:r>
        <w:t>formate</w:t>
      </w:r>
      <w:proofErr w:type="spellEnd"/>
      <w:r>
        <w:t xml:space="preserve"> during methanol growth compared to methane</w:t>
      </w:r>
      <w:r w:rsidRPr="006E53E8">
        <w:rPr>
          <w:vertAlign w:val="superscript"/>
        </w:rPr>
        <w:t>4</w:t>
      </w:r>
      <w:r>
        <w:t xml:space="preserve">, and so vial cultures of </w:t>
      </w:r>
      <w:r>
        <w:rPr>
          <w:i/>
        </w:rPr>
        <w:t xml:space="preserve">M. buratense </w:t>
      </w:r>
      <w:r>
        <w:t xml:space="preserve">5GB1 growth with either methanol or methane were collected during exponential growth stage, and the supernatants were then analyzed using NMR to obtain a full profile for extracellular metabolites. As shown in Table </w:t>
      </w:r>
      <w:r w:rsidR="00353749">
        <w:t>4.</w:t>
      </w:r>
      <w:r>
        <w:t xml:space="preserve">2, in methanol cultures 16.45 </w:t>
      </w:r>
      <w:r>
        <w:rPr>
          <w:rFonts w:cs="Arial"/>
        </w:rPr>
        <w:t>±</w:t>
      </w:r>
      <w:r>
        <w:t xml:space="preserve"> 1.02</w:t>
      </w:r>
      <w:r>
        <w:rPr>
          <w:rFonts w:cs="Arial"/>
        </w:rPr>
        <w:t>μ</w:t>
      </w:r>
      <w:r>
        <w:t>M (g cdw</w:t>
      </w:r>
      <w:r w:rsidRPr="00CF336B">
        <w:rPr>
          <w:vertAlign w:val="superscript"/>
        </w:rPr>
        <w:t>-1</w:t>
      </w:r>
      <w:r>
        <w:t xml:space="preserve">) of </w:t>
      </w:r>
      <w:proofErr w:type="spellStart"/>
      <w:r>
        <w:t>formate</w:t>
      </w:r>
      <w:proofErr w:type="spellEnd"/>
      <w:r>
        <w:t xml:space="preserve"> was secreted to the supernatant compared to 1.92 </w:t>
      </w:r>
      <w:r>
        <w:rPr>
          <w:rFonts w:cs="Arial"/>
        </w:rPr>
        <w:t>±</w:t>
      </w:r>
      <w:r>
        <w:t xml:space="preserve"> 0.51</w:t>
      </w:r>
      <w:r>
        <w:rPr>
          <w:rFonts w:cs="Arial"/>
        </w:rPr>
        <w:t>μ</w:t>
      </w:r>
      <w:r>
        <w:t>M (g cdw</w:t>
      </w:r>
      <w:r w:rsidRPr="00CF336B">
        <w:rPr>
          <w:vertAlign w:val="superscript"/>
        </w:rPr>
        <w:t>-1</w:t>
      </w:r>
      <w:r>
        <w:t xml:space="preserve">) for the methane culture. Much smaller amounts of acetate and lactate were excreted, and in this case, the amounts were similar to the methane culture. Methanol concentration in the supernatant was also monitored and the specific product yields for both biomass and substrate were then calculated. During growth on methanol, 11% </w:t>
      </w:r>
      <w:r>
        <w:rPr>
          <w:rFonts w:cs="Arial"/>
        </w:rPr>
        <w:t xml:space="preserve">± 4% </w:t>
      </w:r>
      <w:r>
        <w:t xml:space="preserve">of the total methanol consumed is excreted as </w:t>
      </w:r>
      <w:proofErr w:type="spellStart"/>
      <w:r>
        <w:t>formate</w:t>
      </w:r>
      <w:proofErr w:type="spellEnd"/>
      <w:r>
        <w:t>, while less than 0.1% of the methanol consumed is excreted as acetate plus lactate.</w:t>
      </w:r>
    </w:p>
    <w:p w14:paraId="5B43D7B8" w14:textId="148F9880" w:rsidR="008417A4" w:rsidRPr="007B7C21" w:rsidRDefault="008417A4" w:rsidP="007B7C21">
      <w:pPr>
        <w:pStyle w:val="Caption"/>
      </w:pPr>
      <w:r w:rsidRPr="007B7C21">
        <w:t xml:space="preserve">Table </w:t>
      </w:r>
      <w:r w:rsidR="00FB189A">
        <w:t>4.</w:t>
      </w:r>
      <w:r w:rsidRPr="007B7C21">
        <w:t>2 Extracellular product yield based on biomass and methanol.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E0" w:firstRow="1" w:lastRow="1" w:firstColumn="1" w:lastColumn="1" w:noHBand="1" w:noVBand="1"/>
      </w:tblPr>
      <w:tblGrid>
        <w:gridCol w:w="4965"/>
        <w:gridCol w:w="1039"/>
        <w:gridCol w:w="995"/>
        <w:gridCol w:w="1311"/>
        <w:gridCol w:w="1266"/>
      </w:tblGrid>
      <w:tr w:rsidR="008417A4" w:rsidRPr="00FF088B" w14:paraId="70A4520F" w14:textId="77777777" w:rsidTr="00613C92">
        <w:tc>
          <w:tcPr>
            <w:tcW w:w="0" w:type="auto"/>
            <w:vAlign w:val="bottom"/>
          </w:tcPr>
          <w:p w14:paraId="54B7A547" w14:textId="77777777" w:rsidR="008417A4" w:rsidRPr="00FF088B" w:rsidRDefault="008417A4" w:rsidP="00613C92">
            <w:pPr>
              <w:pStyle w:val="Compact"/>
              <w:rPr>
                <w:sz w:val="20"/>
                <w:szCs w:val="20"/>
              </w:rPr>
            </w:pPr>
            <w:r>
              <w:rPr>
                <w:sz w:val="20"/>
                <w:szCs w:val="20"/>
              </w:rPr>
              <w:t>Product</w:t>
            </w:r>
            <w:r w:rsidRPr="00FF088B">
              <w:rPr>
                <w:sz w:val="20"/>
                <w:szCs w:val="20"/>
              </w:rPr>
              <w:t xml:space="preserve"> yield</w:t>
            </w:r>
            <w:r>
              <w:rPr>
                <w:sz w:val="20"/>
                <w:szCs w:val="20"/>
              </w:rPr>
              <w:t xml:space="preserve"> vs. biomass</w:t>
            </w:r>
            <w:r w:rsidRPr="00FF088B">
              <w:rPr>
                <w:sz w:val="20"/>
                <w:szCs w:val="20"/>
              </w:rPr>
              <w:t xml:space="preserve"> </w:t>
            </w:r>
            <w:r>
              <w:rPr>
                <w:sz w:val="20"/>
                <w:szCs w:val="20"/>
              </w:rPr>
              <w:t>(</w:t>
            </w:r>
            <w:proofErr w:type="spellStart"/>
            <w:r w:rsidRPr="00FF088B">
              <w:rPr>
                <w:sz w:val="20"/>
                <w:szCs w:val="20"/>
              </w:rPr>
              <w:t>mmol</w:t>
            </w:r>
            <w:proofErr w:type="spellEnd"/>
            <w:r>
              <w:rPr>
                <w:sz w:val="20"/>
                <w:szCs w:val="20"/>
              </w:rPr>
              <w:t xml:space="preserve"> [</w:t>
            </w:r>
            <w:r w:rsidRPr="00FF088B">
              <w:rPr>
                <w:sz w:val="20"/>
                <w:szCs w:val="20"/>
              </w:rPr>
              <w:t>g cdw</w:t>
            </w:r>
            <w:r w:rsidRPr="00CF336B">
              <w:rPr>
                <w:vertAlign w:val="superscript"/>
              </w:rPr>
              <w:t>-1</w:t>
            </w:r>
            <w:r w:rsidRPr="003579B6">
              <w:rPr>
                <w:sz w:val="20"/>
                <w:szCs w:val="20"/>
              </w:rPr>
              <w:t>]</w:t>
            </w:r>
            <w:r>
              <w:rPr>
                <w:sz w:val="20"/>
                <w:szCs w:val="20"/>
              </w:rPr>
              <w:t>)</w:t>
            </w:r>
          </w:p>
        </w:tc>
        <w:tc>
          <w:tcPr>
            <w:tcW w:w="0" w:type="auto"/>
            <w:vAlign w:val="bottom"/>
          </w:tcPr>
          <w:p w14:paraId="244C832A" w14:textId="77777777" w:rsidR="008417A4" w:rsidRPr="00FF088B" w:rsidRDefault="008417A4" w:rsidP="00613C92">
            <w:pPr>
              <w:pStyle w:val="Compact"/>
              <w:rPr>
                <w:sz w:val="20"/>
                <w:szCs w:val="20"/>
              </w:rPr>
            </w:pPr>
            <w:r w:rsidRPr="00FF088B">
              <w:rPr>
                <w:sz w:val="20"/>
                <w:szCs w:val="20"/>
              </w:rPr>
              <w:t>methanol</w:t>
            </w:r>
          </w:p>
        </w:tc>
        <w:tc>
          <w:tcPr>
            <w:tcW w:w="0" w:type="auto"/>
            <w:vAlign w:val="bottom"/>
          </w:tcPr>
          <w:p w14:paraId="2650AB17" w14:textId="77777777" w:rsidR="008417A4" w:rsidRPr="00FF088B" w:rsidRDefault="008417A4" w:rsidP="00613C92">
            <w:pPr>
              <w:pStyle w:val="Compact"/>
              <w:rPr>
                <w:sz w:val="20"/>
                <w:szCs w:val="20"/>
              </w:rPr>
            </w:pPr>
            <w:r w:rsidRPr="00FF088B">
              <w:rPr>
                <w:sz w:val="20"/>
                <w:szCs w:val="20"/>
              </w:rPr>
              <w:t>methane</w:t>
            </w:r>
          </w:p>
        </w:tc>
        <w:tc>
          <w:tcPr>
            <w:tcW w:w="0" w:type="auto"/>
            <w:vAlign w:val="bottom"/>
          </w:tcPr>
          <w:p w14:paraId="7FC05A1B" w14:textId="77777777" w:rsidR="008417A4" w:rsidRPr="00FF088B" w:rsidRDefault="008417A4" w:rsidP="00613C92">
            <w:pPr>
              <w:pStyle w:val="Compact"/>
              <w:rPr>
                <w:sz w:val="20"/>
                <w:szCs w:val="20"/>
              </w:rPr>
            </w:pPr>
            <w:r w:rsidRPr="00FF088B">
              <w:rPr>
                <w:sz w:val="20"/>
                <w:szCs w:val="20"/>
              </w:rPr>
              <w:t>SD methanol</w:t>
            </w:r>
          </w:p>
        </w:tc>
        <w:tc>
          <w:tcPr>
            <w:tcW w:w="0" w:type="auto"/>
            <w:vAlign w:val="bottom"/>
          </w:tcPr>
          <w:p w14:paraId="114DCC53" w14:textId="77777777" w:rsidR="008417A4" w:rsidRPr="00FF088B" w:rsidRDefault="008417A4" w:rsidP="00613C92">
            <w:pPr>
              <w:pStyle w:val="Compact"/>
              <w:rPr>
                <w:sz w:val="20"/>
                <w:szCs w:val="20"/>
              </w:rPr>
            </w:pPr>
            <w:r w:rsidRPr="00FF088B">
              <w:rPr>
                <w:sz w:val="20"/>
                <w:szCs w:val="20"/>
              </w:rPr>
              <w:t>SD methane</w:t>
            </w:r>
          </w:p>
        </w:tc>
      </w:tr>
      <w:tr w:rsidR="008417A4" w:rsidRPr="00FF088B" w14:paraId="4372052B" w14:textId="77777777" w:rsidTr="00613C92">
        <w:tc>
          <w:tcPr>
            <w:tcW w:w="0" w:type="auto"/>
          </w:tcPr>
          <w:p w14:paraId="6AECF558" w14:textId="77777777" w:rsidR="008417A4" w:rsidRPr="00FF088B" w:rsidRDefault="008417A4" w:rsidP="00613C92">
            <w:pPr>
              <w:pStyle w:val="Compact"/>
              <w:rPr>
                <w:sz w:val="20"/>
                <w:szCs w:val="20"/>
              </w:rPr>
            </w:pPr>
            <w:proofErr w:type="spellStart"/>
            <w:r w:rsidRPr="00FF088B">
              <w:rPr>
                <w:sz w:val="20"/>
                <w:szCs w:val="20"/>
              </w:rPr>
              <w:t>Formate</w:t>
            </w:r>
            <w:proofErr w:type="spellEnd"/>
          </w:p>
        </w:tc>
        <w:tc>
          <w:tcPr>
            <w:tcW w:w="0" w:type="auto"/>
          </w:tcPr>
          <w:p w14:paraId="1F8D2064" w14:textId="77777777" w:rsidR="008417A4" w:rsidRPr="00FF088B" w:rsidRDefault="008417A4" w:rsidP="00613C92">
            <w:pPr>
              <w:pStyle w:val="Compact"/>
              <w:rPr>
                <w:sz w:val="20"/>
                <w:szCs w:val="20"/>
              </w:rPr>
            </w:pPr>
            <w:r w:rsidRPr="00FF088B">
              <w:rPr>
                <w:sz w:val="20"/>
                <w:szCs w:val="20"/>
              </w:rPr>
              <w:t>16.45</w:t>
            </w:r>
          </w:p>
        </w:tc>
        <w:tc>
          <w:tcPr>
            <w:tcW w:w="0" w:type="auto"/>
          </w:tcPr>
          <w:p w14:paraId="042053B4" w14:textId="77777777" w:rsidR="008417A4" w:rsidRPr="00FF088B" w:rsidRDefault="008417A4" w:rsidP="00613C92">
            <w:pPr>
              <w:pStyle w:val="Compact"/>
              <w:rPr>
                <w:sz w:val="20"/>
                <w:szCs w:val="20"/>
              </w:rPr>
            </w:pPr>
            <w:r w:rsidRPr="00FF088B">
              <w:rPr>
                <w:sz w:val="20"/>
                <w:szCs w:val="20"/>
              </w:rPr>
              <w:t>1.92</w:t>
            </w:r>
          </w:p>
        </w:tc>
        <w:tc>
          <w:tcPr>
            <w:tcW w:w="0" w:type="auto"/>
          </w:tcPr>
          <w:p w14:paraId="6737DCC8" w14:textId="77777777" w:rsidR="008417A4" w:rsidRPr="00FF088B" w:rsidRDefault="008417A4" w:rsidP="00613C92">
            <w:pPr>
              <w:pStyle w:val="Compact"/>
              <w:rPr>
                <w:sz w:val="20"/>
                <w:szCs w:val="20"/>
              </w:rPr>
            </w:pPr>
            <w:r w:rsidRPr="00FF088B">
              <w:rPr>
                <w:sz w:val="20"/>
                <w:szCs w:val="20"/>
              </w:rPr>
              <w:t>1.02</w:t>
            </w:r>
          </w:p>
        </w:tc>
        <w:tc>
          <w:tcPr>
            <w:tcW w:w="0" w:type="auto"/>
          </w:tcPr>
          <w:p w14:paraId="651DCDEE" w14:textId="77777777" w:rsidR="008417A4" w:rsidRPr="00FF088B" w:rsidRDefault="008417A4" w:rsidP="00613C92">
            <w:pPr>
              <w:pStyle w:val="Compact"/>
              <w:rPr>
                <w:sz w:val="20"/>
                <w:szCs w:val="20"/>
              </w:rPr>
            </w:pPr>
            <w:r w:rsidRPr="00FF088B">
              <w:rPr>
                <w:sz w:val="20"/>
                <w:szCs w:val="20"/>
              </w:rPr>
              <w:t>0.51</w:t>
            </w:r>
          </w:p>
        </w:tc>
      </w:tr>
      <w:tr w:rsidR="008417A4" w:rsidRPr="00FF088B" w14:paraId="504724FB" w14:textId="77777777" w:rsidTr="00613C92">
        <w:tc>
          <w:tcPr>
            <w:tcW w:w="0" w:type="auto"/>
          </w:tcPr>
          <w:p w14:paraId="083D1712" w14:textId="77777777" w:rsidR="008417A4" w:rsidRPr="00FF088B" w:rsidRDefault="008417A4" w:rsidP="00613C92">
            <w:pPr>
              <w:pStyle w:val="Compact"/>
              <w:rPr>
                <w:sz w:val="20"/>
                <w:szCs w:val="20"/>
              </w:rPr>
            </w:pPr>
            <w:r w:rsidRPr="00FF088B">
              <w:rPr>
                <w:sz w:val="20"/>
                <w:szCs w:val="20"/>
              </w:rPr>
              <w:t>Acetate</w:t>
            </w:r>
          </w:p>
        </w:tc>
        <w:tc>
          <w:tcPr>
            <w:tcW w:w="0" w:type="auto"/>
          </w:tcPr>
          <w:p w14:paraId="2AAAB5DA" w14:textId="77777777" w:rsidR="008417A4" w:rsidRPr="00FF088B" w:rsidRDefault="008417A4" w:rsidP="00613C92">
            <w:pPr>
              <w:pStyle w:val="Compact"/>
              <w:rPr>
                <w:sz w:val="20"/>
                <w:szCs w:val="20"/>
              </w:rPr>
            </w:pPr>
            <w:r w:rsidRPr="00FF088B">
              <w:rPr>
                <w:sz w:val="20"/>
                <w:szCs w:val="20"/>
              </w:rPr>
              <w:t>0.18</w:t>
            </w:r>
          </w:p>
        </w:tc>
        <w:tc>
          <w:tcPr>
            <w:tcW w:w="0" w:type="auto"/>
          </w:tcPr>
          <w:p w14:paraId="720F3B64" w14:textId="77777777" w:rsidR="008417A4" w:rsidRPr="00FF088B" w:rsidRDefault="008417A4" w:rsidP="00613C92">
            <w:pPr>
              <w:pStyle w:val="Compact"/>
              <w:rPr>
                <w:sz w:val="20"/>
                <w:szCs w:val="20"/>
              </w:rPr>
            </w:pPr>
            <w:r w:rsidRPr="00FF088B">
              <w:rPr>
                <w:sz w:val="20"/>
                <w:szCs w:val="20"/>
              </w:rPr>
              <w:t>0.13</w:t>
            </w:r>
          </w:p>
        </w:tc>
        <w:tc>
          <w:tcPr>
            <w:tcW w:w="0" w:type="auto"/>
          </w:tcPr>
          <w:p w14:paraId="4D666B4E" w14:textId="77777777" w:rsidR="008417A4" w:rsidRPr="00FF088B" w:rsidRDefault="008417A4" w:rsidP="00613C92">
            <w:pPr>
              <w:pStyle w:val="Compact"/>
              <w:rPr>
                <w:sz w:val="20"/>
                <w:szCs w:val="20"/>
              </w:rPr>
            </w:pPr>
            <w:r w:rsidRPr="00FF088B">
              <w:rPr>
                <w:sz w:val="20"/>
                <w:szCs w:val="20"/>
              </w:rPr>
              <w:t>0.13</w:t>
            </w:r>
          </w:p>
        </w:tc>
        <w:tc>
          <w:tcPr>
            <w:tcW w:w="0" w:type="auto"/>
          </w:tcPr>
          <w:p w14:paraId="6D2F7277" w14:textId="77777777" w:rsidR="008417A4" w:rsidRPr="00FF088B" w:rsidRDefault="008417A4" w:rsidP="00613C92">
            <w:pPr>
              <w:pStyle w:val="Compact"/>
              <w:rPr>
                <w:sz w:val="20"/>
                <w:szCs w:val="20"/>
              </w:rPr>
            </w:pPr>
            <w:r w:rsidRPr="00FF088B">
              <w:rPr>
                <w:sz w:val="20"/>
                <w:szCs w:val="20"/>
              </w:rPr>
              <w:t>0.01</w:t>
            </w:r>
          </w:p>
        </w:tc>
      </w:tr>
      <w:tr w:rsidR="008417A4" w:rsidRPr="00FF088B" w14:paraId="17607F07" w14:textId="77777777" w:rsidTr="00613C92">
        <w:tc>
          <w:tcPr>
            <w:tcW w:w="0" w:type="auto"/>
          </w:tcPr>
          <w:p w14:paraId="5462A4A6" w14:textId="77777777" w:rsidR="008417A4" w:rsidRPr="00FF088B" w:rsidRDefault="008417A4" w:rsidP="00613C92">
            <w:pPr>
              <w:pStyle w:val="Compact"/>
              <w:rPr>
                <w:sz w:val="20"/>
                <w:szCs w:val="20"/>
              </w:rPr>
            </w:pPr>
            <w:r>
              <w:rPr>
                <w:sz w:val="20"/>
                <w:szCs w:val="20"/>
              </w:rPr>
              <w:t>L</w:t>
            </w:r>
            <w:r w:rsidRPr="00FF088B">
              <w:rPr>
                <w:sz w:val="20"/>
                <w:szCs w:val="20"/>
              </w:rPr>
              <w:t>actate</w:t>
            </w:r>
          </w:p>
        </w:tc>
        <w:tc>
          <w:tcPr>
            <w:tcW w:w="0" w:type="auto"/>
          </w:tcPr>
          <w:p w14:paraId="67534A9F" w14:textId="77777777" w:rsidR="008417A4" w:rsidRPr="00FF088B" w:rsidRDefault="008417A4" w:rsidP="00613C92">
            <w:pPr>
              <w:pStyle w:val="Compact"/>
              <w:rPr>
                <w:sz w:val="20"/>
                <w:szCs w:val="20"/>
              </w:rPr>
            </w:pPr>
            <w:r w:rsidRPr="00FF088B">
              <w:rPr>
                <w:sz w:val="20"/>
                <w:szCs w:val="20"/>
              </w:rPr>
              <w:t>0.01</w:t>
            </w:r>
          </w:p>
        </w:tc>
        <w:tc>
          <w:tcPr>
            <w:tcW w:w="0" w:type="auto"/>
          </w:tcPr>
          <w:p w14:paraId="01629932" w14:textId="77777777" w:rsidR="008417A4" w:rsidRPr="00FF088B" w:rsidRDefault="008417A4" w:rsidP="00613C92">
            <w:pPr>
              <w:pStyle w:val="Compact"/>
              <w:rPr>
                <w:sz w:val="20"/>
                <w:szCs w:val="20"/>
              </w:rPr>
            </w:pPr>
            <w:r w:rsidRPr="00FF088B">
              <w:rPr>
                <w:sz w:val="20"/>
                <w:szCs w:val="20"/>
              </w:rPr>
              <w:t>0.01</w:t>
            </w:r>
          </w:p>
        </w:tc>
        <w:tc>
          <w:tcPr>
            <w:tcW w:w="0" w:type="auto"/>
          </w:tcPr>
          <w:p w14:paraId="3E9BC810" w14:textId="77777777" w:rsidR="008417A4" w:rsidRPr="00FF088B" w:rsidRDefault="008417A4" w:rsidP="00613C92">
            <w:pPr>
              <w:pStyle w:val="Compact"/>
              <w:rPr>
                <w:sz w:val="20"/>
                <w:szCs w:val="20"/>
              </w:rPr>
            </w:pPr>
            <w:r w:rsidRPr="00FF088B">
              <w:rPr>
                <w:sz w:val="20"/>
                <w:szCs w:val="20"/>
              </w:rPr>
              <w:t>0.00</w:t>
            </w:r>
          </w:p>
        </w:tc>
        <w:tc>
          <w:tcPr>
            <w:tcW w:w="0" w:type="auto"/>
          </w:tcPr>
          <w:p w14:paraId="7956F0CA" w14:textId="77777777" w:rsidR="008417A4" w:rsidRPr="00FF088B" w:rsidRDefault="008417A4" w:rsidP="00613C92">
            <w:pPr>
              <w:pStyle w:val="Compact"/>
              <w:rPr>
                <w:sz w:val="20"/>
                <w:szCs w:val="20"/>
              </w:rPr>
            </w:pPr>
            <w:r w:rsidRPr="00FF088B">
              <w:rPr>
                <w:sz w:val="20"/>
                <w:szCs w:val="20"/>
              </w:rPr>
              <w:t>0.00</w:t>
            </w:r>
          </w:p>
        </w:tc>
      </w:tr>
      <w:tr w:rsidR="008417A4" w:rsidRPr="00FF088B" w14:paraId="4F533A43" w14:textId="77777777" w:rsidTr="00613C92">
        <w:tc>
          <w:tcPr>
            <w:tcW w:w="0" w:type="auto"/>
          </w:tcPr>
          <w:p w14:paraId="6BF5FCF1" w14:textId="77777777" w:rsidR="008417A4" w:rsidRPr="00FF088B" w:rsidRDefault="008417A4" w:rsidP="00613C92">
            <w:pPr>
              <w:pStyle w:val="Compact"/>
              <w:rPr>
                <w:sz w:val="20"/>
                <w:szCs w:val="20"/>
              </w:rPr>
            </w:pPr>
            <w:r>
              <w:rPr>
                <w:sz w:val="20"/>
                <w:szCs w:val="20"/>
              </w:rPr>
              <w:t>Product yield vs. methanol (</w:t>
            </w:r>
            <w:proofErr w:type="spellStart"/>
            <w:r>
              <w:rPr>
                <w:sz w:val="20"/>
                <w:szCs w:val="20"/>
              </w:rPr>
              <w:t>mmol</w:t>
            </w:r>
            <w:proofErr w:type="spellEnd"/>
            <w:r>
              <w:rPr>
                <w:sz w:val="20"/>
                <w:szCs w:val="20"/>
              </w:rPr>
              <w:t xml:space="preserve"> [</w:t>
            </w:r>
            <w:proofErr w:type="spellStart"/>
            <w:r>
              <w:rPr>
                <w:sz w:val="20"/>
                <w:szCs w:val="20"/>
              </w:rPr>
              <w:t>mmol</w:t>
            </w:r>
            <w:proofErr w:type="spellEnd"/>
            <w:r>
              <w:rPr>
                <w:sz w:val="20"/>
                <w:szCs w:val="20"/>
              </w:rPr>
              <w:t xml:space="preserve"> methanol</w:t>
            </w:r>
            <w:r>
              <w:rPr>
                <w:vertAlign w:val="superscript"/>
              </w:rPr>
              <w:t xml:space="preserve"> </w:t>
            </w:r>
            <w:r>
              <w:rPr>
                <w:sz w:val="20"/>
                <w:szCs w:val="20"/>
              </w:rPr>
              <w:t>consumed</w:t>
            </w:r>
            <w:r w:rsidRPr="00CF336B">
              <w:rPr>
                <w:vertAlign w:val="superscript"/>
              </w:rPr>
              <w:t>-1</w:t>
            </w:r>
            <w:r w:rsidRPr="003579B6">
              <w:rPr>
                <w:sz w:val="20"/>
                <w:szCs w:val="20"/>
              </w:rPr>
              <w:t>]</w:t>
            </w:r>
            <w:r>
              <w:rPr>
                <w:sz w:val="20"/>
                <w:szCs w:val="20"/>
              </w:rPr>
              <w:t>)</w:t>
            </w:r>
          </w:p>
        </w:tc>
        <w:tc>
          <w:tcPr>
            <w:tcW w:w="0" w:type="auto"/>
          </w:tcPr>
          <w:p w14:paraId="56F59BBE" w14:textId="77777777" w:rsidR="008417A4" w:rsidRPr="00FF088B" w:rsidRDefault="008417A4" w:rsidP="00613C92">
            <w:pPr>
              <w:pStyle w:val="Compact"/>
              <w:rPr>
                <w:sz w:val="20"/>
                <w:szCs w:val="20"/>
              </w:rPr>
            </w:pPr>
            <w:r w:rsidRPr="00FF088B">
              <w:rPr>
                <w:sz w:val="20"/>
                <w:szCs w:val="20"/>
              </w:rPr>
              <w:t>methanol</w:t>
            </w:r>
          </w:p>
        </w:tc>
        <w:tc>
          <w:tcPr>
            <w:tcW w:w="0" w:type="auto"/>
          </w:tcPr>
          <w:p w14:paraId="27649AF9" w14:textId="77777777" w:rsidR="008417A4" w:rsidRPr="00FF088B" w:rsidRDefault="008417A4" w:rsidP="00613C92">
            <w:pPr>
              <w:pStyle w:val="Compact"/>
              <w:rPr>
                <w:sz w:val="20"/>
                <w:szCs w:val="20"/>
              </w:rPr>
            </w:pPr>
            <w:r>
              <w:rPr>
                <w:sz w:val="20"/>
                <w:szCs w:val="20"/>
              </w:rPr>
              <w:t>methane</w:t>
            </w:r>
          </w:p>
        </w:tc>
        <w:tc>
          <w:tcPr>
            <w:tcW w:w="0" w:type="auto"/>
          </w:tcPr>
          <w:p w14:paraId="5999F8DB" w14:textId="77777777" w:rsidR="008417A4" w:rsidRPr="00FF088B" w:rsidRDefault="008417A4" w:rsidP="00613C92">
            <w:pPr>
              <w:pStyle w:val="Compact"/>
              <w:rPr>
                <w:sz w:val="20"/>
                <w:szCs w:val="20"/>
              </w:rPr>
            </w:pPr>
            <w:r w:rsidRPr="00FF088B">
              <w:rPr>
                <w:sz w:val="20"/>
                <w:szCs w:val="20"/>
              </w:rPr>
              <w:t>SD methanol</w:t>
            </w:r>
          </w:p>
        </w:tc>
        <w:tc>
          <w:tcPr>
            <w:tcW w:w="0" w:type="auto"/>
          </w:tcPr>
          <w:p w14:paraId="02ECBE75" w14:textId="77777777" w:rsidR="008417A4" w:rsidRPr="00FF088B" w:rsidRDefault="008417A4" w:rsidP="00613C92">
            <w:pPr>
              <w:pStyle w:val="Compact"/>
              <w:rPr>
                <w:sz w:val="20"/>
                <w:szCs w:val="20"/>
              </w:rPr>
            </w:pPr>
            <w:r>
              <w:rPr>
                <w:sz w:val="20"/>
                <w:szCs w:val="20"/>
              </w:rPr>
              <w:t>SD methane</w:t>
            </w:r>
          </w:p>
        </w:tc>
      </w:tr>
      <w:tr w:rsidR="008417A4" w:rsidRPr="00FF088B" w14:paraId="49806021" w14:textId="77777777" w:rsidTr="00613C92">
        <w:tc>
          <w:tcPr>
            <w:tcW w:w="0" w:type="auto"/>
          </w:tcPr>
          <w:p w14:paraId="46EEF92E" w14:textId="77777777" w:rsidR="008417A4" w:rsidRPr="00FF088B" w:rsidRDefault="008417A4" w:rsidP="00613C92">
            <w:pPr>
              <w:pStyle w:val="Compact"/>
              <w:rPr>
                <w:sz w:val="20"/>
                <w:szCs w:val="20"/>
              </w:rPr>
            </w:pPr>
            <w:proofErr w:type="spellStart"/>
            <w:r w:rsidRPr="00FF088B">
              <w:rPr>
                <w:sz w:val="20"/>
                <w:szCs w:val="20"/>
              </w:rPr>
              <w:t>Formate</w:t>
            </w:r>
            <w:proofErr w:type="spellEnd"/>
          </w:p>
        </w:tc>
        <w:tc>
          <w:tcPr>
            <w:tcW w:w="0" w:type="auto"/>
          </w:tcPr>
          <w:p w14:paraId="58DA2636" w14:textId="77777777" w:rsidR="008417A4" w:rsidRPr="00FF088B" w:rsidRDefault="008417A4" w:rsidP="00613C92">
            <w:pPr>
              <w:pStyle w:val="Compact"/>
              <w:rPr>
                <w:sz w:val="20"/>
                <w:szCs w:val="20"/>
              </w:rPr>
            </w:pPr>
            <w:r>
              <w:rPr>
                <w:sz w:val="20"/>
                <w:szCs w:val="20"/>
              </w:rPr>
              <w:t>0.11</w:t>
            </w:r>
          </w:p>
        </w:tc>
        <w:tc>
          <w:tcPr>
            <w:tcW w:w="0" w:type="auto"/>
          </w:tcPr>
          <w:p w14:paraId="43F8D0EA" w14:textId="77777777" w:rsidR="008417A4" w:rsidRPr="00FF088B" w:rsidRDefault="008417A4" w:rsidP="00613C92">
            <w:pPr>
              <w:pStyle w:val="Compact"/>
              <w:rPr>
                <w:sz w:val="20"/>
                <w:szCs w:val="20"/>
              </w:rPr>
            </w:pPr>
            <w:r>
              <w:rPr>
                <w:sz w:val="20"/>
                <w:szCs w:val="20"/>
              </w:rPr>
              <w:t>NA</w:t>
            </w:r>
          </w:p>
        </w:tc>
        <w:tc>
          <w:tcPr>
            <w:tcW w:w="0" w:type="auto"/>
          </w:tcPr>
          <w:p w14:paraId="3B737F0B" w14:textId="77777777" w:rsidR="008417A4" w:rsidRPr="00FF088B" w:rsidRDefault="008417A4" w:rsidP="00613C92">
            <w:pPr>
              <w:pStyle w:val="Compact"/>
              <w:rPr>
                <w:sz w:val="20"/>
                <w:szCs w:val="20"/>
              </w:rPr>
            </w:pPr>
            <w:r>
              <w:rPr>
                <w:sz w:val="20"/>
                <w:szCs w:val="20"/>
              </w:rPr>
              <w:t>0.04</w:t>
            </w:r>
          </w:p>
        </w:tc>
        <w:tc>
          <w:tcPr>
            <w:tcW w:w="0" w:type="auto"/>
          </w:tcPr>
          <w:p w14:paraId="58DDA143" w14:textId="77777777" w:rsidR="008417A4" w:rsidRPr="00FF088B" w:rsidRDefault="008417A4" w:rsidP="00613C92">
            <w:pPr>
              <w:pStyle w:val="Compact"/>
              <w:rPr>
                <w:sz w:val="20"/>
                <w:szCs w:val="20"/>
              </w:rPr>
            </w:pPr>
            <w:r>
              <w:rPr>
                <w:sz w:val="20"/>
                <w:szCs w:val="20"/>
              </w:rPr>
              <w:t>NA</w:t>
            </w:r>
          </w:p>
        </w:tc>
      </w:tr>
      <w:tr w:rsidR="008417A4" w:rsidRPr="00FF088B" w14:paraId="12156394" w14:textId="77777777" w:rsidTr="00613C92">
        <w:tc>
          <w:tcPr>
            <w:tcW w:w="0" w:type="auto"/>
          </w:tcPr>
          <w:p w14:paraId="5CF4B531" w14:textId="77777777" w:rsidR="008417A4" w:rsidRPr="00FF088B" w:rsidRDefault="008417A4" w:rsidP="00613C92">
            <w:pPr>
              <w:pStyle w:val="Compact"/>
              <w:rPr>
                <w:sz w:val="20"/>
                <w:szCs w:val="20"/>
              </w:rPr>
            </w:pPr>
            <w:r w:rsidRPr="00FF088B">
              <w:rPr>
                <w:sz w:val="20"/>
                <w:szCs w:val="20"/>
              </w:rPr>
              <w:t>Acetate</w:t>
            </w:r>
          </w:p>
        </w:tc>
        <w:tc>
          <w:tcPr>
            <w:tcW w:w="0" w:type="auto"/>
          </w:tcPr>
          <w:p w14:paraId="32D80586" w14:textId="77777777" w:rsidR="008417A4" w:rsidRPr="00FF088B" w:rsidRDefault="008417A4" w:rsidP="00613C92">
            <w:pPr>
              <w:pStyle w:val="Compact"/>
              <w:rPr>
                <w:sz w:val="20"/>
                <w:szCs w:val="20"/>
              </w:rPr>
            </w:pPr>
            <w:r>
              <w:rPr>
                <w:sz w:val="20"/>
                <w:szCs w:val="20"/>
              </w:rPr>
              <w:t>1.00E-03</w:t>
            </w:r>
          </w:p>
        </w:tc>
        <w:tc>
          <w:tcPr>
            <w:tcW w:w="0" w:type="auto"/>
          </w:tcPr>
          <w:p w14:paraId="2458AEA9" w14:textId="77777777" w:rsidR="008417A4" w:rsidRPr="00FF088B" w:rsidRDefault="008417A4" w:rsidP="00613C92">
            <w:pPr>
              <w:pStyle w:val="Compact"/>
              <w:rPr>
                <w:sz w:val="20"/>
                <w:szCs w:val="20"/>
              </w:rPr>
            </w:pPr>
            <w:r>
              <w:rPr>
                <w:sz w:val="20"/>
                <w:szCs w:val="20"/>
              </w:rPr>
              <w:t>NA</w:t>
            </w:r>
          </w:p>
        </w:tc>
        <w:tc>
          <w:tcPr>
            <w:tcW w:w="0" w:type="auto"/>
          </w:tcPr>
          <w:p w14:paraId="79316015" w14:textId="77777777" w:rsidR="008417A4" w:rsidRPr="00FF088B" w:rsidRDefault="008417A4" w:rsidP="00613C92">
            <w:pPr>
              <w:pStyle w:val="Compact"/>
              <w:rPr>
                <w:sz w:val="20"/>
                <w:szCs w:val="20"/>
              </w:rPr>
            </w:pPr>
            <w:r>
              <w:rPr>
                <w:sz w:val="20"/>
                <w:szCs w:val="20"/>
              </w:rPr>
              <w:t>3.66E-04</w:t>
            </w:r>
          </w:p>
        </w:tc>
        <w:tc>
          <w:tcPr>
            <w:tcW w:w="0" w:type="auto"/>
          </w:tcPr>
          <w:p w14:paraId="76400BE6" w14:textId="77777777" w:rsidR="008417A4" w:rsidRPr="00FF088B" w:rsidRDefault="008417A4" w:rsidP="00613C92">
            <w:pPr>
              <w:pStyle w:val="Compact"/>
              <w:rPr>
                <w:sz w:val="20"/>
                <w:szCs w:val="20"/>
              </w:rPr>
            </w:pPr>
            <w:r>
              <w:rPr>
                <w:sz w:val="20"/>
                <w:szCs w:val="20"/>
              </w:rPr>
              <w:t>NA</w:t>
            </w:r>
          </w:p>
        </w:tc>
      </w:tr>
      <w:tr w:rsidR="008417A4" w:rsidRPr="00FF088B" w14:paraId="4D1FC672" w14:textId="77777777" w:rsidTr="00613C92">
        <w:tc>
          <w:tcPr>
            <w:tcW w:w="0" w:type="auto"/>
          </w:tcPr>
          <w:p w14:paraId="5999E354" w14:textId="77777777" w:rsidR="008417A4" w:rsidRPr="00FF088B" w:rsidRDefault="008417A4" w:rsidP="00613C92">
            <w:pPr>
              <w:pStyle w:val="Compact"/>
              <w:rPr>
                <w:sz w:val="20"/>
                <w:szCs w:val="20"/>
              </w:rPr>
            </w:pPr>
            <w:r>
              <w:rPr>
                <w:sz w:val="20"/>
                <w:szCs w:val="20"/>
              </w:rPr>
              <w:t>L</w:t>
            </w:r>
            <w:r w:rsidRPr="00FF088B">
              <w:rPr>
                <w:sz w:val="20"/>
                <w:szCs w:val="20"/>
              </w:rPr>
              <w:t>actate</w:t>
            </w:r>
          </w:p>
        </w:tc>
        <w:tc>
          <w:tcPr>
            <w:tcW w:w="0" w:type="auto"/>
          </w:tcPr>
          <w:p w14:paraId="7FB3010D" w14:textId="77777777" w:rsidR="008417A4" w:rsidRPr="00FF088B" w:rsidRDefault="008417A4" w:rsidP="00613C92">
            <w:pPr>
              <w:pStyle w:val="Compact"/>
              <w:rPr>
                <w:sz w:val="20"/>
                <w:szCs w:val="20"/>
              </w:rPr>
            </w:pPr>
            <w:r>
              <w:rPr>
                <w:sz w:val="20"/>
                <w:szCs w:val="20"/>
              </w:rPr>
              <w:t>5.92</w:t>
            </w:r>
            <w:r w:rsidRPr="00FF088B">
              <w:rPr>
                <w:sz w:val="20"/>
                <w:szCs w:val="20"/>
              </w:rPr>
              <w:t>E-05</w:t>
            </w:r>
          </w:p>
        </w:tc>
        <w:tc>
          <w:tcPr>
            <w:tcW w:w="0" w:type="auto"/>
          </w:tcPr>
          <w:p w14:paraId="113C5360" w14:textId="77777777" w:rsidR="008417A4" w:rsidRPr="00FF088B" w:rsidRDefault="008417A4" w:rsidP="00613C92">
            <w:pPr>
              <w:pStyle w:val="Compact"/>
              <w:rPr>
                <w:sz w:val="20"/>
                <w:szCs w:val="20"/>
              </w:rPr>
            </w:pPr>
            <w:r>
              <w:rPr>
                <w:sz w:val="20"/>
                <w:szCs w:val="20"/>
              </w:rPr>
              <w:t>NA</w:t>
            </w:r>
          </w:p>
        </w:tc>
        <w:tc>
          <w:tcPr>
            <w:tcW w:w="0" w:type="auto"/>
          </w:tcPr>
          <w:p w14:paraId="525742E5" w14:textId="77777777" w:rsidR="008417A4" w:rsidRPr="00FF088B" w:rsidRDefault="008417A4" w:rsidP="00613C92">
            <w:pPr>
              <w:pStyle w:val="Compact"/>
              <w:rPr>
                <w:sz w:val="20"/>
                <w:szCs w:val="20"/>
              </w:rPr>
            </w:pPr>
            <w:r>
              <w:rPr>
                <w:sz w:val="20"/>
                <w:szCs w:val="20"/>
              </w:rPr>
              <w:t>2.92</w:t>
            </w:r>
            <w:r w:rsidRPr="00FF088B">
              <w:rPr>
                <w:sz w:val="20"/>
                <w:szCs w:val="20"/>
              </w:rPr>
              <w:t>E-05</w:t>
            </w:r>
          </w:p>
        </w:tc>
        <w:tc>
          <w:tcPr>
            <w:tcW w:w="0" w:type="auto"/>
          </w:tcPr>
          <w:p w14:paraId="78AE2DCB" w14:textId="77777777" w:rsidR="008417A4" w:rsidRPr="00FF088B" w:rsidRDefault="008417A4" w:rsidP="00613C92">
            <w:pPr>
              <w:pStyle w:val="Compact"/>
              <w:rPr>
                <w:sz w:val="20"/>
                <w:szCs w:val="20"/>
              </w:rPr>
            </w:pPr>
            <w:r>
              <w:rPr>
                <w:sz w:val="20"/>
                <w:szCs w:val="20"/>
              </w:rPr>
              <w:t>NA</w:t>
            </w:r>
          </w:p>
        </w:tc>
      </w:tr>
    </w:tbl>
    <w:p w14:paraId="570CED70" w14:textId="77777777" w:rsidR="008417A4" w:rsidRPr="003579B6" w:rsidRDefault="008417A4" w:rsidP="008417A4">
      <w:pPr>
        <w:pStyle w:val="BodyText"/>
        <w:rPr>
          <w:szCs w:val="20"/>
        </w:rPr>
      </w:pPr>
      <w:r w:rsidRPr="003579B6">
        <w:rPr>
          <w:szCs w:val="20"/>
        </w:rPr>
        <w:t>Three biological replicates for methanol culture, two biological replicates for methane culture.</w:t>
      </w:r>
      <w:r>
        <w:rPr>
          <w:szCs w:val="20"/>
        </w:rPr>
        <w:t xml:space="preserve"> SD, standard deviation. NA, not applicable</w:t>
      </w:r>
    </w:p>
    <w:p w14:paraId="25FDBC5A" w14:textId="3A5D486F" w:rsidR="008417A4" w:rsidRPr="00A31A10" w:rsidRDefault="000E188E" w:rsidP="00A31A10">
      <w:pPr>
        <w:pStyle w:val="Heading3"/>
      </w:pPr>
      <w:bookmarkStart w:id="100" w:name="header-c90"/>
      <w:bookmarkStart w:id="101" w:name="_Toc468311749"/>
      <w:bookmarkEnd w:id="100"/>
      <w:r w:rsidRPr="00A31A10">
        <w:t>4.</w:t>
      </w:r>
      <w:r w:rsidR="008417A4" w:rsidRPr="00A31A10">
        <w:t>4.</w:t>
      </w:r>
      <w:r w:rsidR="008417A4" w:rsidRPr="00A31A10">
        <w:rPr>
          <w:vertAlign w:val="superscript"/>
        </w:rPr>
        <w:t>13</w:t>
      </w:r>
      <w:r w:rsidR="008417A4" w:rsidRPr="00A31A10">
        <w:t>C tracer analysis elucidated relative flux ratio downstream of PEP node.</w:t>
      </w:r>
      <w:bookmarkEnd w:id="101"/>
    </w:p>
    <w:p w14:paraId="122F9A4C" w14:textId="62434266" w:rsidR="008417A4" w:rsidRDefault="008417A4" w:rsidP="008417A4">
      <w:pPr>
        <w:pStyle w:val="FirstParagraph"/>
      </w:pPr>
      <w:r>
        <w:t>As described previously</w:t>
      </w:r>
      <w:r>
        <w:fldChar w:fldCharType="begin" w:fldLock="1"/>
      </w:r>
      <w:r w:rsidR="008C0508">
        <w:instrText>ADDIN CSL_CITATION { "citationItems" : [ { "id" : "ITEM-1", "itemData" : { "author" : [ { "dropping-particle" : "", "family" : "Fu", "given" : "Yanfen", "non-dropping-particle" : "", "parse-names" : false, "suffix" : "" }, { "dropping-particle" : "", "family" : "Li", "given" : "Yi", "non-dropping-particle" : "", "parse-names" : false, "suffix" : "" }, { "dropping-particle" : "", "family" : "Lidstrom", "given" : "Mary", "non-dropping-particle" : "", "parse-names" : false, "suffix" : "" } ], "id" : "ITEM-1", "issue" : "206", "issued" : { "date-parts" : [ [ "0" ] ] }, "title" : "The oxidative TCA cycle operates during methanotrophic growth of the Type I methanotroph Methylomicrobium buryatense 5GB1 Department of Chemical Engineering , 2 Department of Microbiology , University of To whom correspondence should be addressed : Mary E", "type" : "article-journal" }, "uris" : [ "http://www.mendeley.com/documents/?uuid=6d2d81a5-006a-4a17-8478-4fb8c6c5261f" ] } ], "mendeley" : { "formattedCitation" : "[83]", "plainTextFormattedCitation" : "[83]", "previouslyFormattedCitation" : "[83]" }, "properties" : { "noteIndex" : 0 }, "schema" : "https://github.com/citation-style-language/schema/raw/master/csl-citation.json" }</w:instrText>
      </w:r>
      <w:r>
        <w:fldChar w:fldCharType="separate"/>
      </w:r>
      <w:r w:rsidR="0005386F" w:rsidRPr="0005386F">
        <w:rPr>
          <w:noProof/>
        </w:rPr>
        <w:t>[83]</w:t>
      </w:r>
      <w:r>
        <w:fldChar w:fldCharType="end"/>
      </w:r>
      <w:r>
        <w:t xml:space="preserve">, </w:t>
      </w:r>
      <w:r>
        <w:rPr>
          <w:vertAlign w:val="superscript"/>
        </w:rPr>
        <w:t>13</w:t>
      </w:r>
      <w:r>
        <w:t xml:space="preserve">C analysis cannot resolve relative flux contributions of the </w:t>
      </w:r>
      <w:proofErr w:type="spellStart"/>
      <w:r>
        <w:t>RuMP</w:t>
      </w:r>
      <w:proofErr w:type="spellEnd"/>
      <w:r>
        <w:t xml:space="preserve"> cycle, EMP pathway, or ED pathway, but can resolve relative flux contributions downstream of the PEP and pyruvate node due to carboxylation reactions. In this study, the same procedure was applied to WT with </w:t>
      </w:r>
      <w:r>
        <w:rPr>
          <w:vertAlign w:val="superscript"/>
        </w:rPr>
        <w:lastRenderedPageBreak/>
        <w:t>13</w:t>
      </w:r>
      <w:r>
        <w:t xml:space="preserve">C methanol as the tracer substrate. Figure </w:t>
      </w:r>
      <w:r w:rsidR="00CD1FA3">
        <w:t>4.</w:t>
      </w:r>
      <w:r>
        <w:t>1 shows the MIDs of 2 key metabolites (full list in supplementa</w:t>
      </w:r>
      <w:r w:rsidR="001A719D">
        <w:t>l material Table S4_</w:t>
      </w:r>
      <w:r>
        <w:t xml:space="preserve">1). It clearly shows that malate and threonine (indicator of OAA) have a consistent labeling pattern, which suggested that the major flux to </w:t>
      </w:r>
      <w:r>
        <w:rPr>
          <w:i/>
        </w:rPr>
        <w:t>de novo</w:t>
      </w:r>
      <w:r>
        <w:t xml:space="preserve"> production of OAA and malate was through carboxylation reactions, which on the other hand suggested a minor flux contribution from the oxidative TCA cycle to </w:t>
      </w:r>
      <w:r>
        <w:rPr>
          <w:i/>
        </w:rPr>
        <w:t>de novo</w:t>
      </w:r>
      <w:r>
        <w:t xml:space="preserve"> malate production. The CO</w:t>
      </w:r>
      <w:r>
        <w:rPr>
          <w:vertAlign w:val="subscript"/>
        </w:rPr>
        <w:t>2</w:t>
      </w:r>
      <w:r>
        <w:t xml:space="preserve"> pool was also determined with 76% unlabeled (diffusion from extracellular sources) and 24% labeled (from </w:t>
      </w:r>
      <w:r>
        <w:rPr>
          <w:vertAlign w:val="superscript"/>
        </w:rPr>
        <w:t>13</w:t>
      </w:r>
      <w:r>
        <w:t xml:space="preserve">C methanol oxidation through </w:t>
      </w:r>
      <w:proofErr w:type="spellStart"/>
      <w:r>
        <w:t>formate</w:t>
      </w:r>
      <w:proofErr w:type="spellEnd"/>
      <w:r>
        <w:t xml:space="preserve"> dehydrogenase). </w:t>
      </w:r>
      <w:r w:rsidRPr="00B21793">
        <w:t>Meanwhile</w:t>
      </w:r>
      <w:r>
        <w:t xml:space="preserve">, citrate has about 20% of total label as M4, suggesting that </w:t>
      </w:r>
      <w:proofErr w:type="spellStart"/>
      <w:r>
        <w:t>AcCoA</w:t>
      </w:r>
      <w:proofErr w:type="spellEnd"/>
      <w:r>
        <w:t xml:space="preserve"> has two sources, from pyruvate (fully labeled) through pyruvate dehydrogenase and from malate, through </w:t>
      </w:r>
      <w:proofErr w:type="spellStart"/>
      <w:r>
        <w:t>malyl</w:t>
      </w:r>
      <w:proofErr w:type="spellEnd"/>
      <w:r>
        <w:t xml:space="preserve">-CoA </w:t>
      </w:r>
      <w:proofErr w:type="spellStart"/>
      <w:r>
        <w:t>lyase</w:t>
      </w:r>
      <w:proofErr w:type="spellEnd"/>
      <w:r>
        <w:t xml:space="preserve"> (Figure </w:t>
      </w:r>
      <w:r w:rsidR="00A81125">
        <w:t>4.</w:t>
      </w:r>
      <w:r>
        <w:t xml:space="preserve">1a). The relative flux contribution to </w:t>
      </w:r>
      <w:r>
        <w:rPr>
          <w:i/>
        </w:rPr>
        <w:t xml:space="preserve">de novo </w:t>
      </w:r>
      <w:r>
        <w:t xml:space="preserve">production of </w:t>
      </w:r>
      <w:proofErr w:type="spellStart"/>
      <w:r>
        <w:t>AcCoA</w:t>
      </w:r>
      <w:proofErr w:type="spellEnd"/>
      <w:r>
        <w:t xml:space="preserve"> was then determined using the method described in Figure </w:t>
      </w:r>
      <w:r w:rsidR="00417E2B">
        <w:t>4.</w:t>
      </w:r>
      <w:r>
        <w:t xml:space="preserve">3a. As shown in Figure </w:t>
      </w:r>
      <w:r w:rsidR="00870E38">
        <w:t>4.</w:t>
      </w:r>
      <w:r>
        <w:t>3b, the relative flux contribution to Acetyl-CoA in WT is calculated to be 30% from pyruvate, presumably from pyruvate dehydrogenase (</w:t>
      </w:r>
      <w:proofErr w:type="spellStart"/>
      <w:r>
        <w:t>Pdh</w:t>
      </w:r>
      <w:proofErr w:type="spellEnd"/>
      <w:r>
        <w:t xml:space="preserve">) and 70% from </w:t>
      </w:r>
      <w:proofErr w:type="spellStart"/>
      <w:r>
        <w:t>malyl</w:t>
      </w:r>
      <w:proofErr w:type="spellEnd"/>
      <w:r>
        <w:t xml:space="preserve">-CoA </w:t>
      </w:r>
      <w:proofErr w:type="spellStart"/>
      <w:r>
        <w:t>lyase</w:t>
      </w:r>
      <w:proofErr w:type="spellEnd"/>
      <w:r>
        <w:t xml:space="preserve"> (</w:t>
      </w:r>
      <w:proofErr w:type="spellStart"/>
      <w:r>
        <w:t>Mcl</w:t>
      </w:r>
      <w:proofErr w:type="spellEnd"/>
      <w:r>
        <w:t xml:space="preserve">). </w:t>
      </w:r>
    </w:p>
    <w:p w14:paraId="5C8E75E2" w14:textId="77777777" w:rsidR="00853509" w:rsidRDefault="007F1192" w:rsidP="00853509">
      <w:pPr>
        <w:pStyle w:val="BodyText"/>
        <w:keepNext/>
      </w:pPr>
      <w:r>
        <w:rPr>
          <w:noProof/>
          <w:lang w:eastAsia="zh-CN"/>
        </w:rPr>
        <w:lastRenderedPageBreak/>
        <w:drawing>
          <wp:inline distT="0" distB="0" distL="0" distR="0" wp14:anchorId="24FABBC7" wp14:editId="48685029">
            <wp:extent cx="6217920" cy="4681728"/>
            <wp:effectExtent l="0" t="0" r="0" b="508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17920" cy="4681728"/>
                    </a:xfrm>
                    <a:prstGeom prst="rect">
                      <a:avLst/>
                    </a:prstGeom>
                    <a:noFill/>
                  </pic:spPr>
                </pic:pic>
              </a:graphicData>
            </a:graphic>
          </wp:inline>
        </w:drawing>
      </w:r>
    </w:p>
    <w:p w14:paraId="1741ABEF" w14:textId="5DA0ED6B" w:rsidR="00A552AB" w:rsidRDefault="00853509" w:rsidP="00A552AB">
      <w:pPr>
        <w:pStyle w:val="Caption"/>
      </w:pPr>
      <w:r>
        <w:t xml:space="preserve">Figure </w:t>
      </w:r>
      <w:r w:rsidR="00AE33EC">
        <w:t>4.1</w:t>
      </w:r>
      <w:r w:rsidR="00A552AB">
        <w:t xml:space="preserve"> Core metabolism for methanol growth with MIDs for key metabolites. a) Methanol is oxidized to formaldehyde, and either enters into the </w:t>
      </w:r>
      <w:proofErr w:type="spellStart"/>
      <w:r w:rsidR="00A552AB">
        <w:t>RuMP</w:t>
      </w:r>
      <w:proofErr w:type="spellEnd"/>
      <w:r w:rsidR="00A552AB">
        <w:t xml:space="preserve"> cycle or is further oxidized to </w:t>
      </w:r>
      <w:proofErr w:type="spellStart"/>
      <w:r w:rsidR="00A552AB">
        <w:t>formate</w:t>
      </w:r>
      <w:proofErr w:type="spellEnd"/>
      <w:r w:rsidR="00A552AB">
        <w:t xml:space="preserve"> and then CO</w:t>
      </w:r>
      <w:r w:rsidR="00A552AB">
        <w:rPr>
          <w:vertAlign w:val="subscript"/>
        </w:rPr>
        <w:t xml:space="preserve">2. </w:t>
      </w:r>
      <w:r w:rsidR="00A552AB">
        <w:t xml:space="preserve">Sugar phosphates with 6-carbon backbones are converted into sugar phosphates with 3-carbon backbones via either the EMP pathway or the EDD pathway. Downstream of the PEP and pyruvate node, multiple routes exist for the interconversion of C3-C4 compounds. Both pyruvate dehydrogenase as well as </w:t>
      </w:r>
      <w:proofErr w:type="spellStart"/>
      <w:r w:rsidR="00A552AB">
        <w:t>malyl</w:t>
      </w:r>
      <w:proofErr w:type="spellEnd"/>
      <w:r w:rsidR="00A552AB">
        <w:t xml:space="preserve">-CoA </w:t>
      </w:r>
      <w:proofErr w:type="spellStart"/>
      <w:r w:rsidR="00A552AB">
        <w:t>lyase</w:t>
      </w:r>
      <w:proofErr w:type="spellEnd"/>
      <w:r w:rsidR="00A552AB">
        <w:t xml:space="preserve"> could contribute to </w:t>
      </w:r>
      <w:r w:rsidR="00A552AB">
        <w:rPr>
          <w:i/>
        </w:rPr>
        <w:t>de novo</w:t>
      </w:r>
      <w:r w:rsidR="00A552AB">
        <w:t xml:space="preserve"> </w:t>
      </w:r>
      <w:proofErr w:type="spellStart"/>
      <w:r w:rsidR="00A552AB">
        <w:t>AcCoA</w:t>
      </w:r>
      <w:proofErr w:type="spellEnd"/>
      <w:r w:rsidR="00A552AB">
        <w:t xml:space="preserve"> synthesis. </w:t>
      </w:r>
      <w:proofErr w:type="spellStart"/>
      <w:r w:rsidR="00A552AB">
        <w:t>AcCoA</w:t>
      </w:r>
      <w:proofErr w:type="spellEnd"/>
      <w:r w:rsidR="00A552AB">
        <w:t xml:space="preserve"> enters the TCA cycle to provide precursors for biomass synthesis. b) MIDs of malate and threonine indicate negligible flux through </w:t>
      </w:r>
      <w:proofErr w:type="spellStart"/>
      <w:r w:rsidR="00A552AB">
        <w:t>fumarase</w:t>
      </w:r>
      <w:proofErr w:type="spellEnd"/>
      <w:r w:rsidR="00A552AB">
        <w:t xml:space="preserve"> to malate.  Values were in triplicate.</w:t>
      </w:r>
    </w:p>
    <w:p w14:paraId="5BC5AD8B" w14:textId="77777777" w:rsidR="00824E0B" w:rsidRDefault="008417A4" w:rsidP="00824E0B">
      <w:pPr>
        <w:pStyle w:val="FirstParagraph"/>
        <w:keepNext/>
      </w:pPr>
      <w:r>
        <w:t xml:space="preserve">The relative contribution to </w:t>
      </w:r>
      <w:proofErr w:type="spellStart"/>
      <w:r>
        <w:t>AcCoA</w:t>
      </w:r>
      <w:proofErr w:type="spellEnd"/>
      <w:r>
        <w:t xml:space="preserve"> was also determined in the construct with the tunable ED pathway in the ‘off’ state (</w:t>
      </w:r>
      <w:r w:rsidR="004846E9">
        <w:t>Figure 4.3b</w:t>
      </w:r>
      <w:r w:rsidR="00BD72D9">
        <w:t>)</w:t>
      </w:r>
      <w:r>
        <w:t xml:space="preserve">. In this case, the contribution from </w:t>
      </w:r>
      <w:proofErr w:type="spellStart"/>
      <w:r>
        <w:t>Pdh</w:t>
      </w:r>
      <w:proofErr w:type="spellEnd"/>
      <w:r>
        <w:t xml:space="preserve"> was calculated to increase by 20% </w:t>
      </w:r>
      <w:r>
        <w:lastRenderedPageBreak/>
        <w:t xml:space="preserve">while the contribution from </w:t>
      </w:r>
      <w:proofErr w:type="spellStart"/>
      <w:r>
        <w:t>Mcl</w:t>
      </w:r>
      <w:proofErr w:type="spellEnd"/>
      <w:r>
        <w:t xml:space="preserve"> decreased by 20%. </w:t>
      </w:r>
      <w:r w:rsidR="00824E0B">
        <w:rPr>
          <w:noProof/>
          <w:lang w:eastAsia="zh-CN"/>
        </w:rPr>
        <w:drawing>
          <wp:inline distT="0" distB="0" distL="0" distR="0" wp14:anchorId="73415F8A" wp14:editId="107A4660">
            <wp:extent cx="6089904" cy="3465576"/>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9904" cy="3465576"/>
                    </a:xfrm>
                    <a:prstGeom prst="rect">
                      <a:avLst/>
                    </a:prstGeom>
                    <a:noFill/>
                  </pic:spPr>
                </pic:pic>
              </a:graphicData>
            </a:graphic>
          </wp:inline>
        </w:drawing>
      </w:r>
    </w:p>
    <w:p w14:paraId="473F01AB" w14:textId="39CD84CB" w:rsidR="008417A4" w:rsidRDefault="00824E0B" w:rsidP="00824E0B">
      <w:pPr>
        <w:pStyle w:val="Caption"/>
      </w:pPr>
      <w:r>
        <w:t>Figure 4.3</w:t>
      </w:r>
      <w:r w:rsidR="000A5B20">
        <w:t xml:space="preserve"> </w:t>
      </w:r>
      <w:r w:rsidR="000A5B20" w:rsidRPr="000A5B20">
        <w:t xml:space="preserve">Quantitation method and result of relative flux ratio between FPDH and FMCL. </w:t>
      </w:r>
      <w:proofErr w:type="spellStart"/>
      <w:r w:rsidR="000A5B20" w:rsidRPr="000A5B20">
        <w:t>a</w:t>
      </w:r>
      <w:proofErr w:type="spellEnd"/>
      <w:r w:rsidR="000A5B20" w:rsidRPr="000A5B20">
        <w:t>) Equations describing the labeling pattern of intermediate metabolites as well as relative flux from F</w:t>
      </w:r>
      <w:r w:rsidR="000A5B20" w:rsidRPr="001B2D49">
        <w:rPr>
          <w:vertAlign w:val="subscript"/>
        </w:rPr>
        <w:t>PDH</w:t>
      </w:r>
      <w:r w:rsidR="000A5B20" w:rsidRPr="000A5B20">
        <w:t xml:space="preserve"> and F</w:t>
      </w:r>
      <w:r w:rsidR="000A5B20" w:rsidRPr="001B2D49">
        <w:rPr>
          <w:vertAlign w:val="subscript"/>
        </w:rPr>
        <w:t>MCL</w:t>
      </w:r>
      <w:r w:rsidR="000A5B20" w:rsidRPr="000A5B20">
        <w:t xml:space="preserve"> to </w:t>
      </w:r>
      <w:proofErr w:type="spellStart"/>
      <w:r w:rsidR="000A5B20" w:rsidRPr="000A5B20">
        <w:t>AcCoA</w:t>
      </w:r>
      <w:proofErr w:type="spellEnd"/>
      <w:r w:rsidR="000A5B20" w:rsidRPr="000A5B20">
        <w:t xml:space="preserve">. b) Relative flux through </w:t>
      </w:r>
      <w:proofErr w:type="spellStart"/>
      <w:r w:rsidR="000A5B20" w:rsidRPr="000A5B20">
        <w:t>Pdh</w:t>
      </w:r>
      <w:proofErr w:type="spellEnd"/>
      <w:r w:rsidR="000A5B20" w:rsidRPr="000A5B20">
        <w:t xml:space="preserve"> and </w:t>
      </w:r>
      <w:proofErr w:type="spellStart"/>
      <w:r w:rsidR="000A5B20" w:rsidRPr="000A5B20">
        <w:t>Mcl</w:t>
      </w:r>
      <w:proofErr w:type="spellEnd"/>
      <w:r w:rsidR="000A5B20" w:rsidRPr="000A5B20">
        <w:t xml:space="preserve"> in both WT and the construct with the tunable EDD pathway (‘off’) state.</w:t>
      </w:r>
    </w:p>
    <w:p w14:paraId="572FCF77" w14:textId="5EC94C43" w:rsidR="008417A4" w:rsidRDefault="009E066B" w:rsidP="008417A4">
      <w:pPr>
        <w:pStyle w:val="Heading3"/>
      </w:pPr>
      <w:bookmarkStart w:id="102" w:name="header-c99"/>
      <w:bookmarkStart w:id="103" w:name="_Toc468311750"/>
      <w:bookmarkEnd w:id="102"/>
      <w:r>
        <w:t>4.</w:t>
      </w:r>
      <w:r w:rsidR="008417A4">
        <w:t>5. Modeling growth on methanol</w:t>
      </w:r>
      <w:bookmarkEnd w:id="103"/>
    </w:p>
    <w:p w14:paraId="6036F9F8" w14:textId="38623525" w:rsidR="008417A4" w:rsidRDefault="008417A4" w:rsidP="008417A4">
      <w:pPr>
        <w:pStyle w:val="FirstParagraph"/>
      </w:pPr>
      <w:r w:rsidRPr="00664DC6">
        <w:t>The experimental results of growth rate on methanol were compared</w:t>
      </w:r>
      <w:r w:rsidR="00F47CB4">
        <w:t xml:space="preserve"> to</w:t>
      </w:r>
      <w:r w:rsidRPr="00664DC6">
        <w:t xml:space="preserve"> simulated result</w:t>
      </w:r>
      <w:r w:rsidR="00F47CB4">
        <w:t>s</w:t>
      </w:r>
      <w:r w:rsidRPr="00664DC6">
        <w:t xml:space="preserve"> from  a genome scale model, based</w:t>
      </w:r>
      <w:r>
        <w:t xml:space="preserve"> on the original model published previously</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 with modifications to reflect methanol metabolism. First, the methanol transport reaction was added to the model, and also the electron transport summary equation was replaced with individual reactions including those for methanol-</w:t>
      </w:r>
      <w:proofErr w:type="spellStart"/>
      <w:r>
        <w:t>cyt</w:t>
      </w:r>
      <w:r w:rsidRPr="00236CD1">
        <w:rPr>
          <w:i/>
        </w:rPr>
        <w:t>c</w:t>
      </w:r>
      <w:proofErr w:type="spellEnd"/>
      <w:r>
        <w:t xml:space="preserve"> electron transfer (for the methanol dehydrogenase). The updated model files are included as supplemental material.</w:t>
      </w:r>
    </w:p>
    <w:p w14:paraId="382094F5" w14:textId="1CEDED18" w:rsidR="008417A4" w:rsidRDefault="008417A4" w:rsidP="008417A4">
      <w:pPr>
        <w:pStyle w:val="BodyText"/>
      </w:pPr>
      <w:r>
        <w:t>In the original model, the flux ratio of EMP and EDD is constrained by 3:1, based on previous results for methane growth</w:t>
      </w:r>
      <w:r>
        <w:fldChar w:fldCharType="begin" w:fldLock="1"/>
      </w:r>
      <w:r w:rsidR="00AF0B7D">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fldChar w:fldCharType="separate"/>
      </w:r>
      <w:r w:rsidR="00300EB6" w:rsidRPr="00300EB6">
        <w:rPr>
          <w:noProof/>
        </w:rPr>
        <w:t>[11]</w:t>
      </w:r>
      <w:r>
        <w:fldChar w:fldCharType="end"/>
      </w:r>
      <w:r>
        <w:t xml:space="preserve">. This constraint is removed for methanol metabolism, since the relative ratio cannot </w:t>
      </w:r>
      <w:r>
        <w:lastRenderedPageBreak/>
        <w:t xml:space="preserve">be determined without kinetic flux profiling. Secreted products, such as extracellular </w:t>
      </w:r>
      <w:r w:rsidRPr="00BD4E3B">
        <w:t>polysaccharide</w:t>
      </w:r>
      <w:r>
        <w:t xml:space="preserve"> (EPS), </w:t>
      </w:r>
      <w:proofErr w:type="spellStart"/>
      <w:r>
        <w:t>formate</w:t>
      </w:r>
      <w:proofErr w:type="spellEnd"/>
      <w:r>
        <w:t>, acetate and lactate were decoupled from the biomass equation for convenience in changing the values. In addition, the glycogen content was decoupled from the biomass equation, since the glycogen content changed under methanol growth. We assumed that the biomass composition other than glycogen was similar to methane growth, which leads to unchanged stoichiometry of precursors included in the biomass equation.</w:t>
      </w:r>
    </w:p>
    <w:p w14:paraId="64EF0CBF" w14:textId="28CA3ED6" w:rsidR="00036328" w:rsidRDefault="008417A4" w:rsidP="00036328">
      <w:pPr>
        <w:pStyle w:val="BodyText"/>
      </w:pPr>
      <w:r>
        <w:t xml:space="preserve">Specific methanol uptake was measured in vial cultures as 31 </w:t>
      </w:r>
      <w:proofErr w:type="spellStart"/>
      <w:r>
        <w:t>mmol</w:t>
      </w:r>
      <w:proofErr w:type="spellEnd"/>
      <w:r>
        <w:t xml:space="preserve"> (</w:t>
      </w:r>
      <w:r>
        <w:rPr>
          <w:rFonts w:cs="Arial"/>
        </w:rPr>
        <w:t>±</w:t>
      </w:r>
      <w:r>
        <w:t>11) methanol (g cdw</w:t>
      </w:r>
      <w:r w:rsidRPr="006A2AEB">
        <w:rPr>
          <w:vertAlign w:val="superscript"/>
        </w:rPr>
        <w:t>-1</w:t>
      </w:r>
      <w:r>
        <w:rPr>
          <w:vertAlign w:val="superscript"/>
        </w:rPr>
        <w:t xml:space="preserve"> </w:t>
      </w:r>
      <w:r>
        <w:t>hr</w:t>
      </w:r>
      <w:r w:rsidRPr="00CF336B">
        <w:rPr>
          <w:vertAlign w:val="superscript"/>
        </w:rPr>
        <w:t>-1</w:t>
      </w:r>
      <w:r>
        <w:t>). All of the flux balance analysis done in this study was optimized for maximum biomass growth. With the control model, substrate uptake rate, measured extracellular product rate, glycogen content</w:t>
      </w:r>
      <w:r>
        <w:fldChar w:fldCharType="begin" w:fldLock="1"/>
      </w:r>
      <w:r w:rsidR="008C0508">
        <w:instrText>ADDIN CSL_CITATION { "citationItems" : [ { "id" : "ITEM-1", "itemData" : { "DOI" : "10.1186/s12934-015-0372-8", "ISSN" : "1475-2859", "PMID" : "26572866", "abstract" : "BACKGROUND: Methane is a feedstock of interest for the future, both from natural gas and from renewable biogas sources. Methanotrophic bacteria have the potential to enable commercial methane bioconversion to value-added products such as fuels and chemicals. A strain of interest for such applications is Methylomicrobium buryatense 5GB1, due to its robust growth characteristics. However, to take advantage of the potential of this methanotroph, it is important to generate comprehensive bioreactor-based datasets for different growth conditions to compare bioprocess parameters.\n\nRESULTS: Datasets of growth parameters, gas utilization rates, and products (total biomass, extracted fatty acids, glycogen, excreted acids) were obtained for cultures of M. buryatense 5GB1 grown in continuous culture under methane limitation and O2 limitation conditions. Additionally, experiments were performed involving unrestricted batch growth conditions with both methane and methanol as substrate. All four growth conditions show significant differences. The most notable changes are the high glycogen content and high formate excretion for cells grown on methanol (batch), and high O2:CH4 utilization ratio for cells grown under methane limitation.\n\nCONCLUSIONS: The results presented here represent the most comprehensive published bioreactor datasets for a gamma-proteobacterial methanotroph. This information shows that metabolism by M. buryatense 5GB1 differs significantly for each of the four conditions tested. O2 limitation resulted in the lowest relative O2 demand and fed-batch growth on methane the highest. Future studies are needed to understand the metabolic basis of these differences. However, these results suggest that both batch and continuous culture conditions have specific advantages, depending on the product of interest.", "author" : [ { "dropping-particle" : "", "family" : "Gilman", "given" : "Alexey", "non-dropping-particle" : "", "parse-names" : false, "suffix" : "" }, { "dropping-particle" : "", "family" : "Laurens", "given" : "Lieve M", "non-dropping-particle" : "", "parse-names" : false, "suffix" : "" }, { "dropping-particle" : "", "family" : "Puri", "given" : "Aaron W", "non-dropping-particle" : "", "parse-names" : false, "suffix" : "" }, { "dropping-particle" : "", "family" : "Chu", "given" : "Frances", "non-dropping-particle" : "", "parse-names" : false, "suffix" : "" }, { "dropping-particle" : "", "family" : "Pienkos", "given" : "Philip T", "non-dropping-particle" : "", "parse-names" : false, "suffix" : "" }, { "dropping-particle" : "", "family" : "Lidstrom", "given" : "Mary E", "non-dropping-particle" : "", "parse-names" : false, "suffix" : "" } ], "container-title" : "Microbial cell factories", "id" : "ITEM-1", "issue" : "1", "issued" : { "date-parts" : [ [ "2015", "1", "16" ] ] }, "language" : "En", "page" : "182", "publisher" : "BioMed Central", "title" : "Bioreactor performance parameters for an industrially-promising methanotroph Methylomicrobium buryatense 5GB1.", "type" : "article-journal", "volume" : "14" }, "uris" : [ "http://www.mendeley.com/documents/?uuid=cdf362ef-2be3-45aa-8dfa-72a0f35c7ece" ] } ], "mendeley" : { "formattedCitation" : "[64]", "plainTextFormattedCitation" : "[64]", "previouslyFormattedCitation" : "[64]" }, "properties" : { "noteIndex" : 0 }, "schema" : "https://github.com/citation-style-language/schema/raw/master/csl-citation.json" }</w:instrText>
      </w:r>
      <w:r>
        <w:fldChar w:fldCharType="separate"/>
      </w:r>
      <w:r w:rsidR="0005386F" w:rsidRPr="0005386F">
        <w:rPr>
          <w:noProof/>
        </w:rPr>
        <w:t>[64]</w:t>
      </w:r>
      <w:r>
        <w:fldChar w:fldCharType="end"/>
      </w:r>
      <w:r>
        <w:t xml:space="preserve"> as well as EPS content (similar as methane condition) were constrained based on the experimental values. Several cases were simulated in the model with </w:t>
      </w:r>
      <w:proofErr w:type="spellStart"/>
      <w:r>
        <w:t>COBRApy</w:t>
      </w:r>
      <w:proofErr w:type="spellEnd"/>
      <w:r>
        <w:t xml:space="preserve">, the results are summarized in Table </w:t>
      </w:r>
      <w:r w:rsidR="00846C72">
        <w:t>4.</w:t>
      </w:r>
      <w:r>
        <w:t>3. The optimal growth rate under this condition is 0.475 hr</w:t>
      </w:r>
      <w:r>
        <w:rPr>
          <w:vertAlign w:val="superscript"/>
        </w:rPr>
        <w:t>-1</w:t>
      </w:r>
      <w:r>
        <w:t>, higher than the measured growth rate in vials (0.17-0.2 hr</w:t>
      </w:r>
      <w:r>
        <w:rPr>
          <w:vertAlign w:val="superscript"/>
        </w:rPr>
        <w:t>-1</w:t>
      </w:r>
      <w:r>
        <w:t xml:space="preserve">). The </w:t>
      </w:r>
      <w:proofErr w:type="spellStart"/>
      <w:r>
        <w:t>formate</w:t>
      </w:r>
      <w:proofErr w:type="spellEnd"/>
      <w:r>
        <w:t xml:space="preserve"> dehydrogenase flux is predicted to be 0 under the optimal growth condition. Robustness analysis was then performed for </w:t>
      </w:r>
      <w:proofErr w:type="spellStart"/>
      <w:r>
        <w:t>formate</w:t>
      </w:r>
      <w:proofErr w:type="spellEnd"/>
      <w:r>
        <w:t xml:space="preserve"> dehydrogenase flux (FDH) to biomass flux as shown in F</w:t>
      </w:r>
      <w:r w:rsidR="00F5004D">
        <w:t>igure 4.4a</w:t>
      </w:r>
      <w:r>
        <w:t xml:space="preserve">. A negative correlation was found between FDH and biomass flux with two slopes. Based on the experimental data for growth rate (with 25% variation), the lower bound of FDH was set to 15 </w:t>
      </w:r>
      <w:proofErr w:type="spellStart"/>
      <w:r>
        <w:t>mmol</w:t>
      </w:r>
      <w:proofErr w:type="spellEnd"/>
      <w:r>
        <w:t xml:space="preserve"> (gcdw</w:t>
      </w:r>
      <w:r w:rsidRPr="00CF336B">
        <w:rPr>
          <w:vertAlign w:val="superscript"/>
        </w:rPr>
        <w:t>-1</w:t>
      </w:r>
      <w:r>
        <w:t>hr</w:t>
      </w:r>
      <w:r w:rsidRPr="00CF336B">
        <w:rPr>
          <w:vertAlign w:val="superscript"/>
        </w:rPr>
        <w:t>-1</w:t>
      </w:r>
      <w:r>
        <w:t>). As expected, in this model, the biomass flux dropped to 0.257 hr</w:t>
      </w:r>
      <w:r>
        <w:rPr>
          <w:vertAlign w:val="superscript"/>
        </w:rPr>
        <w:t>-1</w:t>
      </w:r>
      <w:r>
        <w:t xml:space="preserve">. The model was then further constrained based on flux ratios determined through </w:t>
      </w:r>
      <w:r w:rsidRPr="003302B1">
        <w:rPr>
          <w:vertAlign w:val="superscript"/>
        </w:rPr>
        <w:t>13</w:t>
      </w:r>
      <w:r>
        <w:t>C tracer analysis. Growth rate dropped to 0.25 hr</w:t>
      </w:r>
      <w:r>
        <w:rPr>
          <w:vertAlign w:val="superscript"/>
        </w:rPr>
        <w:t xml:space="preserve">-1 </w:t>
      </w:r>
      <w:r>
        <w:t xml:space="preserve">with an incomplete TCA cycle (upper bound of flux through </w:t>
      </w:r>
      <w:proofErr w:type="spellStart"/>
      <w:r>
        <w:t>fumarase</w:t>
      </w:r>
      <w:proofErr w:type="spellEnd"/>
      <w:r>
        <w:t xml:space="preserve"> was constrained =0). And with the ratio constraint of </w:t>
      </w:r>
      <w:proofErr w:type="spellStart"/>
      <w:r>
        <w:t>mal</w:t>
      </w:r>
      <w:r w:rsidR="00994448">
        <w:t>yl</w:t>
      </w:r>
      <w:proofErr w:type="spellEnd"/>
      <w:r w:rsidR="00994448">
        <w:t>-C</w:t>
      </w:r>
      <w:r>
        <w:t xml:space="preserve">oA </w:t>
      </w:r>
      <w:proofErr w:type="spellStart"/>
      <w:r>
        <w:t>lyase</w:t>
      </w:r>
      <w:proofErr w:type="spellEnd"/>
      <w:r>
        <w:t xml:space="preserve"> and pyruvate dehydrogenase (MCLA1/PDH=3), the growth rate dropped to 0.239 (in total 7% decrease in biomass flux with additional constraints from </w:t>
      </w:r>
      <w:r w:rsidRPr="003302B1">
        <w:rPr>
          <w:vertAlign w:val="superscript"/>
        </w:rPr>
        <w:t>13</w:t>
      </w:r>
      <w:r>
        <w:t xml:space="preserve">C tracer analysis). The impact of the flux ratio between EMP and ED pathways on growth rate was also evaluated based on the model with </w:t>
      </w:r>
      <w:r w:rsidRPr="00AF4023">
        <w:rPr>
          <w:vertAlign w:val="superscript"/>
        </w:rPr>
        <w:t>13</w:t>
      </w:r>
      <w:r>
        <w:t xml:space="preserve">C results integrated. As shown in Figure </w:t>
      </w:r>
      <w:r w:rsidR="0042630C">
        <w:t>4.</w:t>
      </w:r>
      <w:r>
        <w:t xml:space="preserve">5a, there is limited impact on growth rate unless the </w:t>
      </w:r>
      <w:r w:rsidR="003F4CEA">
        <w:t>EMP/ED</w:t>
      </w:r>
      <w:r>
        <w:t xml:space="preserve"> ratio is smaller than 0.25. One of the extreme scenarios was simulated in which </w:t>
      </w:r>
      <w:r w:rsidRPr="00910A27">
        <w:t>fructose-bisphosphate aldolase</w:t>
      </w:r>
      <w:r>
        <w:t xml:space="preserve"> was turned off, forcing the system to exclusively use the ED pathway for assimilation, which dropped the biomass flux to 0.182 hr</w:t>
      </w:r>
      <w:r>
        <w:rPr>
          <w:vertAlign w:val="superscript"/>
        </w:rPr>
        <w:t>-1</w:t>
      </w:r>
      <w:r w:rsidR="00CB3ADC">
        <w:t xml:space="preserve">. </w:t>
      </w:r>
      <w:r>
        <w:t xml:space="preserve">The flux map generated from the last scenario is shown in Figure </w:t>
      </w:r>
      <w:r w:rsidR="00A24324">
        <w:t>4.</w:t>
      </w:r>
      <w:r>
        <w:t>5b</w:t>
      </w:r>
      <w:r w:rsidR="00036328">
        <w:t xml:space="preserve">. </w:t>
      </w:r>
      <w:r w:rsidR="007D531A">
        <w:t xml:space="preserve">These models also </w:t>
      </w:r>
      <w:r w:rsidR="00036328">
        <w:t>suggest a decrease in absolute flux through the TCA cycle.</w:t>
      </w:r>
    </w:p>
    <w:p w14:paraId="2CAB3392" w14:textId="4F57589B" w:rsidR="00761614" w:rsidRDefault="00761614" w:rsidP="00761614">
      <w:pPr>
        <w:pStyle w:val="BodyText"/>
        <w:keepNext/>
      </w:pPr>
      <w:r>
        <w:rPr>
          <w:noProof/>
          <w:lang w:eastAsia="zh-CN"/>
        </w:rPr>
        <w:lastRenderedPageBreak/>
        <w:drawing>
          <wp:inline distT="0" distB="0" distL="0" distR="0" wp14:anchorId="4116AAF5" wp14:editId="526FC439">
            <wp:extent cx="5495544" cy="3950208"/>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95544" cy="3950208"/>
                    </a:xfrm>
                    <a:prstGeom prst="rect">
                      <a:avLst/>
                    </a:prstGeom>
                    <a:noFill/>
                  </pic:spPr>
                </pic:pic>
              </a:graphicData>
            </a:graphic>
          </wp:inline>
        </w:drawing>
      </w:r>
    </w:p>
    <w:p w14:paraId="60CBA6A2" w14:textId="689B6BBF" w:rsidR="006E1CF7" w:rsidRDefault="00761614" w:rsidP="00761614">
      <w:pPr>
        <w:pStyle w:val="Caption"/>
      </w:pPr>
      <w:r>
        <w:t xml:space="preserve">Figure </w:t>
      </w:r>
      <w:r w:rsidR="000C7BA6">
        <w:t xml:space="preserve">4.4 </w:t>
      </w:r>
      <w:r w:rsidR="000C7BA6" w:rsidRPr="000C7BA6">
        <w:t xml:space="preserve">Robustness analysis of FDH, ED, MCLA1, and PDH on biomass flux. a) FDH flux correlates to biomass flux negatively with two distinct slopes. When the FDH flux &gt; 15 </w:t>
      </w:r>
      <w:proofErr w:type="spellStart"/>
      <w:r w:rsidR="000C7BA6" w:rsidRPr="000C7BA6">
        <w:t>mmol</w:t>
      </w:r>
      <w:proofErr w:type="spellEnd"/>
      <w:r w:rsidR="000C7BA6" w:rsidRPr="000C7BA6">
        <w:t xml:space="preserve">/gcdw.hr, the growth rate will fall below the region of 0.25 hr-1. b) ED flux correlates to biomass flux negatively once the value exceeds 3 </w:t>
      </w:r>
      <w:proofErr w:type="spellStart"/>
      <w:r w:rsidR="000C7BA6" w:rsidRPr="000C7BA6">
        <w:t>mmol</w:t>
      </w:r>
      <w:proofErr w:type="spellEnd"/>
      <w:r w:rsidR="000C7BA6" w:rsidRPr="000C7BA6">
        <w:t>/g.cdw.hr. c) MCLA1 (</w:t>
      </w:r>
      <w:proofErr w:type="spellStart"/>
      <w:r w:rsidR="000C7BA6" w:rsidRPr="000C7BA6">
        <w:t>malyl</w:t>
      </w:r>
      <w:proofErr w:type="spellEnd"/>
      <w:r w:rsidR="000C7BA6" w:rsidRPr="000C7BA6">
        <w:t xml:space="preserve">-CoA </w:t>
      </w:r>
      <w:proofErr w:type="spellStart"/>
      <w:r w:rsidR="000C7BA6" w:rsidRPr="000C7BA6">
        <w:t>lyase</w:t>
      </w:r>
      <w:proofErr w:type="spellEnd"/>
      <w:r w:rsidR="000C7BA6" w:rsidRPr="000C7BA6">
        <w:t xml:space="preserve">) has an optimal point for biomass flux at 1.5 </w:t>
      </w:r>
      <w:proofErr w:type="spellStart"/>
      <w:r w:rsidR="000C7BA6" w:rsidRPr="000C7BA6">
        <w:t>mmol</w:t>
      </w:r>
      <w:proofErr w:type="spellEnd"/>
      <w:r w:rsidR="000C7BA6" w:rsidRPr="000C7BA6">
        <w:t>/g.cdw.hr. d) PDH correlates to biomass flux negatively with two distinct slopes.</w:t>
      </w:r>
    </w:p>
    <w:p w14:paraId="2D815CF3" w14:textId="77777777" w:rsidR="006E1CF7" w:rsidRDefault="006E1CF7">
      <w:pPr>
        <w:spacing w:line="240" w:lineRule="auto"/>
        <w:rPr>
          <w:b/>
          <w:bCs/>
          <w:sz w:val="18"/>
          <w:szCs w:val="18"/>
        </w:rPr>
      </w:pPr>
      <w:r>
        <w:br w:type="page"/>
      </w:r>
    </w:p>
    <w:p w14:paraId="7FC47C19" w14:textId="15C248AD" w:rsidR="008417A4" w:rsidRDefault="008417A4" w:rsidP="008417A4">
      <w:pPr>
        <w:pStyle w:val="Caption"/>
        <w:keepNext/>
      </w:pPr>
      <w:r>
        <w:lastRenderedPageBreak/>
        <w:t xml:space="preserve">Table </w:t>
      </w:r>
      <w:r w:rsidR="00DC1197">
        <w:t>4.</w:t>
      </w:r>
      <w:r>
        <w:t>3 Result summary for FBA analysis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bottom w:w="29" w:type="dxa"/>
          <w:right w:w="115" w:type="dxa"/>
        </w:tblCellMar>
        <w:tblLook w:val="04A0" w:firstRow="1" w:lastRow="0" w:firstColumn="1" w:lastColumn="0" w:noHBand="0" w:noVBand="1"/>
      </w:tblPr>
      <w:tblGrid>
        <w:gridCol w:w="1910"/>
        <w:gridCol w:w="1354"/>
        <w:gridCol w:w="6326"/>
      </w:tblGrid>
      <w:tr w:rsidR="008417A4" w:rsidRPr="002E6190" w14:paraId="4F98E524" w14:textId="77777777" w:rsidTr="00613C92">
        <w:trPr>
          <w:trHeight w:val="320"/>
          <w:jc w:val="center"/>
        </w:trPr>
        <w:tc>
          <w:tcPr>
            <w:tcW w:w="996" w:type="pct"/>
            <w:shd w:val="clear" w:color="auto" w:fill="auto"/>
            <w:noWrap/>
            <w:vAlign w:val="bottom"/>
            <w:hideMark/>
          </w:tcPr>
          <w:p w14:paraId="2FD9D6D3" w14:textId="77777777" w:rsidR="008417A4" w:rsidRPr="00AE1048" w:rsidRDefault="008417A4" w:rsidP="00613C92">
            <w:pPr>
              <w:rPr>
                <w:rFonts w:eastAsia="Times New Roman" w:cs="Arial"/>
                <w:color w:val="000000"/>
                <w:szCs w:val="20"/>
                <w:lang w:eastAsia="zh-CN"/>
              </w:rPr>
            </w:pPr>
            <w:r w:rsidRPr="00AE1048">
              <w:rPr>
                <w:rFonts w:eastAsia="Times New Roman" w:cs="Arial"/>
                <w:color w:val="000000"/>
                <w:szCs w:val="20"/>
                <w:lang w:eastAsia="zh-CN"/>
              </w:rPr>
              <w:t>Model</w:t>
            </w:r>
          </w:p>
        </w:tc>
        <w:tc>
          <w:tcPr>
            <w:tcW w:w="706" w:type="pct"/>
            <w:shd w:val="clear" w:color="auto" w:fill="auto"/>
            <w:noWrap/>
            <w:vAlign w:val="bottom"/>
            <w:hideMark/>
          </w:tcPr>
          <w:p w14:paraId="53132D59" w14:textId="77777777" w:rsidR="008417A4" w:rsidRPr="00AE1048" w:rsidRDefault="008417A4" w:rsidP="00552E71">
            <w:pPr>
              <w:spacing w:line="240" w:lineRule="auto"/>
              <w:rPr>
                <w:rFonts w:eastAsia="Times New Roman" w:cs="Arial"/>
                <w:color w:val="000000"/>
                <w:szCs w:val="20"/>
                <w:lang w:eastAsia="zh-CN"/>
              </w:rPr>
            </w:pPr>
            <w:r>
              <w:rPr>
                <w:rFonts w:eastAsia="Times New Roman" w:cs="Arial"/>
                <w:color w:val="000000"/>
                <w:szCs w:val="20"/>
                <w:lang w:eastAsia="zh-CN"/>
              </w:rPr>
              <w:t>Predicted g</w:t>
            </w:r>
            <w:r w:rsidRPr="00AE1048">
              <w:rPr>
                <w:rFonts w:eastAsia="Times New Roman" w:cs="Arial"/>
                <w:color w:val="000000"/>
                <w:szCs w:val="20"/>
                <w:lang w:eastAsia="zh-CN"/>
              </w:rPr>
              <w:t>rowth rate</w:t>
            </w:r>
          </w:p>
        </w:tc>
        <w:tc>
          <w:tcPr>
            <w:tcW w:w="3298" w:type="pct"/>
            <w:shd w:val="clear" w:color="auto" w:fill="auto"/>
            <w:noWrap/>
            <w:vAlign w:val="bottom"/>
            <w:hideMark/>
          </w:tcPr>
          <w:p w14:paraId="21BFA13A"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N</w:t>
            </w:r>
            <w:r w:rsidRPr="00AE1048">
              <w:rPr>
                <w:rFonts w:eastAsia="Times New Roman" w:cs="Arial"/>
                <w:color w:val="000000"/>
                <w:szCs w:val="20"/>
                <w:lang w:eastAsia="zh-CN"/>
              </w:rPr>
              <w:t>ote</w:t>
            </w:r>
          </w:p>
        </w:tc>
      </w:tr>
      <w:tr w:rsidR="008417A4" w:rsidRPr="00AE1048" w14:paraId="748C27B4" w14:textId="77777777" w:rsidTr="00613C92">
        <w:trPr>
          <w:trHeight w:val="320"/>
          <w:jc w:val="center"/>
        </w:trPr>
        <w:tc>
          <w:tcPr>
            <w:tcW w:w="996" w:type="pct"/>
            <w:shd w:val="clear" w:color="auto" w:fill="auto"/>
            <w:noWrap/>
            <w:vAlign w:val="bottom"/>
            <w:hideMark/>
          </w:tcPr>
          <w:p w14:paraId="379B8353" w14:textId="77777777" w:rsidR="008417A4" w:rsidRPr="00AE1048" w:rsidRDefault="008417A4" w:rsidP="00613C92">
            <w:pPr>
              <w:rPr>
                <w:rFonts w:eastAsia="Times New Roman" w:cs="Arial"/>
                <w:color w:val="000000"/>
                <w:szCs w:val="20"/>
                <w:lang w:eastAsia="zh-CN"/>
              </w:rPr>
            </w:pPr>
            <w:r w:rsidRPr="00AE1048">
              <w:rPr>
                <w:rFonts w:eastAsia="Times New Roman" w:cs="Arial"/>
                <w:color w:val="000000"/>
                <w:szCs w:val="20"/>
                <w:lang w:eastAsia="zh-CN"/>
              </w:rPr>
              <w:t>Control</w:t>
            </w:r>
          </w:p>
        </w:tc>
        <w:tc>
          <w:tcPr>
            <w:tcW w:w="706" w:type="pct"/>
            <w:shd w:val="clear" w:color="auto" w:fill="auto"/>
            <w:noWrap/>
            <w:vAlign w:val="bottom"/>
            <w:hideMark/>
          </w:tcPr>
          <w:p w14:paraId="6409DA8C"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0.475</w:t>
            </w:r>
          </w:p>
        </w:tc>
        <w:tc>
          <w:tcPr>
            <w:tcW w:w="3298" w:type="pct"/>
            <w:shd w:val="clear" w:color="auto" w:fill="auto"/>
            <w:noWrap/>
            <w:vAlign w:val="bottom"/>
            <w:hideMark/>
          </w:tcPr>
          <w:p w14:paraId="69120D11"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 xml:space="preserve">methanol uptake rate = 31 </w:t>
            </w:r>
            <w:proofErr w:type="spellStart"/>
            <w:r w:rsidRPr="00AE1048">
              <w:rPr>
                <w:rFonts w:eastAsia="Times New Roman" w:cs="Arial"/>
                <w:color w:val="000000"/>
                <w:szCs w:val="20"/>
                <w:lang w:eastAsia="zh-CN"/>
              </w:rPr>
              <w:t>mmol</w:t>
            </w:r>
            <w:proofErr w:type="spellEnd"/>
            <w:r>
              <w:rPr>
                <w:rFonts w:eastAsia="Times New Roman" w:cs="Arial"/>
                <w:color w:val="000000"/>
                <w:szCs w:val="20"/>
                <w:lang w:eastAsia="zh-CN"/>
              </w:rPr>
              <w:t xml:space="preserve"> </w:t>
            </w:r>
            <w:r w:rsidRPr="00AE1048">
              <w:rPr>
                <w:rFonts w:eastAsia="Times New Roman" w:cs="Arial"/>
                <w:color w:val="000000"/>
                <w:szCs w:val="20"/>
                <w:lang w:eastAsia="zh-CN"/>
              </w:rPr>
              <w:t>/g</w:t>
            </w:r>
            <w:r w:rsidRPr="00CF336B">
              <w:rPr>
                <w:vertAlign w:val="superscript"/>
              </w:rPr>
              <w:t>-1</w:t>
            </w:r>
            <w:r w:rsidRPr="00AE1048">
              <w:rPr>
                <w:rFonts w:eastAsia="Times New Roman" w:cs="Arial"/>
                <w:color w:val="000000"/>
                <w:szCs w:val="20"/>
                <w:lang w:eastAsia="zh-CN"/>
              </w:rPr>
              <w:t>hr</w:t>
            </w:r>
            <w:r w:rsidRPr="00CF336B">
              <w:rPr>
                <w:vertAlign w:val="superscript"/>
              </w:rPr>
              <w:t>-1</w:t>
            </w:r>
            <w:r w:rsidRPr="00AE1048">
              <w:rPr>
                <w:rFonts w:eastAsia="Times New Roman" w:cs="Arial"/>
                <w:color w:val="000000"/>
                <w:szCs w:val="20"/>
                <w:lang w:eastAsia="zh-CN"/>
              </w:rPr>
              <w:t>, extra</w:t>
            </w:r>
            <w:r>
              <w:rPr>
                <w:rFonts w:eastAsia="Times New Roman" w:cs="Arial"/>
                <w:color w:val="000000"/>
                <w:szCs w:val="20"/>
                <w:lang w:eastAsia="zh-CN"/>
              </w:rPr>
              <w:t>cellular product secretion incl</w:t>
            </w:r>
            <w:r w:rsidRPr="00AE1048">
              <w:rPr>
                <w:rFonts w:eastAsia="Times New Roman" w:cs="Arial"/>
                <w:color w:val="000000"/>
                <w:szCs w:val="20"/>
                <w:lang w:eastAsia="zh-CN"/>
              </w:rPr>
              <w:t>u</w:t>
            </w:r>
            <w:r>
              <w:rPr>
                <w:rFonts w:eastAsia="Times New Roman" w:cs="Arial"/>
                <w:color w:val="000000"/>
                <w:szCs w:val="20"/>
                <w:lang w:eastAsia="zh-CN"/>
              </w:rPr>
              <w:t>d</w:t>
            </w:r>
            <w:r w:rsidRPr="00AE1048">
              <w:rPr>
                <w:rFonts w:eastAsia="Times New Roman" w:cs="Arial"/>
                <w:color w:val="000000"/>
                <w:szCs w:val="20"/>
                <w:lang w:eastAsia="zh-CN"/>
              </w:rPr>
              <w:t>ed, glycogen content was set at 42% of total cell biomass, EPS was set at 10% of total cell biomass</w:t>
            </w:r>
          </w:p>
        </w:tc>
      </w:tr>
      <w:tr w:rsidR="008417A4" w:rsidRPr="00AE1048" w14:paraId="6A95D3C4" w14:textId="77777777" w:rsidTr="00613C92">
        <w:trPr>
          <w:trHeight w:val="320"/>
          <w:jc w:val="center"/>
        </w:trPr>
        <w:tc>
          <w:tcPr>
            <w:tcW w:w="996" w:type="pct"/>
            <w:shd w:val="clear" w:color="auto" w:fill="auto"/>
            <w:noWrap/>
            <w:vAlign w:val="bottom"/>
            <w:hideMark/>
          </w:tcPr>
          <w:p w14:paraId="3FDC1F20"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FDH_constrained</w:t>
            </w:r>
            <w:proofErr w:type="spellEnd"/>
          </w:p>
        </w:tc>
        <w:tc>
          <w:tcPr>
            <w:tcW w:w="706" w:type="pct"/>
            <w:shd w:val="clear" w:color="auto" w:fill="auto"/>
            <w:noWrap/>
            <w:vAlign w:val="bottom"/>
            <w:hideMark/>
          </w:tcPr>
          <w:p w14:paraId="7AA2D654"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0.257</w:t>
            </w:r>
          </w:p>
        </w:tc>
        <w:tc>
          <w:tcPr>
            <w:tcW w:w="3298" w:type="pct"/>
            <w:shd w:val="clear" w:color="auto" w:fill="auto"/>
            <w:noWrap/>
            <w:vAlign w:val="bottom"/>
            <w:hideMark/>
          </w:tcPr>
          <w:p w14:paraId="54054E33"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based on model</w:t>
            </w:r>
            <w:r>
              <w:rPr>
                <w:rFonts w:eastAsia="Times New Roman" w:cs="Arial"/>
                <w:color w:val="000000"/>
                <w:szCs w:val="20"/>
                <w:lang w:eastAsia="zh-CN"/>
              </w:rPr>
              <w:t xml:space="preserve"> ‘</w:t>
            </w:r>
            <w:r w:rsidRPr="00AE1048">
              <w:rPr>
                <w:rFonts w:eastAsia="Times New Roman" w:cs="Arial"/>
                <w:color w:val="000000"/>
                <w:szCs w:val="20"/>
                <w:lang w:eastAsia="zh-CN"/>
              </w:rPr>
              <w:t>control</w:t>
            </w:r>
            <w:r>
              <w:rPr>
                <w:rFonts w:eastAsia="Times New Roman" w:cs="Arial"/>
                <w:color w:val="000000"/>
                <w:szCs w:val="20"/>
                <w:lang w:eastAsia="zh-CN"/>
              </w:rPr>
              <w:t>’</w:t>
            </w:r>
            <w:r w:rsidRPr="00AE1048">
              <w:rPr>
                <w:rFonts w:eastAsia="Times New Roman" w:cs="Arial"/>
                <w:color w:val="000000"/>
                <w:szCs w:val="20"/>
                <w:lang w:eastAsia="zh-CN"/>
              </w:rPr>
              <w:t>, lower bound of FDH flux was set to 15 mm</w:t>
            </w:r>
            <w:r>
              <w:rPr>
                <w:rFonts w:eastAsia="Times New Roman" w:cs="Arial"/>
                <w:color w:val="000000"/>
                <w:szCs w:val="20"/>
                <w:lang w:eastAsia="zh-CN"/>
              </w:rPr>
              <w:t xml:space="preserve"> </w:t>
            </w:r>
            <w:r w:rsidRPr="00AE1048">
              <w:rPr>
                <w:rFonts w:eastAsia="Times New Roman" w:cs="Arial"/>
                <w:color w:val="000000"/>
                <w:szCs w:val="20"/>
                <w:lang w:eastAsia="zh-CN"/>
              </w:rPr>
              <w:t>g</w:t>
            </w:r>
            <w:r w:rsidRPr="00CF336B">
              <w:rPr>
                <w:vertAlign w:val="superscript"/>
              </w:rPr>
              <w:t>-1</w:t>
            </w:r>
            <w:r w:rsidRPr="00AE1048">
              <w:rPr>
                <w:rFonts w:eastAsia="Times New Roman" w:cs="Arial"/>
                <w:color w:val="000000"/>
                <w:szCs w:val="20"/>
                <w:lang w:eastAsia="zh-CN"/>
              </w:rPr>
              <w:t>hr</w:t>
            </w:r>
            <w:r w:rsidRPr="00CF336B">
              <w:rPr>
                <w:vertAlign w:val="superscript"/>
              </w:rPr>
              <w:t>-1</w:t>
            </w:r>
          </w:p>
        </w:tc>
      </w:tr>
      <w:tr w:rsidR="008417A4" w:rsidRPr="00AE1048" w14:paraId="42D1C67D" w14:textId="77777777" w:rsidTr="00613C92">
        <w:trPr>
          <w:trHeight w:val="320"/>
          <w:jc w:val="center"/>
        </w:trPr>
        <w:tc>
          <w:tcPr>
            <w:tcW w:w="996" w:type="pct"/>
            <w:shd w:val="clear" w:color="auto" w:fill="auto"/>
            <w:noWrap/>
            <w:vAlign w:val="bottom"/>
            <w:hideMark/>
          </w:tcPr>
          <w:p w14:paraId="10E9ECDC"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Fum_constrained</w:t>
            </w:r>
            <w:proofErr w:type="spellEnd"/>
          </w:p>
        </w:tc>
        <w:tc>
          <w:tcPr>
            <w:tcW w:w="706" w:type="pct"/>
            <w:shd w:val="clear" w:color="auto" w:fill="auto"/>
            <w:noWrap/>
            <w:vAlign w:val="bottom"/>
            <w:hideMark/>
          </w:tcPr>
          <w:p w14:paraId="7930618D"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0.25</w:t>
            </w:r>
          </w:p>
        </w:tc>
        <w:tc>
          <w:tcPr>
            <w:tcW w:w="3298" w:type="pct"/>
            <w:shd w:val="clear" w:color="auto" w:fill="auto"/>
            <w:noWrap/>
            <w:vAlign w:val="bottom"/>
            <w:hideMark/>
          </w:tcPr>
          <w:p w14:paraId="501B4FD0" w14:textId="77777777" w:rsidR="008417A4" w:rsidRPr="00AE1048" w:rsidRDefault="008417A4" w:rsidP="003630F7">
            <w:pPr>
              <w:spacing w:line="240" w:lineRule="auto"/>
              <w:rPr>
                <w:rFonts w:eastAsia="Times New Roman" w:cs="Arial"/>
                <w:color w:val="000000"/>
                <w:szCs w:val="20"/>
                <w:lang w:eastAsia="zh-CN"/>
              </w:rPr>
            </w:pPr>
            <w:r w:rsidRPr="00AE1048">
              <w:rPr>
                <w:rFonts w:eastAsia="Times New Roman" w:cs="Arial"/>
                <w:color w:val="000000"/>
                <w:szCs w:val="20"/>
                <w:lang w:eastAsia="zh-CN"/>
              </w:rPr>
              <w:t xml:space="preserve">based on model </w:t>
            </w:r>
            <w:r>
              <w:rPr>
                <w:rFonts w:eastAsia="Times New Roman" w:cs="Arial"/>
                <w:color w:val="000000"/>
                <w:szCs w:val="20"/>
                <w:lang w:eastAsia="zh-CN"/>
              </w:rPr>
              <w:t>‘</w:t>
            </w:r>
            <w:proofErr w:type="spellStart"/>
            <w:r w:rsidRPr="00AE1048">
              <w:rPr>
                <w:rFonts w:eastAsia="Times New Roman" w:cs="Arial"/>
                <w:color w:val="000000"/>
                <w:szCs w:val="20"/>
                <w:lang w:eastAsia="zh-CN"/>
              </w:rPr>
              <w:t>FDH_constrained</w:t>
            </w:r>
            <w:proofErr w:type="spellEnd"/>
            <w:r>
              <w:rPr>
                <w:rFonts w:eastAsia="Times New Roman" w:cs="Arial"/>
                <w:color w:val="000000"/>
                <w:szCs w:val="20"/>
                <w:lang w:eastAsia="zh-CN"/>
              </w:rPr>
              <w:t>’</w:t>
            </w:r>
            <w:r w:rsidRPr="00AE1048">
              <w:rPr>
                <w:rFonts w:eastAsia="Times New Roman" w:cs="Arial"/>
                <w:color w:val="000000"/>
                <w:szCs w:val="20"/>
                <w:lang w:eastAsia="zh-CN"/>
              </w:rPr>
              <w:t xml:space="preserve">, </w:t>
            </w:r>
            <w:proofErr w:type="spellStart"/>
            <w:r w:rsidRPr="00AE1048">
              <w:rPr>
                <w:rFonts w:eastAsia="Times New Roman" w:cs="Arial"/>
                <w:color w:val="000000"/>
                <w:szCs w:val="20"/>
                <w:lang w:eastAsia="zh-CN"/>
              </w:rPr>
              <w:t>lower_bound</w:t>
            </w:r>
            <w:proofErr w:type="spellEnd"/>
            <w:r w:rsidRPr="00AE1048">
              <w:rPr>
                <w:rFonts w:eastAsia="Times New Roman" w:cs="Arial"/>
                <w:color w:val="000000"/>
                <w:szCs w:val="20"/>
                <w:lang w:eastAsia="zh-CN"/>
              </w:rPr>
              <w:t xml:space="preserve"> of </w:t>
            </w:r>
            <w:proofErr w:type="spellStart"/>
            <w:r w:rsidRPr="00AE1048">
              <w:rPr>
                <w:rFonts w:eastAsia="Times New Roman" w:cs="Arial"/>
                <w:color w:val="000000"/>
                <w:szCs w:val="20"/>
                <w:lang w:eastAsia="zh-CN"/>
              </w:rPr>
              <w:t>fumarase</w:t>
            </w:r>
            <w:proofErr w:type="spellEnd"/>
            <w:r w:rsidRPr="00AE1048">
              <w:rPr>
                <w:rFonts w:eastAsia="Times New Roman" w:cs="Arial"/>
                <w:color w:val="000000"/>
                <w:szCs w:val="20"/>
                <w:lang w:eastAsia="zh-CN"/>
              </w:rPr>
              <w:t xml:space="preserve"> flux was set =0</w:t>
            </w:r>
          </w:p>
        </w:tc>
      </w:tr>
      <w:tr w:rsidR="008417A4" w:rsidRPr="00AE1048" w14:paraId="553B7528" w14:textId="77777777" w:rsidTr="00613C92">
        <w:trPr>
          <w:trHeight w:val="380"/>
          <w:jc w:val="center"/>
        </w:trPr>
        <w:tc>
          <w:tcPr>
            <w:tcW w:w="996" w:type="pct"/>
            <w:shd w:val="clear" w:color="auto" w:fill="auto"/>
            <w:noWrap/>
            <w:vAlign w:val="bottom"/>
            <w:hideMark/>
          </w:tcPr>
          <w:p w14:paraId="04B880C8" w14:textId="77777777" w:rsidR="008417A4" w:rsidRPr="00AE1048" w:rsidRDefault="008417A4" w:rsidP="00613C92">
            <w:pPr>
              <w:rPr>
                <w:rFonts w:eastAsia="Times New Roman" w:cs="Arial"/>
                <w:color w:val="000000"/>
                <w:szCs w:val="20"/>
                <w:lang w:eastAsia="zh-CN"/>
              </w:rPr>
            </w:pPr>
            <w:proofErr w:type="spellStart"/>
            <w:r w:rsidRPr="00AE1048">
              <w:rPr>
                <w:rFonts w:eastAsia="Times New Roman" w:cs="Arial"/>
                <w:color w:val="000000"/>
                <w:szCs w:val="20"/>
                <w:lang w:eastAsia="zh-CN"/>
              </w:rPr>
              <w:t>Ratio_construmed</w:t>
            </w:r>
            <w:proofErr w:type="spellEnd"/>
          </w:p>
        </w:tc>
        <w:tc>
          <w:tcPr>
            <w:tcW w:w="706" w:type="pct"/>
            <w:shd w:val="clear" w:color="auto" w:fill="auto"/>
            <w:noWrap/>
            <w:vAlign w:val="bottom"/>
            <w:hideMark/>
          </w:tcPr>
          <w:p w14:paraId="35312431" w14:textId="77777777" w:rsidR="008417A4" w:rsidRPr="00AE1048" w:rsidRDefault="008417A4" w:rsidP="00613C92">
            <w:pPr>
              <w:jc w:val="right"/>
              <w:rPr>
                <w:rFonts w:eastAsia="Times New Roman" w:cs="Arial"/>
                <w:color w:val="000000"/>
                <w:szCs w:val="20"/>
                <w:lang w:eastAsia="zh-CN"/>
              </w:rPr>
            </w:pPr>
            <w:r w:rsidRPr="00AE1048">
              <w:rPr>
                <w:rFonts w:eastAsia="Times New Roman" w:cs="Arial"/>
                <w:color w:val="000000"/>
                <w:szCs w:val="20"/>
                <w:lang w:eastAsia="zh-CN"/>
              </w:rPr>
              <w:t>0.239</w:t>
            </w:r>
          </w:p>
        </w:tc>
        <w:tc>
          <w:tcPr>
            <w:tcW w:w="3298" w:type="pct"/>
            <w:shd w:val="clear" w:color="auto" w:fill="auto"/>
            <w:noWrap/>
            <w:vAlign w:val="bottom"/>
            <w:hideMark/>
          </w:tcPr>
          <w:p w14:paraId="394633BC" w14:textId="77777777" w:rsidR="008417A4" w:rsidRPr="00AE1048" w:rsidRDefault="008417A4" w:rsidP="003630F7">
            <w:pPr>
              <w:spacing w:line="240" w:lineRule="auto"/>
              <w:rPr>
                <w:rFonts w:eastAsia="Times New Roman" w:cs="Arial"/>
                <w:color w:val="000000"/>
                <w:szCs w:val="20"/>
                <w:lang w:eastAsia="zh-CN"/>
              </w:rPr>
            </w:pPr>
            <w:r>
              <w:rPr>
                <w:rFonts w:eastAsia="Times New Roman" w:cs="Arial"/>
                <w:color w:val="000000"/>
                <w:szCs w:val="20"/>
                <w:lang w:eastAsia="zh-CN"/>
              </w:rPr>
              <w:t>B</w:t>
            </w:r>
            <w:r w:rsidRPr="00AE1048">
              <w:rPr>
                <w:rFonts w:eastAsia="Times New Roman" w:cs="Arial"/>
                <w:color w:val="000000"/>
                <w:szCs w:val="20"/>
                <w:lang w:eastAsia="zh-CN"/>
              </w:rPr>
              <w:t xml:space="preserve">ased on model </w:t>
            </w:r>
            <w:r>
              <w:rPr>
                <w:rFonts w:eastAsia="Times New Roman" w:cs="Arial"/>
                <w:color w:val="000000"/>
                <w:szCs w:val="20"/>
                <w:lang w:eastAsia="zh-CN"/>
              </w:rPr>
              <w:t>‘</w:t>
            </w:r>
            <w:proofErr w:type="spellStart"/>
            <w:r w:rsidRPr="00AE1048">
              <w:rPr>
                <w:rFonts w:eastAsia="Times New Roman" w:cs="Arial"/>
                <w:color w:val="000000"/>
                <w:szCs w:val="20"/>
                <w:lang w:eastAsia="zh-CN"/>
              </w:rPr>
              <w:t>Fum_constrained</w:t>
            </w:r>
            <w:proofErr w:type="spellEnd"/>
            <w:r>
              <w:rPr>
                <w:rFonts w:eastAsia="Times New Roman" w:cs="Arial"/>
                <w:color w:val="000000"/>
                <w:szCs w:val="20"/>
                <w:lang w:eastAsia="zh-CN"/>
              </w:rPr>
              <w:t>’</w:t>
            </w:r>
            <w:r w:rsidRPr="00AE1048">
              <w:rPr>
                <w:rFonts w:eastAsia="Times New Roman" w:cs="Arial"/>
                <w:color w:val="000000"/>
                <w:szCs w:val="20"/>
                <w:lang w:eastAsia="zh-CN"/>
              </w:rPr>
              <w:t xml:space="preserve">, flux ratio of MCL1A/PDH was set = 3:1 based on </w:t>
            </w:r>
            <w:r w:rsidRPr="00AE1048">
              <w:rPr>
                <w:rFonts w:eastAsia="Times New Roman" w:cs="Arial"/>
                <w:color w:val="000000"/>
                <w:szCs w:val="20"/>
                <w:vertAlign w:val="superscript"/>
                <w:lang w:eastAsia="zh-CN"/>
              </w:rPr>
              <w:t>13</w:t>
            </w:r>
            <w:r w:rsidRPr="00AE1048">
              <w:rPr>
                <w:rFonts w:eastAsia="Times New Roman" w:cs="Arial"/>
                <w:color w:val="000000"/>
                <w:szCs w:val="20"/>
                <w:lang w:eastAsia="zh-CN"/>
              </w:rPr>
              <w:t>C result.</w:t>
            </w:r>
          </w:p>
        </w:tc>
      </w:tr>
      <w:tr w:rsidR="008417A4" w:rsidRPr="00AE1048" w14:paraId="608E6731" w14:textId="77777777" w:rsidTr="00613C92">
        <w:trPr>
          <w:trHeight w:val="380"/>
          <w:jc w:val="center"/>
        </w:trPr>
        <w:tc>
          <w:tcPr>
            <w:tcW w:w="996" w:type="pct"/>
            <w:shd w:val="clear" w:color="auto" w:fill="auto"/>
            <w:noWrap/>
            <w:vAlign w:val="bottom"/>
          </w:tcPr>
          <w:p w14:paraId="650A72C5"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ED pathway only</w:t>
            </w:r>
          </w:p>
        </w:tc>
        <w:tc>
          <w:tcPr>
            <w:tcW w:w="706" w:type="pct"/>
            <w:shd w:val="clear" w:color="auto" w:fill="auto"/>
            <w:noWrap/>
            <w:vAlign w:val="bottom"/>
          </w:tcPr>
          <w:p w14:paraId="5CE1D757" w14:textId="77777777" w:rsidR="008417A4" w:rsidRPr="00AE1048" w:rsidRDefault="008417A4" w:rsidP="00613C92">
            <w:pPr>
              <w:jc w:val="right"/>
              <w:rPr>
                <w:rFonts w:eastAsia="Times New Roman" w:cs="Arial"/>
                <w:color w:val="000000"/>
                <w:szCs w:val="20"/>
                <w:lang w:eastAsia="zh-CN"/>
              </w:rPr>
            </w:pPr>
            <w:r>
              <w:rPr>
                <w:rFonts w:eastAsia="Times New Roman" w:cs="Arial"/>
                <w:color w:val="000000"/>
                <w:szCs w:val="20"/>
                <w:lang w:eastAsia="zh-CN"/>
              </w:rPr>
              <w:t>0.182</w:t>
            </w:r>
          </w:p>
        </w:tc>
        <w:tc>
          <w:tcPr>
            <w:tcW w:w="3298" w:type="pct"/>
            <w:shd w:val="clear" w:color="auto" w:fill="auto"/>
            <w:noWrap/>
            <w:vAlign w:val="bottom"/>
          </w:tcPr>
          <w:p w14:paraId="5F0F1466" w14:textId="77777777" w:rsidR="008417A4" w:rsidRPr="00AE1048" w:rsidRDefault="008417A4" w:rsidP="00613C92">
            <w:pPr>
              <w:rPr>
                <w:rFonts w:eastAsia="Times New Roman" w:cs="Arial"/>
                <w:color w:val="000000"/>
                <w:szCs w:val="20"/>
                <w:lang w:eastAsia="zh-CN"/>
              </w:rPr>
            </w:pPr>
            <w:r>
              <w:rPr>
                <w:rFonts w:eastAsia="Times New Roman" w:cs="Arial"/>
                <w:color w:val="000000"/>
                <w:szCs w:val="20"/>
                <w:lang w:eastAsia="zh-CN"/>
              </w:rPr>
              <w:t>EMP pathway turned off.</w:t>
            </w:r>
          </w:p>
        </w:tc>
      </w:tr>
    </w:tbl>
    <w:p w14:paraId="28070EDA" w14:textId="77777777" w:rsidR="00174625" w:rsidRDefault="008417A4" w:rsidP="00174625">
      <w:pPr>
        <w:pStyle w:val="BodyText"/>
        <w:keepNext/>
      </w:pPr>
      <w:r>
        <w:t xml:space="preserve">In addition, we also evaluated how the flux through ED pathway, PDH, and MCLA1 is predicted to impact the cell growth using robustness analysis. As shown in Figure </w:t>
      </w:r>
      <w:r w:rsidR="0042630C">
        <w:t>4.</w:t>
      </w:r>
      <w:r>
        <w:t xml:space="preserve">4b, flux through the ED pathway does not impact the optimal growth rate until the value is higher than 2.8 </w:t>
      </w:r>
      <w:proofErr w:type="spellStart"/>
      <w:r>
        <w:t>mmol</w:t>
      </w:r>
      <w:proofErr w:type="spellEnd"/>
      <w:r>
        <w:t xml:space="preserve"> (g </w:t>
      </w:r>
      <w:proofErr w:type="spellStart"/>
      <w:r>
        <w:t>cdw</w:t>
      </w:r>
      <w:proofErr w:type="spellEnd"/>
      <w:r w:rsidRPr="00B34ACD">
        <w:rPr>
          <w:vertAlign w:val="superscript"/>
        </w:rPr>
        <w:t xml:space="preserve"> </w:t>
      </w:r>
      <w:r w:rsidRPr="00CF336B">
        <w:rPr>
          <w:vertAlign w:val="superscript"/>
        </w:rPr>
        <w:t>-1</w:t>
      </w:r>
      <w:r>
        <w:t>hr</w:t>
      </w:r>
      <w:r w:rsidRPr="00CF336B">
        <w:rPr>
          <w:vertAlign w:val="superscript"/>
        </w:rPr>
        <w:t>-1</w:t>
      </w:r>
      <w:r>
        <w:t xml:space="preserve">). Beyond that point, the growth rate correlates negatively with higher flux through the ED pathway. As shown in Figure </w:t>
      </w:r>
      <w:r w:rsidR="00636A89">
        <w:t>4.</w:t>
      </w:r>
      <w:r>
        <w:t xml:space="preserve">4c, for flux through the MCL pathway (MCLA1 reaction), there was an optimum point for biomass growth. Less or greater than the optimum point, the growth rate is predicted to be negatively impacted. On the other hand, as shown in Figure </w:t>
      </w:r>
      <w:r w:rsidR="00636A89">
        <w:t>4.</w:t>
      </w:r>
      <w:r>
        <w:t>4d, PDH correlates negatively to biomass fluxes with two slopes. The upper limit for PDH flux is around</w:t>
      </w:r>
      <w:r w:rsidR="00EC2674">
        <w:t xml:space="preserve"> </w:t>
      </w:r>
      <w:r>
        <w:t xml:space="preserve">1.8 </w:t>
      </w:r>
      <w:proofErr w:type="spellStart"/>
      <w:r>
        <w:t>mmol</w:t>
      </w:r>
      <w:proofErr w:type="spellEnd"/>
      <w:r>
        <w:t xml:space="preserve"> gcdw</w:t>
      </w:r>
      <w:r w:rsidRPr="00CF336B">
        <w:rPr>
          <w:vertAlign w:val="superscript"/>
        </w:rPr>
        <w:t>-1</w:t>
      </w:r>
      <w:r w:rsidDel="00B34ACD">
        <w:t xml:space="preserve"> </w:t>
      </w:r>
      <w:r>
        <w:t>hr</w:t>
      </w:r>
      <w:r w:rsidRPr="00CF336B">
        <w:rPr>
          <w:vertAlign w:val="superscript"/>
        </w:rPr>
        <w:t>-1</w:t>
      </w:r>
      <w:r>
        <w:t xml:space="preserve">. Beyond that point the model does not generate a feasible </w:t>
      </w:r>
      <w:r>
        <w:lastRenderedPageBreak/>
        <w:t xml:space="preserve">solution. </w:t>
      </w:r>
      <w:r w:rsidR="0042630C">
        <w:rPr>
          <w:noProof/>
          <w:lang w:eastAsia="zh-CN"/>
        </w:rPr>
        <w:drawing>
          <wp:inline distT="0" distB="0" distL="0" distR="0" wp14:anchorId="11EFC2F3" wp14:editId="28D34952">
            <wp:extent cx="6318504" cy="4690872"/>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18504" cy="4690872"/>
                    </a:xfrm>
                    <a:prstGeom prst="rect">
                      <a:avLst/>
                    </a:prstGeom>
                    <a:noFill/>
                  </pic:spPr>
                </pic:pic>
              </a:graphicData>
            </a:graphic>
          </wp:inline>
        </w:drawing>
      </w:r>
    </w:p>
    <w:p w14:paraId="3E8F0F3D" w14:textId="18CA38F6" w:rsidR="008417A4" w:rsidRDefault="00174625" w:rsidP="00174625">
      <w:pPr>
        <w:pStyle w:val="Caption"/>
      </w:pPr>
      <w:r>
        <w:t>Figure 4.5</w:t>
      </w:r>
      <w:r w:rsidR="009F63F2">
        <w:t xml:space="preserve"> </w:t>
      </w:r>
      <w:r w:rsidR="009F63F2" w:rsidRPr="009F63F2">
        <w:t xml:space="preserve">a) The sensitivity analysis of EMP flux/ED flux ratio to growth rate. This suggests that the ratio will only positively impact growth rate when the ratio is smaller than 0.25. b) Flux distribution predicted in </w:t>
      </w:r>
      <w:proofErr w:type="spellStart"/>
      <w:r w:rsidR="009F63F2" w:rsidRPr="009F63F2">
        <w:t>COBRApy</w:t>
      </w:r>
      <w:proofErr w:type="spellEnd"/>
      <w:r w:rsidR="009F63F2" w:rsidRPr="009F63F2">
        <w:t xml:space="preserve"> with the scenario of EMP pathway shut-off.  </w:t>
      </w:r>
    </w:p>
    <w:p w14:paraId="114866E3" w14:textId="77777777" w:rsidR="008417A4" w:rsidRPr="008A2167" w:rsidRDefault="008417A4" w:rsidP="008417A4">
      <w:pPr>
        <w:pStyle w:val="Heading2"/>
      </w:pPr>
      <w:bookmarkStart w:id="104" w:name="header-c102"/>
      <w:bookmarkStart w:id="105" w:name="_Toc468311751"/>
      <w:bookmarkEnd w:id="104"/>
      <w:r>
        <w:t>Discussion</w:t>
      </w:r>
      <w:bookmarkEnd w:id="105"/>
    </w:p>
    <w:p w14:paraId="219FD022" w14:textId="187BB475" w:rsidR="008417A4" w:rsidRPr="00260BAC" w:rsidRDefault="008417A4" w:rsidP="00547553">
      <w:r>
        <w:t xml:space="preserve">In this study, we used a combination of metabolite pool measurements, </w:t>
      </w:r>
      <w:r w:rsidRPr="00A867BC">
        <w:rPr>
          <w:vertAlign w:val="superscript"/>
        </w:rPr>
        <w:t>13</w:t>
      </w:r>
      <w:r>
        <w:t xml:space="preserve">C flux labeling, engineered pathway flux, transcriptomics, and flux modeling to show that the metabolic network operating during the growth of </w:t>
      </w:r>
      <w:r>
        <w:rPr>
          <w:i/>
        </w:rPr>
        <w:t xml:space="preserve">M. buryatense </w:t>
      </w:r>
      <w:r>
        <w:t xml:space="preserve">5GB1 on methanol is substantially different from that operating during growth of this strain on methane.  Significant shifts occur in </w:t>
      </w:r>
      <w:r w:rsidR="00BF0D13">
        <w:t xml:space="preserve">the pathway used for converting </w:t>
      </w:r>
      <w:r>
        <w:t xml:space="preserve">C6 compounds to C3 compounds, from the </w:t>
      </w:r>
      <w:r w:rsidR="003B71C6">
        <w:t xml:space="preserve">EMP pathway to the ED pathway. </w:t>
      </w:r>
      <w:r>
        <w:t xml:space="preserve">In addition, the TCA cycle shifts from operating in </w:t>
      </w:r>
      <w:r>
        <w:lastRenderedPageBreak/>
        <w:t xml:space="preserve">a complete, oxidative mode, to an incomplete branched mode.  Finally, substantial redirection of carbon flux occurs to glycogen and to excreted </w:t>
      </w:r>
      <w:proofErr w:type="spellStart"/>
      <w:r>
        <w:t>formate</w:t>
      </w:r>
      <w:proofErr w:type="spellEnd"/>
      <w:r>
        <w:t xml:space="preserve">. These results are </w:t>
      </w:r>
      <w:r w:rsidR="002F2DFE">
        <w:t>unexpected</w:t>
      </w:r>
      <w:r>
        <w:t xml:space="preserve">, because a metabolic pathway diagram approach to methanol growth (Figure </w:t>
      </w:r>
      <w:r w:rsidR="00547553">
        <w:t>4.</w:t>
      </w:r>
      <w:r>
        <w:t>1</w:t>
      </w:r>
      <w:r w:rsidR="00BE42F9">
        <w:t>a</w:t>
      </w:r>
      <w:r>
        <w:t>) suggests that it should be highly similar to methane growth, and initial metabolic models we used re</w:t>
      </w:r>
      <w:r w:rsidR="00D065B0">
        <w:t xml:space="preserve">sulted in similar predictions. </w:t>
      </w:r>
      <w:r>
        <w:t xml:space="preserve">Our results provide more insights into the changes that occurred. </w:t>
      </w:r>
    </w:p>
    <w:p w14:paraId="0B006EA3" w14:textId="44863D06" w:rsidR="008417A4" w:rsidRDefault="008417A4" w:rsidP="00547553">
      <w:r>
        <w:t>The high use of the ED pathway caused us to manipulate the ED pathway activity</w:t>
      </w:r>
      <w:r w:rsidR="002E3AD1">
        <w:t xml:space="preserve"> by swapping the </w:t>
      </w:r>
      <w:r>
        <w:t xml:space="preserve">native promoter with </w:t>
      </w:r>
      <w:r w:rsidR="00E50F46">
        <w:t xml:space="preserve">a </w:t>
      </w:r>
      <w:r>
        <w:t>tunable promoter system.</w:t>
      </w:r>
      <w:r w:rsidR="00E50F46">
        <w:t xml:space="preserve"> </w:t>
      </w:r>
      <w:r>
        <w:t xml:space="preserve">The 'on' state under methanol growth showed the pools of both KDPG and 6PG </w:t>
      </w:r>
      <w:r w:rsidR="00C60E5C">
        <w:t>changed</w:t>
      </w:r>
      <w:r>
        <w:t xml:space="preserve"> compared to WT, which could be explained </w:t>
      </w:r>
      <w:r w:rsidR="008F45F8">
        <w:t>if</w:t>
      </w:r>
      <w:r>
        <w:t xml:space="preserve"> </w:t>
      </w:r>
      <w:r>
        <w:rPr>
          <w:i/>
        </w:rPr>
        <w:t>edd</w:t>
      </w:r>
      <w:r>
        <w:t xml:space="preserve"> (METBUDRAFT</w:t>
      </w:r>
      <w:r>
        <w:rPr>
          <w:i/>
        </w:rPr>
        <w:t>1903/MBURv2</w:t>
      </w:r>
      <w:r>
        <w:t xml:space="preserve">130008) and </w:t>
      </w:r>
      <w:proofErr w:type="spellStart"/>
      <w:r>
        <w:rPr>
          <w:i/>
        </w:rPr>
        <w:t>eda</w:t>
      </w:r>
      <w:proofErr w:type="spellEnd"/>
      <w:r>
        <w:t xml:space="preserve"> (METBUDRAFT</w:t>
      </w:r>
      <w:r>
        <w:rPr>
          <w:i/>
        </w:rPr>
        <w:t>1904/MBURv2</w:t>
      </w:r>
      <w:r>
        <w:t>130009) were sharing the same promoter.</w:t>
      </w:r>
      <w:r w:rsidR="00C60E5C">
        <w:t xml:space="preserve"> In addition</w:t>
      </w:r>
      <w:r w:rsidR="00861FAE">
        <w:t xml:space="preserve">, both </w:t>
      </w:r>
      <w:r>
        <w:t>pool</w:t>
      </w:r>
      <w:r w:rsidR="009269EC">
        <w:t>s</w:t>
      </w:r>
      <w:r>
        <w:t xml:space="preserve"> </w:t>
      </w:r>
      <w:r w:rsidR="009269EC">
        <w:t>decreased,</w:t>
      </w:r>
      <w:r>
        <w:t xml:space="preserve"> suggested that the </w:t>
      </w:r>
      <w:proofErr w:type="spellStart"/>
      <w:r>
        <w:rPr>
          <w:i/>
        </w:rPr>
        <w:t>eda</w:t>
      </w:r>
      <w:proofErr w:type="spellEnd"/>
      <w:r w:rsidR="000278F1">
        <w:t xml:space="preserve"> expression is </w:t>
      </w:r>
      <w:r>
        <w:t xml:space="preserve">higher than native expression of </w:t>
      </w:r>
      <w:proofErr w:type="spellStart"/>
      <w:r>
        <w:rPr>
          <w:i/>
        </w:rPr>
        <w:t>eda</w:t>
      </w:r>
      <w:proofErr w:type="spellEnd"/>
      <w:r>
        <w:t xml:space="preserve"> comparing to WT. Similarly, when turning down the promoter (with leaky expression), in methanol culture, the level of KDPG decreased while 6PG level keeps similar level with WT. This matches with expectation that the 6PG dehydrogenase (encoded by </w:t>
      </w:r>
      <w:r>
        <w:rPr>
          <w:i/>
        </w:rPr>
        <w:t>edd</w:t>
      </w:r>
      <w:r>
        <w:t xml:space="preserve">) was turned down. While in methane culture, by turning down the promoter, both KDPG and 6PG doesn't change much, which suggested low ED pathway activity in WT under methane </w:t>
      </w:r>
      <w:r w:rsidR="00E473CE">
        <w:t>growth</w:t>
      </w:r>
      <w:r>
        <w:t xml:space="preserve">, comparable </w:t>
      </w:r>
      <w:r w:rsidR="00BF2979">
        <w:t>to</w:t>
      </w:r>
      <w:r>
        <w:t xml:space="preserve"> the construction with leaky expression.</w:t>
      </w:r>
    </w:p>
    <w:p w14:paraId="2AA1253A" w14:textId="4ED71BA9" w:rsidR="008417A4" w:rsidRDefault="008417A4" w:rsidP="00547553">
      <w:r>
        <w:t xml:space="preserve">To sum up, </w:t>
      </w:r>
      <w:r w:rsidR="00344DA7">
        <w:t>these results</w:t>
      </w:r>
      <w:r w:rsidR="003C4F48">
        <w:t xml:space="preserve"> suggest</w:t>
      </w:r>
      <w:r>
        <w:t xml:space="preserve"> that in WT, </w:t>
      </w:r>
      <w:r w:rsidR="00D87DBD">
        <w:t xml:space="preserve">the </w:t>
      </w:r>
      <w:r>
        <w:t>ED pathway carried more flux in</w:t>
      </w:r>
      <w:r w:rsidR="00291D10">
        <w:t xml:space="preserve"> growth on</w:t>
      </w:r>
      <w:r w:rsidR="00ED779F">
        <w:t xml:space="preserve"> methanol </w:t>
      </w:r>
      <w:r>
        <w:t>comparing to</w:t>
      </w:r>
      <w:r w:rsidR="00EE683D">
        <w:t xml:space="preserve"> growth on</w:t>
      </w:r>
      <w:r>
        <w:t xml:space="preserve"> methane. In order to evaluate the impact of </w:t>
      </w:r>
      <w:r w:rsidR="00356762">
        <w:t xml:space="preserve">the </w:t>
      </w:r>
      <w:r>
        <w:t xml:space="preserve">ED pathway to </w:t>
      </w:r>
      <w:r w:rsidR="00EB79D9">
        <w:t xml:space="preserve">flux through later pathways, </w:t>
      </w:r>
      <w:r>
        <w:rPr>
          <w:vertAlign w:val="superscript"/>
        </w:rPr>
        <w:t>13</w:t>
      </w:r>
      <w:r w:rsidR="00E801FD">
        <w:t xml:space="preserve">C analysis </w:t>
      </w:r>
      <w:r>
        <w:t xml:space="preserve">was also conducted </w:t>
      </w:r>
      <w:r w:rsidR="00646076">
        <w:t xml:space="preserve">on the strain with 'off' state. </w:t>
      </w:r>
      <w:r>
        <w:t>In this case, that manipulation resulted in altered downstream flux distribution through the serine cycle as well as pyruvate dehydrogenase. This suggested that one of the control points for the network response to methanol as a substrate is the ED pathway activity. Meanwhile, the sensitivity analysis of the flux ratio between EMP/ED to biomass flux (growth rate) suggested that the biomass flux does not response until the EMP/ED ratio is lower than 0.25, and our results support the concept that the ED pathway dominates during methanol growth. It was predicted that the EMP pathway was not essential to cell growth, but will cause a growth defect on methanol when it is</w:t>
      </w:r>
      <w:r w:rsidR="00A06A0D">
        <w:t xml:space="preserve"> completely shut </w:t>
      </w:r>
      <w:r>
        <w:t xml:space="preserve">down. </w:t>
      </w:r>
    </w:p>
    <w:p w14:paraId="031DFCE3" w14:textId="414DFF58" w:rsidR="008417A4" w:rsidRDefault="008417A4" w:rsidP="00A144B2">
      <w:r>
        <w:t xml:space="preserve">The flux distribution among the C3-C4 interconversions, especially relative flux through both pyruvate dehydrogenase and </w:t>
      </w:r>
      <w:proofErr w:type="spellStart"/>
      <w:r>
        <w:t>malyl</w:t>
      </w:r>
      <w:proofErr w:type="spellEnd"/>
      <w:r>
        <w:t xml:space="preserve">-CoA </w:t>
      </w:r>
      <w:proofErr w:type="spellStart"/>
      <w:r>
        <w:t>lyase</w:t>
      </w:r>
      <w:proofErr w:type="spellEnd"/>
      <w:r>
        <w:t xml:space="preserve"> was significantly different for methanol growth compared to </w:t>
      </w:r>
      <w:r>
        <w:lastRenderedPageBreak/>
        <w:t xml:space="preserve">methane growth. Sensitivity analysis on both showed that growth rate responds to changes in fluxes of both pathways. We propose that these two pathways are also control points of the network for the </w:t>
      </w:r>
      <w:r w:rsidR="006371A6">
        <w:t xml:space="preserve">two </w:t>
      </w:r>
      <w:r>
        <w:t>substrate shift.</w:t>
      </w:r>
    </w:p>
    <w:p w14:paraId="307B49A3" w14:textId="0C90F61B" w:rsidR="008417A4" w:rsidRDefault="008417A4" w:rsidP="00A144B2">
      <w:r>
        <w:t xml:space="preserve">Our results also suggest that the main function of </w:t>
      </w:r>
      <w:r w:rsidR="008E3DFE">
        <w:t xml:space="preserve">the </w:t>
      </w:r>
      <w:r>
        <w:t xml:space="preserve">TCA cycle under methanol growth is to provide precursors for </w:t>
      </w:r>
      <w:r>
        <w:rPr>
          <w:i/>
        </w:rPr>
        <w:t>de novo</w:t>
      </w:r>
      <w:r>
        <w:t xml:space="preserve"> biosynthesis, not to provide NADH, as in methane growth. Instead, during methanol growth, it appears that </w:t>
      </w:r>
      <w:proofErr w:type="spellStart"/>
      <w:r>
        <w:t>formate</w:t>
      </w:r>
      <w:proofErr w:type="spellEnd"/>
      <w:r>
        <w:t xml:space="preserve"> dehydrogenase (FDH) takes over the role of producing NADH. The predicted high FDH activity matches with the extracellular </w:t>
      </w:r>
      <w:proofErr w:type="spellStart"/>
      <w:r>
        <w:t>formate</w:t>
      </w:r>
      <w:proofErr w:type="spellEnd"/>
      <w:r>
        <w:t xml:space="preserve"> secretion, suggesting that the activity of FDH reaches a maximum that is lower than the </w:t>
      </w:r>
      <w:proofErr w:type="spellStart"/>
      <w:r>
        <w:t>formate</w:t>
      </w:r>
      <w:proofErr w:type="spellEnd"/>
      <w:r>
        <w:t xml:space="preserve"> production rate.</w:t>
      </w:r>
    </w:p>
    <w:p w14:paraId="04C4BC66" w14:textId="62EF48F8" w:rsidR="008417A4" w:rsidRDefault="008417A4" w:rsidP="00A144B2">
      <w:r>
        <w:t>In general, the RNA-</w:t>
      </w:r>
      <w:proofErr w:type="spellStart"/>
      <w:r>
        <w:t>seq</w:t>
      </w:r>
      <w:proofErr w:type="spellEnd"/>
      <w:r>
        <w:t xml:space="preserve"> transcriptomics data supported the other experimental findings with regard to trends. However, the changes in gene expression level were subtle but statistically significant, while the</w:t>
      </w:r>
      <w:r w:rsidR="006E1BDD">
        <w:t xml:space="preserve"> relative </w:t>
      </w:r>
      <w:r>
        <w:t>changes in fluxes were much larger. This suggests that the changes in metabolite</w:t>
      </w:r>
      <w:r w:rsidR="00792782">
        <w:t xml:space="preserve">s and fluxes could be caused </w:t>
      </w:r>
      <w:r>
        <w:t>as much if not more by small molecule regulation than by gene expression level.  Of the targeted metabolites, some changed by over 5-fold, including KDPG, citrate, F6P, and F1,6BP (increased on methanol) and 3PG and PEP (decreased on methanol).  These are candidates for small molecule regulation.</w:t>
      </w:r>
    </w:p>
    <w:p w14:paraId="0A7C58CB" w14:textId="6F977FA1" w:rsidR="008417A4" w:rsidRDefault="008417A4" w:rsidP="00A144B2">
      <w:r>
        <w:t xml:space="preserve">As shown in </w:t>
      </w:r>
      <w:r w:rsidR="004C2A5F">
        <w:t>an</w:t>
      </w:r>
      <w:r>
        <w:t>other study</w:t>
      </w:r>
      <w:r>
        <w:fldChar w:fldCharType="begin" w:fldLock="1"/>
      </w:r>
      <w:r w:rsidR="008C0508">
        <w:instrText>ADDIN CSL_CITATION { "citationItems" : [ { "id" : "ITEM-1", "itemData" : { "abstract" : "The use of large-scale or genome-scale metabolic reconstructions for modeling and simulation of plant metabolism and integration of those models with large-scale omics and experimental flux data is becoming increasingly important in plant metabolic research. Here we report an updated version of bna572, a bottom-up reconstruction of oilseed rape (Brassica napus L.; Brassicaceae) developing seeds with emphasis on representation of biomass-component biosynthesis. New features include additional seed-relevant pathways for isoprenoid, sterol, phenylpropanoid, flavonoid, and choline biosynthesis. Being now based on standardized data formats and procedures for model reconstruction, bna572+ is available as a COBRA-compliant Systems Biology Markup Language (SBML) model and conforms to the Minimum Information Requested in the Annotation of Biochemical Models (MIRIAM) standards for annotation of external data resources. Bna572+ contains 966 genes, 671 reactions, and 666 metabolites distributed among 11 subcellular compartments. It is referenced to the Arabidopsis thaliana genome, with gene-protein-reaction (GPR) associations resolving subcellular localization. Detailed mass and charge balancing and confidence scoring were applied to all reactions. Using B. napus seed specific transcriptome data, expression was verified for 78% of bna572+ genes and 97% of reactions. Alongside bna572+ we also present a revised carbon centric model for (13)C-Metabolic Flux Analysis ((13)C-MFA) with all its reactions being referenced to bna572+ based on linear projections. By integration of flux ratio constraints obtained from (13)C-MFA and by elimination of infinite flux bounds around thermodynamically infeasible loops based on COBRA loopless methods, we demonstrate improvements in predictive power of Flux Variability Analysis (FVA). Using this combined approach we characterize the difference in metabolic flux of developing seeds of two B. napus genotypes contrasting in starch and oil content.", "author" : [ { "dropping-particle" : "", "family" : "Hay", "given" : "Jordan O", "non-dropping-particle" : "", "parse-names" : false, "suffix" : "" }, { "dropping-particle" : "", "family" : "Shi", "given" : "Hai", "non-dropping-particle" : "", "parse-names" : false, "suffix" : "" }, { "dropping-particle" : "", "family" : "Heinzel", "given" : "Nicolas", "non-dropping-particle" : "", "parse-names" : false, "suffix" : "" }, { "dropping-particle" : "", "family" : "Hebbelmann", "given" : "Inga", "non-dropping-particle" : "", "parse-names" : false, "suffix" : "" }, { "dropping-particle" : "", "family" : "Rolletschek", "given" : "Hardy", "non-dropping-particle" : "", "parse-names" : false, "suffix" : "" }, { "dropping-particle" : "", "family" : "Schwender", "given" : "Jorg", "non-dropping-particle" : "", "parse-names" : false, "suffix" : "" } ], "container-title" : "Frontiers in plant science", "id" : "ITEM-1", "issue" : "December", "issued" : { "date-parts" : [ [ "2014" ] ] }, "page" : "724", "title" : "Integration of a constraint-based metabolic model of Brassica napus developing seeds with (13)C-metabolic flux analysis.", "type" : "article-journal", "volume" : "5" }, "uris" : [ "http://www.mendeley.com/documents/?uuid=452219ef-ee48-4bb2-bee9-ffc106febe64" ] } ], "mendeley" : { "formattedCitation" : "[86]", "plainTextFormattedCitation" : "[86]", "previouslyFormattedCitation" : "[86]" }, "properties" : { "noteIndex" : 0 }, "schema" : "https://github.com/citation-style-language/schema/raw/master/csl-citation.json" }</w:instrText>
      </w:r>
      <w:r>
        <w:fldChar w:fldCharType="separate"/>
      </w:r>
      <w:r w:rsidR="0005386F" w:rsidRPr="0005386F">
        <w:rPr>
          <w:noProof/>
        </w:rPr>
        <w:t>[86]</w:t>
      </w:r>
      <w:r>
        <w:fldChar w:fldCharType="end"/>
      </w:r>
      <w:r>
        <w:t xml:space="preserve">, </w:t>
      </w:r>
      <w:r w:rsidR="005F35BA">
        <w:t xml:space="preserve">we found that </w:t>
      </w:r>
      <w:r>
        <w:t xml:space="preserve">integrating </w:t>
      </w:r>
      <w:r w:rsidRPr="00DF5464">
        <w:rPr>
          <w:vertAlign w:val="superscript"/>
        </w:rPr>
        <w:t>13</w:t>
      </w:r>
      <w:r>
        <w:t xml:space="preserve">C results into the genome scale model provides additional constraints to the model that redefine the solution space for better prediction as well as redefining the design space for future strain engineering. The critical information about flux distribution in the network can only be measured locally, but with this approach, we were able to obtain a better prediction about the flux through genome-scale model. A recent effort has been made to develop a method to constrain genome-scale models with </w:t>
      </w:r>
      <w:r>
        <w:rPr>
          <w:vertAlign w:val="superscript"/>
        </w:rPr>
        <w:t>13</w:t>
      </w:r>
      <w:r>
        <w:t>C labeling data</w:t>
      </w:r>
      <w:r>
        <w:fldChar w:fldCharType="begin" w:fldLock="1"/>
      </w:r>
      <w:r w:rsidR="008C0508">
        <w:instrText>ADDIN CSL_CITATION { "citationItems" : [ { "id" : "ITEM-1", "itemData" : { "DOI" : "10.1371/journal.pcbi.1004363", "ISSN" : "1553-7358", "PMID" : "26379153", "abstract" : "Current limitations in quantitatively predicting biological behavior hinder our efforts to engineer biological systems to produce biofuels and other desired chemicals. Here, we present a new method for calculating metabolic fluxes, key targets in metabolic engineering, that incorporates data from 13C labeling experiments and genome-scale models. The data from 13C labeling experiments provide strong flux constraints that eliminate the need to assume an evolutionary optimization principle such as the growth rate optimization assumption used in Flux Balance Analysis (FBA). This effective constraining is achieved by making the simple but biologically relevant assumption that flux flows from core to peripheral metabolism and does not flow back. The new method is significantly more robust than FBA with respect to errors in genome-scale model reconstruction. Furthermore, it can provide a comprehensive picture of metabolite balancing and predictions for unmeasured extracellular fluxes as constrained by 13C labeling data. A comparison shows that the results of this new method are similar to those found through 13C Metabolic Flux Analysis (13C MFA) for central carbon metabolism but, additionally, it provides flux estimates for peripheral metabolism. The extra validation gained by matching 48 relative labeling measurements is used to identify where and why several existing COnstraint Based Reconstruction and Analysis (COBRA) flux prediction algorithms fail. We demonstrate how to use this knowledge to refine these methods and improve their predictive capabilities. This method provides a reliable base upon which to improve the design of biological systems.", "author" : [ { "dropping-particle" : "", "family" : "Mart\u00edn", "given" : "H\u00e9ctor Garc\u00eda", "non-dropping-particle" : "", "parse-names" : false, "suffix" : "" }, { "dropping-particle" : "", "family" : "Kumar", "given" : "Vinay Satish", "non-dropping-particle" : "", "parse-names" : false, "suffix" : "" }, { "dropping-particle" : "", "family" : "Weaver", "given" : "Daniel", "non-dropping-particle" : "", "parse-names" : false, "suffix" : "" }, { "dropping-particle" : "", "family" : "Ghosh", "given" : "Amit", "non-dropping-particle" : "", "parse-names" : false, "suffix" : "" }, { "dropping-particle" : "", "family" : "Chubukov", "given" : "Victor", "non-dropping-particle" : "", "parse-names" : false, "suffix" : "" }, { "dropping-particle" : "", "family" : "Mukhopadhyay", "given" : "Aindrila", "non-dropping-particle" : "", "parse-names" : false, "suffix" : "" }, { "dropping-particle" : "", "family" : "Arkin", "given" : "Adam", "non-dropping-particle" : "", "parse-names" : false, "suffix" : "" }, { "dropping-particle" : "", "family" : "Keasling", "given" : "Jay D", "non-dropping-particle" : "", "parse-names" : false, "suffix" : "" } ], "container-title" : "PLoS computational biology", "id" : "ITEM-1", "issue" : "9", "issued" : { "date-parts" : [ [ "2015", "9" ] ] }, "page" : "e1004363", "title" : "A Method to Constrain Genome-Scale Models with 13C Labeling Data.", "type" : "article-journal", "volume" : "11" }, "uris" : [ "http://www.mendeley.com/documents/?uuid=59e36b5f-b0c1-3e1b-bf71-ad23335bfbcd" ] } ], "mendeley" : { "formattedCitation" : "[75]", "plainTextFormattedCitation" : "[75]", "previouslyFormattedCitation" : "[75]" }, "properties" : { "noteIndex" : 0 }, "schema" : "https://github.com/citation-style-language/schema/raw/master/csl-citation.json" }</w:instrText>
      </w:r>
      <w:r>
        <w:fldChar w:fldCharType="separate"/>
      </w:r>
      <w:r w:rsidR="0005386F" w:rsidRPr="0005386F">
        <w:rPr>
          <w:noProof/>
        </w:rPr>
        <w:t>[75]</w:t>
      </w:r>
      <w:r>
        <w:fldChar w:fldCharType="end"/>
      </w:r>
      <w:r>
        <w:t xml:space="preserve"> and eliminate the need to assume an objective function for optimization. However, this approach is difficult to apply to a C1 network for the same reasons that make the well-established </w:t>
      </w:r>
      <w:r w:rsidRPr="006B2569">
        <w:rPr>
          <w:vertAlign w:val="superscript"/>
        </w:rPr>
        <w:t>13</w:t>
      </w:r>
      <w:r>
        <w:t xml:space="preserve">C MFA method difficult to apply, namely the full labeling of many key intermediates. </w:t>
      </w:r>
    </w:p>
    <w:p w14:paraId="5F671F03" w14:textId="77777777" w:rsidR="008417A4" w:rsidRDefault="008417A4" w:rsidP="00A144B2">
      <w:r>
        <w:t xml:space="preserve">In summary, a systematic shift of metabolism was observed when switching the substrate from methane to methanol, which suggested significant flexibility of core central metabolism in this obligate </w:t>
      </w:r>
      <w:proofErr w:type="spellStart"/>
      <w:r>
        <w:t>methylotroph</w:t>
      </w:r>
      <w:proofErr w:type="spellEnd"/>
      <w:r>
        <w:t>. The presence of both EMP and ED pathways provides flexibility to the whole network in response to environmental perturbations (such as shift in substrate type), genetic manipulations or both.</w:t>
      </w:r>
    </w:p>
    <w:p w14:paraId="121DA9EF" w14:textId="77777777" w:rsidR="008417A4" w:rsidRDefault="008417A4" w:rsidP="00A144B2">
      <w:r>
        <w:lastRenderedPageBreak/>
        <w:t xml:space="preserve">This study is an important step forward to understanding the core metabolism in Type I </w:t>
      </w:r>
      <w:proofErr w:type="spellStart"/>
      <w:r>
        <w:t>methanotrophs</w:t>
      </w:r>
      <w:proofErr w:type="spellEnd"/>
      <w:r>
        <w:t xml:space="preserve"> for methanol-based biotechnology. </w:t>
      </w:r>
    </w:p>
    <w:p w14:paraId="170CE242" w14:textId="77777777" w:rsidR="008417A4" w:rsidRDefault="008417A4" w:rsidP="00011FAD">
      <w:pPr>
        <w:pStyle w:val="Heading2"/>
      </w:pPr>
      <w:bookmarkStart w:id="106" w:name="_Toc468311752"/>
      <w:r>
        <w:t>Conclusion</w:t>
      </w:r>
      <w:bookmarkEnd w:id="106"/>
    </w:p>
    <w:p w14:paraId="6450CCCD" w14:textId="77777777" w:rsidR="008417A4" w:rsidRDefault="008417A4" w:rsidP="00A144B2">
      <w:r>
        <w:t xml:space="preserve">In this study, we demonstrated a systematic shift of metabolism in </w:t>
      </w:r>
      <w:r>
        <w:rPr>
          <w:i/>
        </w:rPr>
        <w:t xml:space="preserve">M. buryatense </w:t>
      </w:r>
      <w:r>
        <w:t xml:space="preserve">5GB1 in cells grown on methanol compared to methane towards the ED pathway, the serine cycle, and an incomplete TCA cycle. The combination of flux balance analysis of genome-scale model and flux ratio from </w:t>
      </w:r>
      <w:r w:rsidRPr="00BD1B46">
        <w:rPr>
          <w:vertAlign w:val="superscript"/>
        </w:rPr>
        <w:t>13</w:t>
      </w:r>
      <w:r>
        <w:t xml:space="preserve">C data changed the solution space for better prediction of cell behavior. </w:t>
      </w:r>
    </w:p>
    <w:p w14:paraId="0ACDB19D" w14:textId="77777777" w:rsidR="008417A4" w:rsidRDefault="008417A4" w:rsidP="008417A4">
      <w:pPr>
        <w:pStyle w:val="Heading2"/>
      </w:pPr>
      <w:bookmarkStart w:id="107" w:name="header-c115"/>
      <w:bookmarkStart w:id="108" w:name="_Toc468311753"/>
      <w:bookmarkEnd w:id="107"/>
      <w:r>
        <w:t>Method</w:t>
      </w:r>
      <w:bookmarkEnd w:id="108"/>
    </w:p>
    <w:p w14:paraId="10237F0C" w14:textId="03CF123B" w:rsidR="008417A4" w:rsidRDefault="00A9046D" w:rsidP="008417A4">
      <w:pPr>
        <w:pStyle w:val="Heading3"/>
      </w:pPr>
      <w:bookmarkStart w:id="109" w:name="header-c116"/>
      <w:bookmarkStart w:id="110" w:name="_Toc468311754"/>
      <w:bookmarkEnd w:id="109"/>
      <w:r>
        <w:t>4.6</w:t>
      </w:r>
      <w:r w:rsidR="008417A4">
        <w:t xml:space="preserve">. Cell culture for </w:t>
      </w:r>
      <w:r w:rsidR="008417A4">
        <w:rPr>
          <w:vertAlign w:val="superscript"/>
        </w:rPr>
        <w:t>13</w:t>
      </w:r>
      <w:r w:rsidR="008417A4">
        <w:t>C labeling experiment, phenotypic characterization, and medium composition</w:t>
      </w:r>
      <w:bookmarkEnd w:id="110"/>
    </w:p>
    <w:p w14:paraId="3CCDACE0" w14:textId="4A500E5D" w:rsidR="008417A4" w:rsidRDefault="008417A4" w:rsidP="0046054B">
      <w:r>
        <w:t>For growth curve experiments, liquid pre-cultures were grown in 25 ml tubes with NMS2 medium with 0.2% methanol in 30</w:t>
      </w:r>
      <w:r>
        <w:rPr>
          <w:rFonts w:cs="Arial"/>
        </w:rPr>
        <w:t>°</w:t>
      </w:r>
      <w:r>
        <w:t>C, 200 rpm, sealed with rubber stoppers and aluminum seals (Wheaton, Millville, NJ, USA). Pre-cultures were then inoculated in new 25 ml tubes with starting OD</w:t>
      </w:r>
      <w:r>
        <w:rPr>
          <w:vertAlign w:val="subscript"/>
        </w:rPr>
        <w:t>600</w:t>
      </w:r>
      <w:r>
        <w:t xml:space="preserve"> = 0.01 for growth rate experiments as well as </w:t>
      </w:r>
      <w:r>
        <w:rPr>
          <w:vertAlign w:val="superscript"/>
        </w:rPr>
        <w:t>13</w:t>
      </w:r>
      <w:r>
        <w:t>C analysis. NMS2 medium as described in</w:t>
      </w:r>
      <w:r>
        <w:fldChar w:fldCharType="begin" w:fldLock="1"/>
      </w:r>
      <w:r w:rsidR="00CF7D99">
        <w:instrText>ADDIN CSL_CITATION { "citationItems" : [ { "id" : "ITEM-1", "itemData" : { "DOI" : "10.1128/genomeA.00053-13", "ISSN" : "2169-8287", "PMID" : "23814105", "abstract" : "Robust growth of the gammaproteobacterium Methylomicrobium buryatense strain 5G on methane makes it an attractive system for CH4-based biocatalysis. Here we present a draft genome sequence of the strain that will provide a valuable framework for metabolic engineering of the core pathways for the production of valuable chemicals from methane.", "author" : [ { "dropping-particle" : "", "family" : "Khmelenina", "given" : "Valentina N", "non-dropping-particle" : "", "parse-names" : false, "suffix" : "" }, { "dropping-particle" : "", "family" : "Beck", "given" : "David A C", "non-dropping-particle" : "", "parse-names" : false, "suffix" : "" }, { "dropping-particle" : "", "family" : "Munk", "given" : "Christine", "non-dropping-particle" : "", "parse-names" : false, "suffix" : "" }, { "dropping-particle" : "", "family" : "Davenport", "given" : "Karen", "non-dropping-particle" : "", "parse-names" : false, "suffix" : "" }, { "dropping-particle" : "", "family" : "Daligault", "given" : "Hajnalka", "non-dropping-particle" : "", "parse-names" : false, "suffix" : "" }, { "dropping-particle" : "", "family" : "Erkkila", "given" : "Tracy", "non-dropping-particle" : "", "parse-names" : false, "suffix" : "" }, { "dropping-particle" : "", "family" : "Goodwin", "given" : "Lynne", "non-dropping-particle" : "", "parse-names" : false, "suffix" : "" }, { "dropping-particle" : "", "family" : "Gu", "given" : "Wei", "non-dropping-particle" : "", "parse-names" : false, "suffix" : "" }, { "dropping-particle" : "", "family" : "Lo", "given" : "Chien-Chi", "non-dropping-particle" : "", "parse-names" : false, "suffix" : "" }, { "dropping-particle" : "", "family" : "Scholz", "given" : "Matthew", "non-dropping-particle" : "", "parse-names" : false, "suffix" : "" }, { "dropping-particle" : "", "family" : "Teshima", "given" : "Hazuki", "non-dropping-particle" : "", "parse-names" : false, "suffix" : "" }, { "dropping-particle" : "", "family" : "Xu", "given" : "Yan", "non-dropping-particle" : "", "parse-names" : false, "suffix" : "" }, { "dropping-particle" : "", "family" : "Chain", "given" : "Patrick", "non-dropping-particle" : "", "parse-names" : false, "suffix" : "" }, { "dropping-particle" : "", "family" : "Bringel", "given" : "Francoise", "non-dropping-particle" : "", "parse-names" : false, "suffix" : "" }, { "dropping-particle" : "", "family" : "Vuilleumier", "given" : "St\u00e9phane", "non-dropping-particle" : "", "parse-names" : false, "suffix" : "" }, { "dropping-particle" : "", "family" : "Dispirito", "given" : "Alan", "non-dropping-particle" : "", "parse-names" : false, "suffix" : "" }, { "dropping-particle" : "", "family" : "Dunfield", "given" : "Peter", "non-dropping-particle" : "", "parse-names" : false, "suffix" : "" }, { "dropping-particle" : "", "family" : "Jetten", "given" : "Mike S M", "non-dropping-particle" : "", "parse-names" : false, "suffix" : "" }, { "dropping-particle" : "", "family" : "Klotz", "given" : "Martin G", "non-dropping-particle" : "", "parse-names" : false, "suffix" : "" }, { "dropping-particle" : "", "family" : "Knief", "given" : "Claudia", "non-dropping-particle" : "", "parse-names" : false, "suffix" : "" }, { "dropping-particle" : "", "family" : "Murrell", "given" : "J Colin", "non-dropping-particle" : "", "parse-names" : false, "suffix" : "" }, { "dropping-particle" : "", "family" : "Op den Camp", "given" : "Huub J M", "non-dropping-particle" : "", "parse-names" : false, "suffix" : "" }, { "dropping-particle" : "", "family" : "Sakai", "given" : "Yasuyoshi", "non-dropping-particle" : "", "parse-names" : false, "suffix" : "" }, { "dropping-particle" : "", "family" : "Semrau", "given" : "Jeremy", "non-dropping-particle" : "", "parse-names" : false, "suffix" : "" }, { "dropping-particle" : "", "family" : "Svenning", "given" : "Mette", "non-dropping-particle" : "", "parse-names" : false, "suffix" : "" }, { "dropping-particle" : "", "family" : "Stein", "given" : "Lisa Y", "non-dropping-particle" : "", "parse-names" : false, "suffix" : "" }, { "dropping-particle" : "", "family" : "Trotsenko", "given" : "Yuri A", "non-dropping-particle" : "", "parse-names" : false, "suffix" : "" }, { "dropping-particle" : "", "family" : "Kalyuzhnaya", "given" : "Marina G", "non-dropping-particle" : "", "parse-names" : false, "suffix" : "" } ], "container-title" : "Genome announcements", "id" : "ITEM-1", "issue" : "4", "issued" : { "date-parts" : [ [ "2013", "6", "27" ] ] }, "page" : "e00053-13", "publisher" : "American Society for Microbiology", "title" : "Draft Genome Sequence of Methylomicrobium buryatense Strain 5G, a Haloalkaline-Tolerant Methanotrophic Bacterium.", "type" : "article-journal", "volume" : "1" }, "uris" : [ "http://www.mendeley.com/documents/?uuid=ee6c40ce-a1c8-3d38-b2a1-9cac8de7b85f" ] } ], "mendeley" : { "formattedCitation" : "[28]", "plainTextFormattedCitation" : "[28]", "previouslyFormattedCitation" : "[28]" }, "properties" : { "noteIndex" : 0 }, "schema" : "https://github.com/citation-style-language/schema/raw/master/csl-citation.json" }</w:instrText>
      </w:r>
      <w:r>
        <w:fldChar w:fldCharType="separate"/>
      </w:r>
      <w:r w:rsidR="008F71E9" w:rsidRPr="008F71E9">
        <w:rPr>
          <w:noProof/>
        </w:rPr>
        <w:t>[28]</w:t>
      </w:r>
      <w:r>
        <w:fldChar w:fldCharType="end"/>
      </w:r>
      <w:r>
        <w:t xml:space="preserve"> was used for liquid culture. For strain construction, </w:t>
      </w:r>
      <w:proofErr w:type="spellStart"/>
      <w:r>
        <w:t>zeocine</w:t>
      </w:r>
      <w:proofErr w:type="spellEnd"/>
      <w:r>
        <w:t xml:space="preserve"> (</w:t>
      </w:r>
      <w:proofErr w:type="spellStart"/>
      <w:r>
        <w:t>Zeo</w:t>
      </w:r>
      <w:proofErr w:type="spellEnd"/>
      <w:r>
        <w:t>), was used at 30</w:t>
      </w:r>
      <w:r>
        <w:rPr>
          <w:rFonts w:cs="Arial"/>
        </w:rPr>
        <w:t>μ</w:t>
      </w:r>
      <w:r>
        <w:t xml:space="preserve">g/ml. </w:t>
      </w:r>
    </w:p>
    <w:p w14:paraId="396DEC16" w14:textId="6DA49DBF" w:rsidR="008417A4" w:rsidRDefault="008417A4" w:rsidP="0046054B">
      <w:r>
        <w:t xml:space="preserve">For </w:t>
      </w:r>
      <w:r>
        <w:rPr>
          <w:vertAlign w:val="superscript"/>
        </w:rPr>
        <w:t>13</w:t>
      </w:r>
      <w:r>
        <w:t xml:space="preserve">C labeling experiment, </w:t>
      </w:r>
      <w:proofErr w:type="spellStart"/>
      <w:r>
        <w:t>presultures</w:t>
      </w:r>
      <w:proofErr w:type="spellEnd"/>
      <w:r>
        <w:t xml:space="preserve"> were grown in 25 ml tubes with 0.2% methanol for 18 hours. The </w:t>
      </w:r>
      <w:proofErr w:type="spellStart"/>
      <w:r>
        <w:t>precultures</w:t>
      </w:r>
      <w:proofErr w:type="spellEnd"/>
      <w:r>
        <w:t xml:space="preserve"> were then inoculated into 50 ml fresh medium in 250 ml serum bottles (with starting OD</w:t>
      </w:r>
      <w:r>
        <w:rPr>
          <w:vertAlign w:val="subscript"/>
        </w:rPr>
        <w:t>600</w:t>
      </w:r>
      <w:r>
        <w:t>=0.01). Cell were harvested at 0.3 ~ 0.6 when the culture was under both isotopic steady state and metabolic steady state. All strains used in this study are listed in supplemental Table S</w:t>
      </w:r>
      <w:r w:rsidR="00147C51">
        <w:t>4_</w:t>
      </w:r>
      <w:r>
        <w:t>2.</w:t>
      </w:r>
    </w:p>
    <w:p w14:paraId="4906D23F" w14:textId="2C17B2CE" w:rsidR="008417A4" w:rsidRDefault="00A65619" w:rsidP="008417A4">
      <w:pPr>
        <w:pStyle w:val="Heading3"/>
      </w:pPr>
      <w:bookmarkStart w:id="111" w:name="header-c121"/>
      <w:bookmarkStart w:id="112" w:name="_Toc468311755"/>
      <w:bookmarkEnd w:id="111"/>
      <w:r>
        <w:t>4.7</w:t>
      </w:r>
      <w:r w:rsidR="008417A4">
        <w:t xml:space="preserve">. Genetic manipulation of </w:t>
      </w:r>
      <w:r w:rsidR="008417A4">
        <w:rPr>
          <w:i/>
        </w:rPr>
        <w:t xml:space="preserve">M. buryatense </w:t>
      </w:r>
      <w:r w:rsidR="008417A4">
        <w:t xml:space="preserve">5GB1 with </w:t>
      </w:r>
      <w:proofErr w:type="spellStart"/>
      <w:r w:rsidR="008417A4">
        <w:t>Ptac-tetR-PtetA</w:t>
      </w:r>
      <w:proofErr w:type="spellEnd"/>
      <w:r w:rsidR="008417A4">
        <w:t xml:space="preserve"> system</w:t>
      </w:r>
      <w:bookmarkEnd w:id="112"/>
    </w:p>
    <w:p w14:paraId="25BC94F4" w14:textId="3D4C8B9E" w:rsidR="008417A4" w:rsidRDefault="008417A4" w:rsidP="0046054B">
      <w:r>
        <w:t>Primers for the tunable promoter system constructs are listed in Table S</w:t>
      </w:r>
      <w:r w:rsidR="00CB04B0">
        <w:t>4_</w:t>
      </w:r>
      <w:r>
        <w:t xml:space="preserve">3 in the supplemental material. The tunable promoter system was constructed by swapping the predicted promoter region (in total 570bp) in </w:t>
      </w:r>
      <w:r>
        <w:rPr>
          <w:i/>
        </w:rPr>
        <w:t xml:space="preserve">edd </w:t>
      </w:r>
      <w:r>
        <w:t>(METBUDRAFT</w:t>
      </w:r>
      <w:r>
        <w:rPr>
          <w:i/>
        </w:rPr>
        <w:t>1903 /MBURv2</w:t>
      </w:r>
      <w:r>
        <w:t xml:space="preserve">130008) region with the </w:t>
      </w:r>
      <w:proofErr w:type="spellStart"/>
      <w:r>
        <w:t>PtetA</w:t>
      </w:r>
      <w:proofErr w:type="spellEnd"/>
      <w:r>
        <w:t xml:space="preserve"> promoter</w:t>
      </w:r>
      <w:r>
        <w:fldChar w:fldCharType="begin" w:fldLock="1"/>
      </w:r>
      <w:r w:rsidR="008C0508">
        <w:instrText>ADDIN CSL_CITATION { "citationItems" : [ { "id" : "ITEM-1", "itemData" : { "DOI" : "10.1038/srep21585", "ISSN" : "2045-2322", "author" : [ { "dropping-particle" : "", "family" : "Henard", "given" : "Calvin A.", "non-dropping-particle" : "", "parse-names" : false, "suffix" : "" }, { "dropping-particle" : "", "family" : "Smith", "given" : "Holly", "non-dropping-particle" : "", "parse-names" : false, "suffix" : "" }, { "dropping-particle" : "", "family" : "Dowe", "given" : "Nancy", "non-dropping-particle" : "", "parse-names" : false, "suffix" : "" }, { "dropping-particle" : "", "family" : "Kalyuzhnaya", "given" : "Marina G.", "non-dropping-particle" : "", "parse-names" : false, "suffix" : "" }, { "dropping-particle" : "", "family" : "Pienkos", "given" : "Philip T.", "non-dropping-particle" : "", "parse-names" : false, "suffix" : "" }, { "dropping-particle" : "", "family" : "Guarnieri", "given" : "Michael T.", "non-dropping-particle" : "", "parse-names" : false, "suffix" : "" }, { "dropping-particle" : "", "family" : "Anderson", "given" : "B.", "non-dropping-particle" : "", "parse-names" : false, "suffix" : "" }, { "dropping-particle" : "", "family" : "Fei", "given" : "Q.", "non-dropping-particle" : "", "parse-names" : false, "suffix" : "" }, { "dropping-particle" : "", "family" : "Conrado", "given" : "R. J.", "non-dropping-particle" : "", "parse-names" : false, "suffix" : "" }, { "dropping-particle" : "", "family" : "Gonzalez", "given" : "R.", "non-dropping-particle" : "", "parse-names" : false, "suffix" : "" }, { "dropping-particle" : "", "family" : "Haynes", "given" : "C. A.", "non-dropping-particle" : "", "parse-names" : false, "suffix" : "" }, { "dropping-particle" : "", "family" : "Gonzalez", "given" : "R.", "non-dropping-particle" : "", "parse-names" : false, "suffix" : "" }, { "dropping-particle" : "", "family" : "Chistoserdova", "given" : "L.", "non-dropping-particle" : "", "parse-names" : false, "suffix" : "" }, { "dropping-particle" : "", "family" : "Kalyuzhnaya", "given" : "M. G.", "non-dropping-particle" : "", "parse-names" : false, "suffix" : "" }, { "dropping-particle" : "", "family" : "Lidstrom", "given" : "M. E.", "non-dropping-particle" : "", "parse-names" : false, "suffix" : "" }, { "dropping-particle" : "", "family" : "Strong", "given" : "P. J.", "non-dropping-particle" : "", "parse-names" : false, "suffix" : "" }, { "dropping-particle" : "", "family" : "Xie", "given" : "S.", "non-dropping-particle" : "", "parse-names" : false, "suffix" : "" }, { "dropping-particle" : "", "family" : "Clarke", "given" : "W. P.", "non-dropping-particle" : "", "parse-names" : false, "suffix" : "" }, { "dropping-particle" : "", "family" : "Bothe", "given" : "H.", "non-dropping-particle" : "", "parse-names" : false, "suffix" : "" }, { "dropping-particle" : "", "family" : "Harrison", "given" : "D. E.", "non-dropping-particle" : "", "parse-names" : false, "suffix" : "" }, { "dropping-particle" : "", "family" : "Hamer", "given" : "G.", "non-dropping-particle" : "", "parse-names" : false, "suffix" : "" }, { "dropping-particle" : "", "family" : "Khosravi-Darani", "given" : "K.", "non-dropping-particle" : "", "parse-names" : false, "suffix" : "" }, { "dropping-particle" : "", "family" : "Mokhtari", "given" : "Z.-B.", "non-dropping-particle" : "", "parse-names" : false, "suffix" : "" }, { "dropping-particle" : "", "family" : "Amai", "given" : "T.", "non-dropping-particle" : "", "parse-names" : false, "suffix" : "" }, { "dropping-particle" : "", "family" : "Tanaka", "given" : "K.", "non-dropping-particle" : "", "parse-names" : false, "suffix" : "" }, { "dropping-particle" : "", "family" : "Ye", "given" : "R. W.", "non-dropping-particle" : "", "parse-names" : false, "suffix" : "" }, { "dropping-particle" : "", "family" : "Tao", "given" : "L.", "non-dropping-particle" : "", "parse-names" : false, "suffix" : "" }, { "dropping-particle" : "", "family" : "Sharpe", "given" : "P. L.", "non-dropping-particle" : "", "parse-names" : false, "suffix" : "" }, { "dropping-particle" : "", "family" : "Ivanova", "given" : "E. G.", "non-dropping-particle" : "", "parse-names" : false, "suffix" : "" }, { "dropping-particle" : "", "family" : "Fedorov", "given" : "D. N.", "non-dropping-particle" : "", "parse-names" : false, "suffix" : "" }, { "dropping-particle" : "V.", "family" : "Doronina", "given" : "N.", "non-dropping-particle" : "", "parse-names" : false, "suffix" : "" }, { "dropping-particle" : "", "family" : "Trotsenko", "given" : "I. A.", "non-dropping-particle" : "", "parse-names" : false, "suffix" : "" }, { "dropping-particle" : "", "family" : "Duan", "given" : "C.", "non-dropping-particle" : "", "parse-names" : false, "suffix" : "" }, { "dropping-particle" : "", "family" : "Luo", "given" : "M.", "non-dropping-particle" : "", "parse-names" : false, "suffix" : "" }, { "dropping-particle" : "", "family" : "Xing", "given" : "X.", "non-dropping-particle" : "", "parse-names" : false, "suffix" : "" }, { "dropping-particle" : "", "family" : "Hwang", "given" : "I. Y.", "non-dropping-particle" : "", "parse-names" : false, "suffix" : "" }, { "dropping-particle" : "", "family" : "Kalyuzhnaya", "given" : "M. G.", "non-dropping-particle" : "", "parse-names" : false, "suffix" : "" }, { "dropping-particle" : "", "family" : "Puri", "given" : "A. W.", "non-dropping-particle" : "", "parse-names" : false, "suffix" : "" }, { "dropping-particle" : "", "family" : "Lidstrom", "given" : "M. E.", "non-dropping-particle" : "", "parse-names" : false, "suffix" : "" }, { "dropping-particle" : "", "family" : "Kaluzhnaya", "given" : "M.", "non-dropping-particle" : "", "parse-names" : false, "suffix" : "" }, { "dropping-particle" : "", "family" : "Khmelenina", "given" : "V.", "non-dropping-particle" : "", "parse-names" : false, "suffix" : "" }, { "dropping-particle" : "", "family" : "Eshinimaev", "given" : "B.", "non-dropping-particle" : "", "parse-names" : false, "suffix" : "" }, { "dropping-particle" : "", "family" : "Kalyuzhnaya", "given" : "M. G.", "non-dropping-particle" : "", "parse-names" : false, "suffix" : "" }, { "dropping-particle" : "", "family" : "Vuilleumier", "given" : "S.", "non-dropping-particle" : "", "parse-names" : false, "suffix" : "" }, { "dropping-particle" : "", "family" : "Khmelenina", "given" : "V. N.", "non-dropping-particle" : "", "parse-names" : false, "suffix" : "" }, { "dropping-particle" : "", "family" : "Puri", "given" : "A. W.", "non-dropping-particle" : "", "parse-names" : false, "suffix" : "" }, { "dropping-particle" : "", "family" : "Skerra", "given" : "A.", "non-dropping-particle" : "", "parse-names" : false, "suffix" : "" }, { "dropping-particle" : "", "family" : "Henard", "given" : "C. A.", "non-dropping-particle" : "", "parse-names" : false, "suffix" : "" }, { "dropping-particle" : "", "family" : "Bourret", "given" : "T. J.", "non-dropping-particle" : "", "parse-names" : false, "suffix" : "" }, { "dropping-particle" : "", "family" : "Song", "given" : "M.", "non-dropping-particle" : "", "parse-names" : false, "suffix" : "" }, { "dropping-particle" : "", "family" : "V\u00e1zquez-Torres", "given" : "A.", "non-dropping-particle" : "", "parse-names" : false, "suffix" : "" }, { "dropping-particle" : "", "family" : "Ilm\u00e9n", "given" : "M.", "non-dropping-particle" : "", "parse-names" : false, "suffix" : "" }, { "dropping-particle" : "", "family" : "Wiebe", "given" : "M. G.", "non-dropping-particle" : "", "parse-names" : false, "suffix" : "" }, { "dropping-particle" : "", "family" : "Ruohonen", "given" : "L.", "non-dropping-particle" : "", "parse-names" : false, "suffix" : "" }, { "dropping-particle" : "", "family" : "Utrilla", "given" : "J.", "non-dropping-particle" : "", "parse-names" : false, "suffix" : "" }, { "dropping-particle" : "", "family" : "Ishida", "given" : "N.", "non-dropping-particle" : "", "parse-names" : false, "suffix" : "" }, { "dropping-particle" : "", "family" : "Cu\u00e9llar", "given" : "A. D.", "non-dropping-particle" : "", "parse-names" : false, "suffix" : "" }, { "dropping-particle" : "", "family" : "Webber", "given" : "M. E.", "non-dropping-particle" : "", "parse-names" : false, "suffix" : "" }, { "dropping-particle" : "", "family" : "Cu\u00e9llar", "given" : "A. D.", "non-dropping-particle" : "", "parse-names" : false, "suffix" : "" }, { "dropping-particle" : "", "family" : "Webber", "given" : "M. E.", "non-dropping-particle" : "", "parse-names" : false, "suffix" : "" }, { "dropping-particle" : "", "family" : "Khmelenina", "given" : "V. N.", "non-dropping-particle" : "", "parse-names" : false, "suffix" : "" }, { "dropping-particle" : "", "family" : "Kalyuzhnaya", "given" : "M. G.", "non-dropping-particle" : "", "parse-names" : false, "suffix" : "" }, { "dropping-particle" : "", "family" : "Starostina", "given" : "N. G.", "non-dropping-particle" : "", "parse-names" : false, "suffix" : "" }, { "dropping-particle" : "", "family" : "Suzina", "given" : "N. E.", "non-dropping-particle" : "", "parse-names" : false, "suffix" : "" }, { "dropping-particle" : "", "family" : "Trotsenko", "given" : "Y. A.", "non-dropping-particle" : "", "parse-names" : false, "suffix" : "" }, { "dropping-particle" : "", "family" : "Eiteman", "given" : "M. A.", "non-dropping-particle" : "", "parse-names" : false, "suffix" : "" }, { "dropping-particle" : "", "family" : "Ramalingam", "given" : "S.", "non-dropping-particle" : "", "parse-names" : false, "suffix" : "" }, { "dropping-particle" : "", "family" : "Abdel-Rahman", "given" : "M. A.", "non-dropping-particle" : "", "parse-names" : false, "suffix" : "" }, { "dropping-particle" : "", "family" : "Tashiro", "given" : "Y.", "non-dropping-particle" : "", "parse-names" : false, "suffix" : "" }, { "dropping-particle" : "", "family" : "Sonomoto", "given" : "K.", "non-dropping-particle" : "", "parse-names" : false, "suffix" : "" }, { "dropping-particle" : "", "family" : "Linger", "given" : "J. G.", "non-dropping-particle" : "", "parse-names" : false, "suffix" : "" }, { "dropping-particle" : "", "family" : "Blazeck", "given" : "J.", "non-dropping-particle" : "", "parse-names" : false, "suffix" : "" }, { "dropping-particle" : "", "family" : "Peralta-Yahya", "given" : "P. P.", "non-dropping-particle" : "", "parse-names" : false, "suffix" : "" }, { "dropping-particle" : "", "family" : "Malashenko", "given" : "Y. R.", "non-dropping-particle" : "", "parse-names" : false, "suffix" : "" }, { "dropping-particle" : "", "family" : "Pirog", "given" : "T. P.", "non-dropping-particle" : "", "parse-names" : false, "suffix" : "" }, { "dropping-particle" : "", "family" : "Romanovskaya", "given" : "V. A.", "non-dropping-particle" : "", "parse-names" : false, "suffix" : "" }, { "dropping-particle" : "", "family" : "Sokolov", "given" : "I. G.", "non-dropping-particle" : "", "parse-names" : false, "suffix" : "" }, { "dropping-particle" : "", "family" : "Grinberg", "given" : "T. A.", "non-dropping-particle" : "", "parse-names" : false, "suffix" : "" }, { "dropping-particle" : "", "family" : "Brantner", "given" : "C. A.", "non-dropping-particle" : "", "parse-names" : false, "suffix" : "" }, { "dropping-particle" : "", "family" : "Remsen", "given" : "C. C.", "non-dropping-particle" : "", "parse-names" : false, "suffix" : "" }, { "dropping-particle" : "", "family" : "Owen", "given" : "H. A.", "non-dropping-particle" : "", "parse-names" : false, "suffix" : "" }, { "dropping-particle" : "", "family" : "Bogorad", "given" : "I. W.", "non-dropping-particle" : "", "parse-names" : false, "suffix" : "" }, { "dropping-particle" : "", "family" : "Ojala", "given" : "D. S.", "non-dropping-particle" : "", "parse-names" : false, "suffix" : "" }, { "dropping-particle" : "", "family" : "Beck", "given" : "D.", "non-dropping-particle" : "", "parse-names" : false, "suffix" : "" }, { "dropping-particle" : "", "family" : "Kalyuzhnaya", "given" : "M. G.", "non-dropping-particle" : "", "parse-names" : false, "suffix" : "" }, { "dropping-particle" : "", "family" : "Laurens", "given" : "L. M. L.", "non-dropping-particle" : "", "parse-names" : false, "suffix" : "" }, { "dropping-particle" : "", "family" : "Quinn", "given" : "M.", "non-dropping-particle" : "", "parse-names" : false, "suffix" : "" }, { "dropping-particle" : "Van", "family" : "Wychen", "given" : "S.", "non-dropping-particle" : "", "parse-names" : false, "suffix" : "" }, { "dropping-particle" : "", "family" : "Templeton", "given" : "D. W.", "non-dropping-particle" : "", "parse-names" : false, "suffix" : "" }, { "dropping-particle" : "", "family" : "Wolfrum", "given" : "E. J.", "non-dropping-particle" : "", "parse-names" : false, "suffix" : "" } ], "container-title" : "Scientific Reports", "id" : "ITEM-1", "issued" : { "date-parts" : [ [ "2016", "2", "23" ] ] }, "page" : "21585", "publisher" : "Nature Publishing Group", "title" : "Bioconversion of methane to lactate by an obligate methanotrophic bacterium", "type" : "article-journal", "volume" : "6" }, "uris" : [ "http://www.mendeley.com/documents/?uuid=c864cfb5-6d89-3f1d-beb1-a59d2e70de91" ] } ], "mendeley" : { "formattedCitation" : "[87]", "plainTextFormattedCitation" : "[87]", "previouslyFormattedCitation" : "[87]" }, "properties" : { "noteIndex" : 0 }, "schema" : "https://github.com/citation-style-language/schema/raw/master/csl-citation.json" }</w:instrText>
      </w:r>
      <w:r>
        <w:fldChar w:fldCharType="separate"/>
      </w:r>
      <w:r w:rsidR="0005386F" w:rsidRPr="0005386F">
        <w:rPr>
          <w:noProof/>
        </w:rPr>
        <w:t>[87]</w:t>
      </w:r>
      <w:r>
        <w:fldChar w:fldCharType="end"/>
      </w:r>
      <w:r>
        <w:t xml:space="preserve">. The construction was implemented with assembled PCR products which were then </w:t>
      </w:r>
      <w:proofErr w:type="spellStart"/>
      <w:r>
        <w:t>electroporated</w:t>
      </w:r>
      <w:proofErr w:type="spellEnd"/>
      <w:r>
        <w:t xml:space="preserve"> into unmarked strain FC35 (with </w:t>
      </w:r>
      <w:proofErr w:type="spellStart"/>
      <w:r>
        <w:t>Ptac-tetR</w:t>
      </w:r>
      <w:proofErr w:type="spellEnd"/>
      <w:r>
        <w:t xml:space="preserve"> integrated into the METBUDRAFT</w:t>
      </w:r>
      <w:r>
        <w:rPr>
          <w:i/>
        </w:rPr>
        <w:t>_1431-1432/MBURv2_</w:t>
      </w:r>
      <w:r>
        <w:t xml:space="preserve">60220-60221 site) using the </w:t>
      </w:r>
      <w:r>
        <w:lastRenderedPageBreak/>
        <w:t>protocol described previously</w:t>
      </w:r>
      <w:r>
        <w:fldChar w:fldCharType="begin" w:fldLock="1"/>
      </w:r>
      <w:r w:rsidR="008C0508">
        <w:instrText>ADDIN CSL_CITATION { "citationItems" : [ { "id" : "ITEM-1", "itemData" : { "DOI" : "10.1128/AEM.03724-15", "ISSN" : "0099-2240", "abstract" : "&lt;p&gt; Methane is becoming a major candidate for a prominent carbon feedstock in the future, and the bioconversion of methane into valuable products has drawn increasing attention. To facilitate the use of methanotrophic organisms as industrial strains and accelerate our ability to metabolically engineer methanotrophs, simple and rapid genetic tools are needed. Electroporation is one such enabling tool, but to date it has not been successful in a group of methanotrophs of interest for the production of chemicals and fuels, the gammaproteobacterial (type I) methanotrophs. In this study, we developed electroporation techniques with a high transformation efficiency for three different type I methanotrophs: &lt;named-content content-type=\"genus-species\"&gt;Methylomicrobium buryatense&lt;/named-content&gt; 5GB1C, &lt;named-content content-type=\"genus-species\"&gt;Methylomonas&lt;/named-content&gt; sp. strain LW13, and &lt;named-content content-type=\"genus-species\"&gt;Methylobacter&lt;/named-content&gt; &lt;named-content content-type=\"genus-species\"&gt;tundripaludum&lt;/named-content&gt; 21/22. We further developed this technique in &lt;named-content content-type=\"genus-species\"&gt;M. buryatense&lt;/named-content&gt; , a haloalkaliphilic aerobic methanotroph that demonstrates robust growth with a high carbon conversion efficiency and is well suited for industrial use for the bioconversion of methane. On the basis of the high transformation efficiency of &lt;named-content content-type=\"genus-species\"&gt;M. buryatense&lt;/named-content&gt; , gene knockouts or integration of a foreign fragment into the chromosome can be easily achieved by direct electroporation of PCR-generated deletion or integration constructs. Moreover, site-specific recombination (FLP-FRT [FLP recombination target] recombination) and &lt;italic&gt;sacB&lt;/italic&gt; counterselection systems were employed to perform marker-free manipulation, and two new antibiotics, zeocin and hygromycin, were validated to be antibiotic markers in this strain. Together, these tools facilitate the rapid genetic manipulation of &lt;named-content content-type=\"genus-species\"&gt;M. buryatense&lt;/named-content&gt; and other type I methanotrophs, promoting the ability to perform fundamental research and industrial process development with these strains. &lt;/p&gt;", "author" : [ { "dropping-particle" : "", "family" : "Yan", "given" : "Xin", "non-dropping-particle" : "", "parse-names" : false, "suffix" : "" }, { "dropping-particle" : "", "family" : "Chu", "given" : "Frances", "non-dropping-particle" : "", "parse-names" : false, "suffix" : "" }, { "dropping-particle" : "", "family" : "Puri", "given" : "Aaron W.", "non-dropping-particle" : "", "parse-names" : false, "suffix" : "" }, { "dropping-particle" : "", "family" : "Fu", "given" : "Yanfen", "non-dropping-particle" : "", "parse-names" : false, "suffix" : "" }, { "dropping-particle" : "", "family" : "Lidstrom", "given" : "Mary E.", "non-dropping-particle" : "", "parse-names" : false, "suffix" : "" } ], "container-title" : "Applied and Environmental Microbiology", "editor" : [ { "dropping-particle" : "", "family" : "Stams", "given" : "A. J. M.", "non-dropping-particle" : "", "parse-names" : false, "suffix" : "" } ], "id" : "ITEM-1", "issue" : "7", "issued" : { "date-parts" : [ [ "2016", "4", "1" ] ] }, "page" : "2062-2069", "title" : "Electroporation-Based Genetic Manipulation in Type I Methanotrophs", "type" : "article-journal", "volume" : "82" }, "uris" : [ "http://www.mendeley.com/documents/?uuid=ae2d2ad4-92dd-3b97-bd6b-dc366d3c63ae" ] } ], "mendeley" : { "formattedCitation" : "[62]", "plainTextFormattedCitation" : "[62]", "previouslyFormattedCitation" : "[62]" }, "properties" : { "noteIndex" : 0 }, "schema" : "https://github.com/citation-style-language/schema/raw/master/csl-citation.json" }</w:instrText>
      </w:r>
      <w:r>
        <w:fldChar w:fldCharType="separate"/>
      </w:r>
      <w:r w:rsidR="0005386F" w:rsidRPr="0005386F">
        <w:rPr>
          <w:noProof/>
        </w:rPr>
        <w:t>[62]</w:t>
      </w:r>
      <w:r>
        <w:fldChar w:fldCharType="end"/>
      </w:r>
      <w:r>
        <w:t xml:space="preserve">. The promoter is repressed without </w:t>
      </w:r>
      <w:proofErr w:type="spellStart"/>
      <w:r w:rsidRPr="00A82247">
        <w:t>anhydrotetracycline</w:t>
      </w:r>
      <w:proofErr w:type="spellEnd"/>
      <w:r>
        <w:t xml:space="preserve"> (</w:t>
      </w:r>
      <w:proofErr w:type="spellStart"/>
      <w:r>
        <w:t>aTc</w:t>
      </w:r>
      <w:proofErr w:type="spellEnd"/>
      <w:r>
        <w:t xml:space="preserve">) and is fully induced by adding </w:t>
      </w:r>
      <w:proofErr w:type="spellStart"/>
      <w:r>
        <w:t>aTc</w:t>
      </w:r>
      <w:proofErr w:type="spellEnd"/>
      <w:r>
        <w:t xml:space="preserve"> to the medium above a concentration of 0.3 </w:t>
      </w:r>
      <w:proofErr w:type="spellStart"/>
      <w:r>
        <w:rPr>
          <w:rFonts w:cs="Arial"/>
        </w:rPr>
        <w:t>μ</w:t>
      </w:r>
      <w:r>
        <w:t>g</w:t>
      </w:r>
      <w:proofErr w:type="spellEnd"/>
      <w:r>
        <w:t>/ml (unpublished data).</w:t>
      </w:r>
    </w:p>
    <w:p w14:paraId="4EAB14DB" w14:textId="11F5B17F" w:rsidR="008417A4" w:rsidRDefault="00F81850" w:rsidP="008417A4">
      <w:pPr>
        <w:pStyle w:val="Heading3"/>
      </w:pPr>
      <w:bookmarkStart w:id="113" w:name="_Toc468311756"/>
      <w:r>
        <w:t>4.8</w:t>
      </w:r>
      <w:r w:rsidR="008417A4">
        <w:t>.</w:t>
      </w:r>
      <w:r w:rsidR="008417A4">
        <w:rPr>
          <w:vertAlign w:val="superscript"/>
        </w:rPr>
        <w:t>13</w:t>
      </w:r>
      <w:r w:rsidR="008417A4">
        <w:t>C labeling pattern of metabolite measurements and targeted metabolomics analysis using LC/MS-MS</w:t>
      </w:r>
      <w:bookmarkEnd w:id="113"/>
    </w:p>
    <w:p w14:paraId="144BE296" w14:textId="08C7E1ED" w:rsidR="008417A4" w:rsidRDefault="008417A4" w:rsidP="009B2B1D">
      <w:r>
        <w:t>Cell quenching procedure with fast filtration and extracted using hot water extraction method was carried out as previously described</w:t>
      </w:r>
      <w:r>
        <w:fldChar w:fldCharType="begin" w:fldLock="1"/>
      </w:r>
      <w:r w:rsidR="008C0508">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fldChar w:fldCharType="separate"/>
      </w:r>
      <w:r w:rsidR="0005386F" w:rsidRPr="0005386F">
        <w:rPr>
          <w:noProof/>
        </w:rPr>
        <w:t>[77]</w:t>
      </w:r>
      <w:r>
        <w:fldChar w:fldCharType="end"/>
      </w:r>
      <w:r>
        <w:t>. Briefly, cell cultures were quenched using fast filtration, and saved in 50 ml falcon tubes submerged in liquid nitrogen. The collected samples were lyophilized for 12 hours to get rid of extra medium. Hot water extraction protocol was used to extract intracellular metabolites as described previously</w:t>
      </w:r>
      <w:r>
        <w:fldChar w:fldCharType="begin" w:fldLock="1"/>
      </w:r>
      <w:r w:rsidR="008C0508">
        <w:instrText>ADDIN CSL_CITATION { "citationItems" : [ { "id" : "ITEM-1", "itemData" : { "DOI" : "10.1186/s12866-016-0778-4", "ISSN" : "1471-2180", "PMID" : "27435978", "abstract" : "BACKGROUND Two variants of Methylobacterium extorquens AM1 demonstrated a trade-off between growth rate and biomass yield. In addition, growth rate and biomass yield were also affected by supplementation of growth medium with different amounts of cobalt. The metabolism changes relating to these growth phenomena as well as the trade-off were investigated in this study. (13)C metabolic flux analysis was used to generate a detailed central carbon metabolic flux map with both absolute and normalized flux values. RESULTS The major differences between the two variants occurred at the formate node as well as within C3-C4 inter-conversion pathways. Higher relative fluxes through formyltetrahydrofolate ligase, phosphoenolpyruvate carboxylase, and malic enzyme led to higher biomass yield, while higher relative fluxes through pyruvate kinase and pyruvate dehydrogenase led to higher growth rate. These results were then tested by phenotypic studies on three mutants (null pyk, null pck mutant and null dme mutant) in both variants, which agreed with the model prediction. CONCLUSIONS In this study, (13)C metabolic flux analysis for two strain variants of M. extorquens AM1 successfully identified metabolic pathways contributing to the trade-off between cell growth and biomass yield. Phenotypic analysis of mutants deficient in corresponding genes supported the conclusion that C3-C4 inter-conversion strategies were the major response to the trade-off.", "author" : [ { "dropping-particle" : "", "family" : "Fu", "given" : "Yanfen", "non-dropping-particle" : "", "parse-names" : false, "suffix" : "" }, { "dropping-particle" : "", "family" : "Beck", "given" : "David A C", "non-dropping-particle" : "", "parse-names" : false, "suffix" : "" }, { "dropping-particle" : "", "family" : "Lidstrom", "given" : "Mary E", "non-dropping-particle" : "", "parse-names" : false, "suffix" : "" } ], "container-title" : "BMC microbiology", "id" : "ITEM-1", "issue" : "1", "issued" : { "date-parts" : [ [ "2016", "7", "19" ] ] }, "page" : "156", "publisher" : "BioMed Central", "title" : "Difference in C3-C4 metabolism underlies tradeoff between growth rate and biomass yield in Methylobacterium extorquens AM1.", "type" : "article-journal", "volume" : "16" }, "uris" : [ "http://www.mendeley.com/documents/?uuid=2d1b877c-ae3e-39ad-8b0b-565fc5f62443" ] } ], "mendeley" : { "formattedCitation" : "[77]", "plainTextFormattedCitation" : "[77]", "previouslyFormattedCitation" : "[77]" }, "properties" : { "noteIndex" : 0 }, "schema" : "https://github.com/citation-style-language/schema/raw/master/csl-citation.json" }</w:instrText>
      </w:r>
      <w:r>
        <w:fldChar w:fldCharType="separate"/>
      </w:r>
      <w:r w:rsidR="0005386F" w:rsidRPr="0005386F">
        <w:rPr>
          <w:noProof/>
        </w:rPr>
        <w:t>[77]</w:t>
      </w:r>
      <w:r>
        <w:fldChar w:fldCharType="end"/>
      </w:r>
      <w:r>
        <w:t xml:space="preserve">. Briefly, 20 ml of boiling water was added to 50 ml falcon tubes, </w:t>
      </w:r>
      <w:r w:rsidR="00FD7E7F">
        <w:t>and then</w:t>
      </w:r>
      <w:r>
        <w:t xml:space="preserve"> the tube was placed into a hot water bath for 20 minutes. Then the tubes were placed on ice for 30 minutes. The cell extract was centrifuged at 4C, 5000rpm for 30 minutes to remove cell biomass. The supernatant was transferred into new tubes, and fast frozen using liquid nitrogen. The cell lysates were lyophilized and concentrated into 50 </w:t>
      </w:r>
      <w:proofErr w:type="spellStart"/>
      <w:r>
        <w:t>ul</w:t>
      </w:r>
      <w:proofErr w:type="spellEnd"/>
      <w:r>
        <w:t xml:space="preserve"> of water. The </w:t>
      </w:r>
      <w:proofErr w:type="spellStart"/>
      <w:r>
        <w:t>reconsituted</w:t>
      </w:r>
      <w:proofErr w:type="spellEnd"/>
      <w:r>
        <w:t xml:space="preserve"> samples were centrifuged with </w:t>
      </w:r>
      <w:proofErr w:type="gramStart"/>
      <w:r>
        <w:t>filter(</w:t>
      </w:r>
      <w:proofErr w:type="gramEnd"/>
      <w:r w:rsidRPr="008D7FA0">
        <w:t>spin-x costar, 0.22μm, Sigma-Aldrich)</w:t>
      </w:r>
      <w:r>
        <w:t>, and kept at -20</w:t>
      </w:r>
      <w:r>
        <w:rPr>
          <w:rFonts w:cs="Arial"/>
        </w:rPr>
        <w:t>°</w:t>
      </w:r>
      <w:r>
        <w:t xml:space="preserve">C until LCMS analysis for both </w:t>
      </w:r>
      <w:r>
        <w:rPr>
          <w:vertAlign w:val="superscript"/>
        </w:rPr>
        <w:t>13</w:t>
      </w:r>
      <w:r>
        <w:t xml:space="preserve">C labeling pattern measurement as well as targeted metabolomics determinations. Waters </w:t>
      </w:r>
      <w:proofErr w:type="spellStart"/>
      <w:r>
        <w:t>Xevo</w:t>
      </w:r>
      <w:proofErr w:type="spellEnd"/>
      <w:r>
        <w:t xml:space="preserve"> Mass spectrometry with UPLC system was used for detection of labeling pattern of metabolites. Multiple reaction monitors (MRM) were set up for each metabolite of interest. This information is also included in the supplemental material Table S4</w:t>
      </w:r>
      <w:r w:rsidR="00C3463E">
        <w:t>_4</w:t>
      </w:r>
      <w:r>
        <w:t xml:space="preserve">. Similarly, for targeted metabolomics, internal standards of succinate- </w:t>
      </w:r>
      <w:r>
        <w:rPr>
          <w:vertAlign w:val="superscript"/>
        </w:rPr>
        <w:t>13</w:t>
      </w:r>
      <w:r>
        <w:t xml:space="preserve">C4 (Sigma-Aldrich, </w:t>
      </w:r>
      <w:proofErr w:type="spellStart"/>
      <w:proofErr w:type="gramStart"/>
      <w:r>
        <w:t>St.Louis</w:t>
      </w:r>
      <w:proofErr w:type="spellEnd"/>
      <w:proofErr w:type="gramEnd"/>
      <w:r>
        <w:t>, MO) and L-serine-</w:t>
      </w:r>
      <w:r>
        <w:rPr>
          <w:vertAlign w:val="superscript"/>
        </w:rPr>
        <w:t>13</w:t>
      </w:r>
      <w:r>
        <w:t xml:space="preserve">C3 </w:t>
      </w:r>
      <w:r>
        <w:rPr>
          <w:vertAlign w:val="superscript"/>
        </w:rPr>
        <w:t>15</w:t>
      </w:r>
      <w:r>
        <w:t xml:space="preserve">N (Sigma-Aldrich, </w:t>
      </w:r>
      <w:proofErr w:type="spellStart"/>
      <w:r>
        <w:t>St.Louis</w:t>
      </w:r>
      <w:proofErr w:type="spellEnd"/>
      <w:r>
        <w:t xml:space="preserve">, MO) were spiked into the cell extract for relative quantification of metabolites pools. The relative abundance of metabolites </w:t>
      </w:r>
      <w:r w:rsidR="00A75405">
        <w:t xml:space="preserve">was determined by normalizing to </w:t>
      </w:r>
      <w:r>
        <w:t xml:space="preserve">the </w:t>
      </w:r>
      <w:r w:rsidR="00AB7A49">
        <w:t xml:space="preserve">specific </w:t>
      </w:r>
      <w:r>
        <w:t>peak area to peak area of internal standards and cell dry weight.</w:t>
      </w:r>
    </w:p>
    <w:p w14:paraId="3E4063D7" w14:textId="34A76710" w:rsidR="008417A4" w:rsidRDefault="008417A4" w:rsidP="009B2B1D">
      <w:r>
        <w:t>Extracellular metabolite secretion was measured using 1H NMR with a previously described protocol</w:t>
      </w:r>
      <w:r>
        <w:fldChar w:fldCharType="begin" w:fldLock="1"/>
      </w:r>
      <w:r w:rsidR="00AF0B7D">
        <w:instrText>ADDIN CSL_CITATION { "citationItems" : [ { "id" : "ITEM-1", "itemData" : { "DOI" : "10.1038/ncomms3785", "ISSN" : "2041-1723", "PMID" : "24302011", "abstract" : "Methane is an essential component of the global carbon cycle and one of the most powerful greenhouse gases, yet it is also a promising alternative source of carbon for the biological production of value-added chemicals. Aerobic methane-consuming bacteria (methanotrophs) represent a potential biological platform for methane-based biocatalysis. Here we use a multi-pronged systems-level approach to reassess the metabolic functions for methane utilization in a promising bacterial biocatalyst. We demonstrate that methane assimilation is coupled with a highly efficient pyrophosphate-mediated glycolytic pathway, which under oxygen limitation participates in a novel form of fermentation-based methanotrophy. This surprising discovery suggests a novel mode of methane utilization in oxygen-limited environments, and opens new opportunities for a modular approach towards producing a variety of excreted chemical products using methane as a feedstock.", "author" : [ { "dropping-particle" : "", "family" : "Kalyuzhnaya", "given" : "M G", "non-dropping-particle" : "", "parse-names" : false, "suffix" : "" }, { "dropping-particle" : "", "family" : "Yang", "given" : "S", "non-dropping-particle" : "", "parse-names" : false, "suffix" : "" }, { "dropping-particle" : "", "family" : "Rozova", "given" : "O N", "non-dropping-particle" : "", "parse-names" : false, "suffix" : "" }, { "dropping-particle" : "", "family" : "Smalley", "given" : "N E", "non-dropping-particle" : "", "parse-names" : false, "suffix" : "" }, { "dropping-particle" : "", "family" : "Clubb", "given" : "J", "non-dropping-particle" : "", "parse-names" : false, "suffix" : "" }, { "dropping-particle" : "", "family" : "Lamb", "given" : "a", "non-dropping-particle" : "", "parse-names" : false, "suffix" : "" }, { "dropping-particle" : "", "family" : "Gowda", "given" : "G a Nagana", "non-dropping-particle" : "", "parse-names" : false, "suffix" : "" }, { "dropping-particle" : "", "family" : "Raftery", "given" : "D", "non-dropping-particle" : "", "parse-names" : false, "suffix" : "" }, { "dropping-particle" : "", "family" : "Fu", "given" : "Y", "non-dropping-particle" : "", "parse-names" : false, "suffix" : "" }, { "dropping-particle" : "", "family" : "Bringel", "given" : "F", "non-dropping-particle" : "", "parse-names" : false, "suffix" : "" }, { "dropping-particle" : "", "family" : "Vuilleumier", "given" : "S", "non-dropping-particle" : "", "parse-names" : false, "suffix" : "" }, { "dropping-particle" : "", "family" : "Beck", "given" : "D a C", "non-dropping-particle" : "", "parse-names" : false, "suffix" : "" }, { "dropping-particle" : "", "family" : "Trotsenko", "given" : "Y a", "non-dropping-particle" : "", "parse-names" : false, "suffix" : "" }, { "dropping-particle" : "", "family" : "Khmelenina", "given" : "V N", "non-dropping-particle" : "", "parse-names" : false, "suffix" : "" }, { "dropping-particle" : "", "family" : "Lidstrom", "given" : "M E", "non-dropping-particle" : "", "parse-names" : false, "suffix" : "" } ], "container-title" : "Nature communications", "id" : "ITEM-1", "issue" : "May", "issued" : { "date-parts" : [ [ "2013", "1" ] ] }, "page" : "2785", "title" : "Highly efficient methane biocatalysis revealed in a methanotrophic bacterium.", "type" : "article-journal", "volume" : "4" }, "uris" : [ "http://www.mendeley.com/documents/?uuid=8a570452-9e43-4b49-be47-8234d8a571bb" ] } ], "mendeley" : { "formattedCitation" : "[11]", "plainTextFormattedCitation" : "[11]", "previouslyFormattedCitation" : "[11]" }, "properties" : { "noteIndex" : 0 }, "schema" : "https://github.com/citation-style-language/schema/raw/master/csl-citation.json" }</w:instrText>
      </w:r>
      <w:r>
        <w:fldChar w:fldCharType="separate"/>
      </w:r>
      <w:r w:rsidR="00300EB6" w:rsidRPr="00300EB6">
        <w:rPr>
          <w:noProof/>
        </w:rPr>
        <w:t>[11]</w:t>
      </w:r>
      <w:r>
        <w:fldChar w:fldCharType="end"/>
      </w:r>
      <w:r>
        <w:t>.</w:t>
      </w:r>
    </w:p>
    <w:p w14:paraId="474316A8" w14:textId="11D72253" w:rsidR="008417A4" w:rsidRDefault="008417A4" w:rsidP="008417A4">
      <w:pPr>
        <w:pStyle w:val="Heading3"/>
      </w:pPr>
      <w:bookmarkStart w:id="114" w:name="header-c133"/>
      <w:bookmarkStart w:id="115" w:name="_Toc468311757"/>
      <w:bookmarkEnd w:id="114"/>
      <w:r>
        <w:t>4</w:t>
      </w:r>
      <w:r w:rsidR="001E2177">
        <w:t>.9</w:t>
      </w:r>
      <w:r>
        <w:t xml:space="preserve">. Mathematically determine relative flux distribution in </w:t>
      </w:r>
      <w:proofErr w:type="gramStart"/>
      <w:r>
        <w:t>acetyl</w:t>
      </w:r>
      <w:proofErr w:type="gramEnd"/>
      <w:r>
        <w:t>-CoA node.</w:t>
      </w:r>
      <w:bookmarkEnd w:id="115"/>
    </w:p>
    <w:p w14:paraId="73C905EB" w14:textId="77777777" w:rsidR="008417A4" w:rsidRDefault="008417A4" w:rsidP="009B2B1D">
      <w:r>
        <w:t xml:space="preserve">Acetyl-CoA will have a differentiated labeling pattern depending on pathways for synthesis. Based on current understanding of central carbon metabolism, </w:t>
      </w:r>
      <w:proofErr w:type="gramStart"/>
      <w:r>
        <w:t>acetyl</w:t>
      </w:r>
      <w:proofErr w:type="gramEnd"/>
      <w:r>
        <w:t xml:space="preserve">-CoA could be synthesized by two different ways: first, it could be produced from pyruvate through pyruvate dehydrogenase. Secondly, it could be produced from </w:t>
      </w:r>
      <w:proofErr w:type="spellStart"/>
      <w:r>
        <w:t>malyl</w:t>
      </w:r>
      <w:proofErr w:type="spellEnd"/>
      <w:r>
        <w:t xml:space="preserve">-CoA through </w:t>
      </w:r>
      <w:proofErr w:type="spellStart"/>
      <w:r>
        <w:t>malyl</w:t>
      </w:r>
      <w:proofErr w:type="spellEnd"/>
      <w:r>
        <w:t xml:space="preserve">-CoA </w:t>
      </w:r>
      <w:proofErr w:type="spellStart"/>
      <w:r>
        <w:t>lyase</w:t>
      </w:r>
      <w:proofErr w:type="spellEnd"/>
      <w:r>
        <w:t xml:space="preserve">. Route 1 leads to full labeled </w:t>
      </w:r>
      <w:proofErr w:type="spellStart"/>
      <w:r>
        <w:t>AcCoA</w:t>
      </w:r>
      <w:proofErr w:type="spellEnd"/>
      <w:r>
        <w:t xml:space="preserve">. Route 2 will </w:t>
      </w:r>
      <w:r>
        <w:lastRenderedPageBreak/>
        <w:t xml:space="preserve">produce 1 carbon labeled </w:t>
      </w:r>
      <w:proofErr w:type="spellStart"/>
      <w:r>
        <w:t>AcCoA</w:t>
      </w:r>
      <w:proofErr w:type="spellEnd"/>
      <w:r>
        <w:t xml:space="preserve">. MIDs of </w:t>
      </w:r>
      <w:proofErr w:type="spellStart"/>
      <w:r>
        <w:t>AcCoA</w:t>
      </w:r>
      <w:proofErr w:type="spellEnd"/>
      <w:r>
        <w:t xml:space="preserve"> are calculated from citrate as well as threonine (OAA) since </w:t>
      </w:r>
      <w:proofErr w:type="spellStart"/>
      <w:r>
        <w:t>AcCoA</w:t>
      </w:r>
      <w:proofErr w:type="spellEnd"/>
      <w:r>
        <w:t xml:space="preserve"> could not be measured directly due to the low pool. The following equation was then developed to quantitate the relative flux in the </w:t>
      </w:r>
      <w:proofErr w:type="spellStart"/>
      <w:r>
        <w:t>AcCoA</w:t>
      </w:r>
      <w:proofErr w:type="spellEnd"/>
      <w:r>
        <w:t xml:space="preserve"> node between route 1 and route 2. The following equation is developed to determine the labeling pool of </w:t>
      </w:r>
      <w:proofErr w:type="spellStart"/>
      <w:r>
        <w:t>AcCoA</w:t>
      </w:r>
      <w:proofErr w:type="spellEnd"/>
      <w:r>
        <w:t xml:space="preserve"> and flux ratio between those 2 reactions.</w:t>
      </w:r>
    </w:p>
    <w:p w14:paraId="01F4EEE1" w14:textId="77777777" w:rsidR="008417A4" w:rsidRDefault="008417A4" w:rsidP="009B2B1D">
      <w:r>
        <w:t>OAA</w:t>
      </w:r>
      <w:r>
        <w:rPr>
          <w:vertAlign w:val="subscript"/>
        </w:rPr>
        <w:t>M+3</w:t>
      </w:r>
      <w:r>
        <w:t xml:space="preserve"> * AcCoA</w:t>
      </w:r>
      <w:r>
        <w:rPr>
          <w:vertAlign w:val="subscript"/>
        </w:rPr>
        <w:t>M+1</w:t>
      </w:r>
      <w:r>
        <w:t>=Citrate</w:t>
      </w:r>
      <w:r>
        <w:rPr>
          <w:vertAlign w:val="subscript"/>
        </w:rPr>
        <w:t>M+4</w:t>
      </w:r>
    </w:p>
    <w:p w14:paraId="2C7CCD6F" w14:textId="77777777" w:rsidR="008417A4" w:rsidRDefault="008417A4" w:rsidP="009B2B1D">
      <w:r>
        <w:t>OAA</w:t>
      </w:r>
      <w:r>
        <w:rPr>
          <w:vertAlign w:val="subscript"/>
        </w:rPr>
        <w:t>M+3</w:t>
      </w:r>
      <w:r>
        <w:t xml:space="preserve"> * AcCoA</w:t>
      </w:r>
      <w:r>
        <w:rPr>
          <w:vertAlign w:val="subscript"/>
        </w:rPr>
        <w:t>M+2</w:t>
      </w:r>
      <w:r>
        <w:t xml:space="preserve"> + OAA</w:t>
      </w:r>
      <w:r>
        <w:rPr>
          <w:vertAlign w:val="subscript"/>
        </w:rPr>
        <w:t>M+4</w:t>
      </w:r>
      <w:r>
        <w:t xml:space="preserve"> * AcCoA</w:t>
      </w:r>
      <w:r>
        <w:rPr>
          <w:vertAlign w:val="subscript"/>
        </w:rPr>
        <w:t>M+1</w:t>
      </w:r>
      <w:r>
        <w:t>=Citrate</w:t>
      </w:r>
      <w:r>
        <w:rPr>
          <w:vertAlign w:val="subscript"/>
        </w:rPr>
        <w:t>M+5</w:t>
      </w:r>
    </w:p>
    <w:p w14:paraId="4AE1EECC" w14:textId="77777777" w:rsidR="008417A4" w:rsidRDefault="008417A4" w:rsidP="009B2B1D">
      <w:r>
        <w:t>F</w:t>
      </w:r>
      <w:r>
        <w:rPr>
          <w:vertAlign w:val="subscript"/>
        </w:rPr>
        <w:t>PDH</w:t>
      </w:r>
      <w:r>
        <w:t>/F</w:t>
      </w:r>
      <w:r>
        <w:rPr>
          <w:vertAlign w:val="subscript"/>
        </w:rPr>
        <w:t>MCL</w:t>
      </w:r>
      <w:r>
        <w:t>= AcCoA</w:t>
      </w:r>
      <w:r>
        <w:rPr>
          <w:vertAlign w:val="subscript"/>
        </w:rPr>
        <w:t>M+1</w:t>
      </w:r>
      <w:r>
        <w:t>/ AcCoA</w:t>
      </w:r>
      <w:r>
        <w:rPr>
          <w:vertAlign w:val="subscript"/>
        </w:rPr>
        <w:t>M+2</w:t>
      </w:r>
    </w:p>
    <w:p w14:paraId="5892DFED" w14:textId="77777777" w:rsidR="008417A4" w:rsidRDefault="008417A4" w:rsidP="009B2B1D">
      <w:proofErr w:type="spellStart"/>
      <w:r>
        <w:t>F</w:t>
      </w:r>
      <w:r>
        <w:rPr>
          <w:vertAlign w:val="subscript"/>
        </w:rPr>
        <w:t>pdh</w:t>
      </w:r>
      <w:proofErr w:type="spellEnd"/>
      <w:r>
        <w:t xml:space="preserve"> + </w:t>
      </w:r>
      <w:proofErr w:type="spellStart"/>
      <w:r>
        <w:t>F</w:t>
      </w:r>
      <w:r>
        <w:rPr>
          <w:vertAlign w:val="subscript"/>
        </w:rPr>
        <w:t>mcl</w:t>
      </w:r>
      <w:proofErr w:type="spellEnd"/>
      <w:r>
        <w:t>* Mal</w:t>
      </w:r>
      <w:r>
        <w:rPr>
          <w:vertAlign w:val="subscript"/>
        </w:rPr>
        <w:t>M4</w:t>
      </w:r>
      <w:r>
        <w:t xml:space="preserve"> = AcCoA</w:t>
      </w:r>
      <w:r>
        <w:rPr>
          <w:vertAlign w:val="subscript"/>
        </w:rPr>
        <w:t>M+2</w:t>
      </w:r>
    </w:p>
    <w:p w14:paraId="15A55C72" w14:textId="77777777" w:rsidR="008417A4" w:rsidRDefault="008417A4" w:rsidP="009B2B1D">
      <w:pPr>
        <w:rPr>
          <w:vertAlign w:val="subscript"/>
        </w:rPr>
      </w:pPr>
      <w:r>
        <w:t xml:space="preserve"> </w:t>
      </w:r>
      <w:proofErr w:type="spellStart"/>
      <w:r>
        <w:t>F</w:t>
      </w:r>
      <w:r>
        <w:rPr>
          <w:vertAlign w:val="subscript"/>
        </w:rPr>
        <w:t>mcl</w:t>
      </w:r>
      <w:proofErr w:type="spellEnd"/>
      <w:r>
        <w:t>* Mal</w:t>
      </w:r>
      <w:r>
        <w:rPr>
          <w:vertAlign w:val="subscript"/>
        </w:rPr>
        <w:t>M3</w:t>
      </w:r>
      <w:r>
        <w:t>=AcCoA</w:t>
      </w:r>
      <w:r>
        <w:rPr>
          <w:vertAlign w:val="subscript"/>
        </w:rPr>
        <w:t>M+1</w:t>
      </w:r>
    </w:p>
    <w:p w14:paraId="03D8309F" w14:textId="493A96CB" w:rsidR="008417A4" w:rsidRPr="00273DFE" w:rsidRDefault="008417A4" w:rsidP="00C90348">
      <w:pPr>
        <w:pStyle w:val="Heading3"/>
      </w:pPr>
      <w:bookmarkStart w:id="116" w:name="_Toc468311758"/>
      <w:r>
        <w:t>4</w:t>
      </w:r>
      <w:r w:rsidR="00837F81">
        <w:t>.10</w:t>
      </w:r>
      <w:r>
        <w:t>. RNA-</w:t>
      </w:r>
      <w:proofErr w:type="spellStart"/>
      <w:r>
        <w:t>seq</w:t>
      </w:r>
      <w:proofErr w:type="spellEnd"/>
      <w:r>
        <w:t xml:space="preserve"> data analysis</w:t>
      </w:r>
      <w:bookmarkEnd w:id="116"/>
    </w:p>
    <w:p w14:paraId="17CE07E0" w14:textId="2524C70D" w:rsidR="008417A4" w:rsidRDefault="008417A4" w:rsidP="00734182">
      <w:pPr>
        <w:rPr>
          <w:vertAlign w:val="subscript"/>
        </w:rPr>
      </w:pPr>
      <w:r>
        <w:t>The RNA-</w:t>
      </w:r>
      <w:proofErr w:type="spellStart"/>
      <w:r>
        <w:t>seq</w:t>
      </w:r>
      <w:proofErr w:type="spellEnd"/>
      <w:r>
        <w:t xml:space="preserve"> data analysis was implemented using the method described previously</w:t>
      </w:r>
      <w:r>
        <w:fldChar w:fldCharType="begin" w:fldLock="1"/>
      </w:r>
      <w:r w:rsidR="008C0508">
        <w:instrText>ADDIN CSL_CITATION { "citationItems" : [ { "id" : "ITEM-1", "itemData" : { "DOI" : "10.1186/s12934-015-0377-3", "ISSN" : "1475-2859", "PMID" : "26607880", "abstract" : "BACKGROUND: Methane-utilizing bacteria (methanotrophs) are capable of growth on methane and are attractive systems for bio-catalysis. However, the application of natural methanotrophic strains to large-scale production of value-added chemicals/biofuels requires a number of physiological and genetic alterations. An accurate metabolic model coupled with flux balance analysis can provide a solid interpretative framework for experimental data analyses and integration.\n\nRESULTS: A stoichiometric flux balance model of Methylomicrobium buryatense strain 5G(B1) was constructed and used for evaluating metabolic engineering strategies for biofuels and chemical production with a methanotrophic bacterium as the catalytic platform. The initial metabolic reconstruction was based on whole-genome predictions. Each metabolic step was manually verified, gapfilled, and modified in accordance with genome-wide expression data. The final model incorporates a total of 841 reactions (in 167 metabolic pathways). Of these, up to 400 reactions were recruited to produce 118 intracellular metabolites. The flux balance simulations suggest that only the transfer of electrons from methanol oxidation to methane oxidation steps can support measured growth and methane/oxygen consumption parameters, while the scenario employing NADH as a possible source of electrons for particulate methane monooxygenase cannot. Direct coupling between methane oxidation and methanol oxidation accounts for most of the membrane-associated methane monooxygenase activity. However the best fit to experimental results is achieved only after assuming that the efficiency of direct coupling depends on growth conditions and additional NADH input (about 0.1-0.2 mol of incremental NADH per one mol of methane oxidized). The additional input is proposed to cover loss of electrons through inefficiency and to sustain methane oxidation at perturbations or support uphill electron transfer. Finally, the model was used for testing the carbon conversion efficiency of different pathways for C1-utilization, including different variants of the ribulose monophosphate pathway and the serine cycle.\n\nCONCLUSION: We demonstrate that the metabolic model can provide an effective tool for predicting metabolic parameters for different nutrients and genetic perturbations, and as such, should be valuable for metabolic engineering of the central metabolism of M. buryatense strains.", "author" : [ { "dropping-particle" : "", "family" : "la Torre", "given" : "Andrea", "non-dropping-particle" : "de", "parse-names" : false, "suffix" : "" }, { "dropping-particle" : "", "family" : "Metivier", "given" : "Aisha", "non-dropping-particle" : "", "parse-names" : false, "suffix" : "" }, { "dropping-particle" : "", "family" : "Chu", "given" : "Frances", "non-dropping-particle" : "", "parse-names" : false, "suffix" : "" }, { "dropping-particle" : "", "family" : "Laurens", "given" : "Lieve M L", "non-dropping-particle" : "", "parse-names" : false, "suffix" : "" }, { "dropping-particle" : "", "family" : "Beck", "given" : "David A C", "non-dropping-particle" : "", "parse-names" : false, "suffix" : "" }, { "dropping-particle" : "", "family" : "Pienkos", "given" : "Philip T", "non-dropping-particle" : "", "parse-names" : false, "suffix" : "" }, { "dropping-particle" : "", "family" : "Lidstrom", "given" : "Mary E", "non-dropping-particle" : "", "parse-names" : false, "suffix" : "" }, { "dropping-particle" : "", "family" : "Kalyuzhnaya", "given" : "Marina G", "non-dropping-particle" : "", "parse-names" : false, "suffix" : "" } ], "container-title" : "Microbial cell factories", "id" : "ITEM-1", "issue" : "1", "issued" : { "date-parts" : [ [ "2015", "1", "25" ] ] }, "language" : "En", "page" : "188", "publisher" : "BioMed Central", "title" : "Genome-scale metabolic reconstructions and theoretical investigation of methane conversion in Methylomicrobium buryatense strain 5G(B1).", "type" : "article-journal", "volume" : "14" }, "uris" : [ "http://www.mendeley.com/documents/?uuid=3bbaefd6-6626-4ac9-a1f3-02b0c8d58fcd" ] } ], "mendeley" : { "formattedCitation" : "[68]", "plainTextFormattedCitation" : "[68]", "previouslyFormattedCitation" : "[68]" }, "properties" : { "noteIndex" : 0 }, "schema" : "https://github.com/citation-style-language/schema/raw/master/csl-citation.json" }</w:instrText>
      </w:r>
      <w:r>
        <w:fldChar w:fldCharType="separate"/>
      </w:r>
      <w:r w:rsidR="0005386F" w:rsidRPr="0005386F">
        <w:rPr>
          <w:noProof/>
        </w:rPr>
        <w:t>[68]</w:t>
      </w:r>
      <w:r>
        <w:fldChar w:fldCharType="end"/>
      </w:r>
      <w:r>
        <w:t>.</w:t>
      </w:r>
    </w:p>
    <w:p w14:paraId="5610D41F" w14:textId="0EA0B122" w:rsidR="008417A4" w:rsidRDefault="00837F81" w:rsidP="00C90348">
      <w:pPr>
        <w:pStyle w:val="Heading3"/>
      </w:pPr>
      <w:bookmarkStart w:id="117" w:name="_Toc468311759"/>
      <w:r>
        <w:t>4.11</w:t>
      </w:r>
      <w:r w:rsidR="008417A4" w:rsidRPr="00AB2818">
        <w:t xml:space="preserve">. </w:t>
      </w:r>
      <w:r w:rsidR="008417A4">
        <w:t>Flux balance analysis and robustness analysis</w:t>
      </w:r>
      <w:bookmarkEnd w:id="117"/>
    </w:p>
    <w:p w14:paraId="5EA6887E" w14:textId="7F124B5F" w:rsidR="008417A4" w:rsidRDefault="008417A4" w:rsidP="00734182">
      <w:r>
        <w:t xml:space="preserve">Genome-scale model simulation was done in </w:t>
      </w:r>
      <w:proofErr w:type="spellStart"/>
      <w:r>
        <w:t>COBRApy</w:t>
      </w:r>
      <w:proofErr w:type="spellEnd"/>
      <w:r>
        <w:fldChar w:fldCharType="begin" w:fldLock="1"/>
      </w:r>
      <w:r w:rsidR="008C0508">
        <w:instrText>ADDIN CSL_CITATION { "citationItems" : [ { "id" : "ITEM-1", "itemData" : { "DOI" : "10.1186/1752-0509-7-74", "abstract" : "Background: COnstraint-Based Reconstruction and Analysis (COBRA) methods are widely used for genome-scale modeling of metabolic networks in both prokaryotes and eukaryotes. Due to the successes with metabolism, there is an increasing effort to apply COBRA methods to reconstruct and analyze integrated models of cellular processes. The COBRA Toolbox for MATLAB is a leading software package for genome-scale analysis of metabolism; however, it was not designed to elegantly capture the complexity inherent in integrated biological networks and lacks an integration framework for the multiomics data used in systems biology. The openCOBRA Project is a community effort to promote constraints-based research through the distribution of freely available software. Results: Here, we describe COBRA for Python (COBRApy), a Python package that provides support for basic COBRA methods. COBRApy is designed in an object-oriented fashion that facilitates the representation of the complex biological processes of metabolism and gene expression. COBRApy does not require MATLAB to function; however, it includes an interface to the COBRA Toolbox for MATLAB to facilitate use of legacy codes. For improved performance, COBRApy includes parallel processing support for computationally intensive processes. Conclusion: COBRApy is an object-oriented framework designed to meet the computational challenges associated with the next generation of stoichiometric constraint-based models and high-density omics data sets.", "author" : [ { "dropping-particle" : "", "family" : "Ebrahim", "given" : "Ali", "non-dropping-particle" : "", "parse-names" : false, "suffix" : "" }, { "dropping-particle" : "", "family" : "Lerman", "given" : "Joshua A", "non-dropping-particle" : "", "parse-names" : false, "suffix" : "" }, { "dropping-particle" : "", "family" : "Palsson", "given" : "Bernhard O", "non-dropping-particle" : "", "parse-names" : false, "suffix" : "" }, { "dropping-particle" : "", "family" : "Hyduke", "given" : "Daniel R", "non-dropping-particle" : "", "parse-names" : false, "suffix" : "" } ], "id" : "ITEM-1", "issued" : { "date-parts" : [ [ "0" ] ] }, "title" : "COBRApy: COnstraints-Based Reconstruction and Analysis for Python", "type" : "article-journal" }, "uris" : [ "http://www.mendeley.com/documents/?uuid=94143049-9b5e-36f9-ac30-f8c98c53c9d6" ] } ], "mendeley" : { "formattedCitation" : "[88]", "plainTextFormattedCitation" : "[88]", "previouslyFormattedCitation" : "[88]" }, "properties" : { "noteIndex" : 0 }, "schema" : "https://github.com/citation-style-language/schema/raw/master/csl-citation.json" }</w:instrText>
      </w:r>
      <w:r>
        <w:fldChar w:fldCharType="separate"/>
      </w:r>
      <w:r w:rsidR="0005386F" w:rsidRPr="0005386F">
        <w:rPr>
          <w:noProof/>
        </w:rPr>
        <w:t>[88]</w:t>
      </w:r>
      <w:r>
        <w:fldChar w:fldCharType="end"/>
      </w:r>
      <w:r>
        <w:t xml:space="preserve"> with an updated model. The updated model is shown in </w:t>
      </w:r>
      <w:r w:rsidR="009371F2">
        <w:t>Supplemental file 4_1</w:t>
      </w:r>
      <w:r>
        <w:t xml:space="preserve">. Robustness analysis as well as adding flux ratio constraints to the model was done with in-house developed python scripts, both scripts are shown in </w:t>
      </w:r>
      <w:r w:rsidR="00F90751">
        <w:t>Supplemental file 4_2</w:t>
      </w:r>
      <w:r>
        <w:t xml:space="preserve">. </w:t>
      </w:r>
    </w:p>
    <w:p w14:paraId="79BEA9B4" w14:textId="77777777" w:rsidR="008417A4" w:rsidRPr="007B001A" w:rsidRDefault="008417A4" w:rsidP="008417A4">
      <w:pPr>
        <w:pStyle w:val="BodyText"/>
        <w:rPr>
          <w:rFonts w:cs="Arial"/>
        </w:rPr>
        <w:sectPr w:rsidR="008417A4" w:rsidRPr="007B001A" w:rsidSect="00613C92">
          <w:pgSz w:w="12240" w:h="15840"/>
          <w:pgMar w:top="1440" w:right="1440" w:bottom="1440" w:left="1440" w:header="720" w:footer="720" w:gutter="0"/>
          <w:cols w:space="720"/>
          <w:docGrid w:linePitch="326"/>
        </w:sectPr>
      </w:pPr>
    </w:p>
    <w:p w14:paraId="22815F7F" w14:textId="77777777" w:rsidR="008417A4" w:rsidRDefault="008417A4" w:rsidP="008417A4">
      <w:pPr>
        <w:pStyle w:val="Heading2"/>
      </w:pPr>
      <w:bookmarkStart w:id="118" w:name="_Toc468311760"/>
      <w:r>
        <w:lastRenderedPageBreak/>
        <w:t>Tables</w:t>
      </w:r>
      <w:bookmarkEnd w:id="118"/>
    </w:p>
    <w:p w14:paraId="58393D6A" w14:textId="5F4021F9" w:rsidR="008417A4" w:rsidRPr="00473008" w:rsidRDefault="008417A4" w:rsidP="008417A4">
      <w:pPr>
        <w:pStyle w:val="Caption"/>
        <w:keepNext/>
        <w:spacing w:after="0"/>
        <w:rPr>
          <w:sz w:val="20"/>
        </w:rPr>
      </w:pPr>
      <w:r w:rsidRPr="00473008">
        <w:rPr>
          <w:sz w:val="20"/>
        </w:rPr>
        <w:t xml:space="preserve">Table </w:t>
      </w:r>
      <w:r w:rsidR="002A5B93">
        <w:rPr>
          <w:sz w:val="20"/>
        </w:rPr>
        <w:t>4.</w:t>
      </w:r>
      <w:r>
        <w:rPr>
          <w:sz w:val="20"/>
        </w:rPr>
        <w:t>1</w:t>
      </w:r>
      <w:r w:rsidRPr="00473008">
        <w:rPr>
          <w:sz w:val="20"/>
        </w:rPr>
        <w:t xml:space="preserve"> Fold change of gene expressions in core metabolism comparing methanol to methane condition</w:t>
      </w:r>
      <w:r>
        <w:rPr>
          <w:sz w:val="20"/>
        </w:rPr>
        <w:t xml:space="preserve"> with p value less than 0.05</w:t>
      </w:r>
    </w:p>
    <w:tbl>
      <w:tblPr>
        <w:tblpPr w:leftFromText="180" w:rightFromText="180" w:vertAnchor="text" w:horzAnchor="margin" w:tblpXSpec="center" w:tblpY="4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900"/>
        <w:gridCol w:w="6660"/>
        <w:gridCol w:w="1350"/>
        <w:gridCol w:w="1710"/>
        <w:gridCol w:w="738"/>
      </w:tblGrid>
      <w:tr w:rsidR="008417A4" w:rsidRPr="00C2631D" w14:paraId="0379F498" w14:textId="77777777" w:rsidTr="00613C92">
        <w:trPr>
          <w:trHeight w:val="20"/>
        </w:trPr>
        <w:tc>
          <w:tcPr>
            <w:tcW w:w="1818" w:type="dxa"/>
            <w:shd w:val="clear" w:color="auto" w:fill="auto"/>
            <w:noWrap/>
            <w:vAlign w:val="bottom"/>
            <w:hideMark/>
          </w:tcPr>
          <w:p w14:paraId="26F5E0C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Locus tag</w:t>
            </w:r>
          </w:p>
        </w:tc>
        <w:tc>
          <w:tcPr>
            <w:tcW w:w="900" w:type="dxa"/>
            <w:shd w:val="clear" w:color="auto" w:fill="auto"/>
            <w:noWrap/>
            <w:vAlign w:val="bottom"/>
            <w:hideMark/>
          </w:tcPr>
          <w:p w14:paraId="41BD00E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Gene</w:t>
            </w:r>
          </w:p>
        </w:tc>
        <w:tc>
          <w:tcPr>
            <w:tcW w:w="6660" w:type="dxa"/>
            <w:shd w:val="clear" w:color="auto" w:fill="auto"/>
            <w:noWrap/>
            <w:vAlign w:val="bottom"/>
            <w:hideMark/>
          </w:tcPr>
          <w:p w14:paraId="0AD8196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Product</w:t>
            </w:r>
          </w:p>
        </w:tc>
        <w:tc>
          <w:tcPr>
            <w:tcW w:w="1350" w:type="dxa"/>
            <w:tcBorders>
              <w:bottom w:val="single" w:sz="4" w:space="0" w:color="auto"/>
            </w:tcBorders>
            <w:shd w:val="clear" w:color="auto" w:fill="auto"/>
            <w:noWrap/>
            <w:vAlign w:val="center"/>
            <w:hideMark/>
          </w:tcPr>
          <w:p w14:paraId="1F5421F9" w14:textId="77777777" w:rsidR="008417A4" w:rsidRPr="00C2631D" w:rsidRDefault="008417A4" w:rsidP="00613C92">
            <w:pPr>
              <w:jc w:val="center"/>
              <w:rPr>
                <w:rFonts w:eastAsia="Times New Roman" w:cs="Arial"/>
                <w:color w:val="000000"/>
                <w:szCs w:val="20"/>
                <w:lang w:eastAsia="zh-CN"/>
              </w:rPr>
            </w:pPr>
            <w:r w:rsidRPr="00C2631D">
              <w:rPr>
                <w:rFonts w:eastAsia="Times New Roman" w:cs="Arial"/>
                <w:color w:val="000000"/>
                <w:szCs w:val="20"/>
                <w:lang w:eastAsia="zh-CN"/>
              </w:rPr>
              <w:t>Fold change</w:t>
            </w:r>
          </w:p>
        </w:tc>
        <w:tc>
          <w:tcPr>
            <w:tcW w:w="1710" w:type="dxa"/>
            <w:tcBorders>
              <w:bottom w:val="single" w:sz="4" w:space="0" w:color="auto"/>
            </w:tcBorders>
            <w:shd w:val="clear" w:color="auto" w:fill="auto"/>
            <w:noWrap/>
            <w:vAlign w:val="center"/>
            <w:hideMark/>
          </w:tcPr>
          <w:p w14:paraId="79A809D9"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Pathway involved</w:t>
            </w:r>
          </w:p>
        </w:tc>
        <w:tc>
          <w:tcPr>
            <w:tcW w:w="738" w:type="dxa"/>
            <w:tcBorders>
              <w:bottom w:val="single" w:sz="4" w:space="0" w:color="auto"/>
            </w:tcBorders>
            <w:shd w:val="clear" w:color="auto" w:fill="auto"/>
            <w:noWrap/>
            <w:vAlign w:val="center"/>
            <w:hideMark/>
          </w:tcPr>
          <w:p w14:paraId="3E8EB31B" w14:textId="77777777" w:rsidR="008417A4" w:rsidRPr="00C2631D" w:rsidRDefault="008417A4" w:rsidP="00613C92">
            <w:pPr>
              <w:jc w:val="center"/>
              <w:rPr>
                <w:rFonts w:eastAsia="Times New Roman" w:cs="Arial"/>
                <w:color w:val="000000"/>
                <w:szCs w:val="20"/>
                <w:lang w:eastAsia="zh-CN"/>
              </w:rPr>
            </w:pPr>
            <w:r w:rsidRPr="00C2631D">
              <w:rPr>
                <w:rFonts w:eastAsia="Times New Roman" w:cs="Arial"/>
                <w:color w:val="000000"/>
                <w:szCs w:val="20"/>
                <w:lang w:eastAsia="zh-CN"/>
              </w:rPr>
              <w:t>P value</w:t>
            </w:r>
          </w:p>
        </w:tc>
      </w:tr>
      <w:tr w:rsidR="008417A4" w:rsidRPr="00C2631D" w14:paraId="4716423E" w14:textId="77777777" w:rsidTr="00613C92">
        <w:trPr>
          <w:trHeight w:val="20"/>
        </w:trPr>
        <w:tc>
          <w:tcPr>
            <w:tcW w:w="1818" w:type="dxa"/>
            <w:shd w:val="clear" w:color="auto" w:fill="auto"/>
            <w:noWrap/>
            <w:vAlign w:val="bottom"/>
            <w:hideMark/>
          </w:tcPr>
          <w:p w14:paraId="78A9204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MBURv2_210062</w:t>
            </w:r>
          </w:p>
        </w:tc>
        <w:tc>
          <w:tcPr>
            <w:tcW w:w="900" w:type="dxa"/>
            <w:shd w:val="clear" w:color="auto" w:fill="auto"/>
            <w:noWrap/>
            <w:vAlign w:val="bottom"/>
            <w:hideMark/>
          </w:tcPr>
          <w:p w14:paraId="0B47C1A0" w14:textId="77777777" w:rsidR="008417A4" w:rsidRPr="00C2631D" w:rsidRDefault="008417A4" w:rsidP="00613C92">
            <w:pPr>
              <w:jc w:val="both"/>
              <w:rPr>
                <w:rFonts w:eastAsia="Times New Roman" w:cs="Arial"/>
                <w:color w:val="000000"/>
                <w:szCs w:val="20"/>
                <w:lang w:eastAsia="zh-CN"/>
              </w:rPr>
            </w:pPr>
          </w:p>
        </w:tc>
        <w:tc>
          <w:tcPr>
            <w:tcW w:w="6660" w:type="dxa"/>
            <w:shd w:val="clear" w:color="auto" w:fill="auto"/>
            <w:noWrap/>
            <w:vAlign w:val="bottom"/>
            <w:hideMark/>
          </w:tcPr>
          <w:p w14:paraId="5ADBC069"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l</w:t>
            </w:r>
            <w:r w:rsidRPr="00C2631D">
              <w:rPr>
                <w:rFonts w:eastAsia="Times New Roman" w:cs="Arial"/>
                <w:color w:val="000000"/>
                <w:szCs w:val="20"/>
                <w:lang w:eastAsia="zh-CN"/>
              </w:rPr>
              <w:t>actate/malate dehydrogenase</w:t>
            </w:r>
          </w:p>
        </w:tc>
        <w:tc>
          <w:tcPr>
            <w:tcW w:w="1350" w:type="dxa"/>
            <w:shd w:val="clear" w:color="auto" w:fill="auto"/>
            <w:noWrap/>
            <w:vAlign w:val="center"/>
            <w:hideMark/>
          </w:tcPr>
          <w:p w14:paraId="3B715935" w14:textId="77777777" w:rsidR="008417A4" w:rsidRPr="00C2631D" w:rsidRDefault="008417A4" w:rsidP="00613C92">
            <w:pPr>
              <w:jc w:val="center"/>
              <w:rPr>
                <w:rFonts w:eastAsia="Times New Roman" w:cs="Arial"/>
                <w:color w:val="000000"/>
                <w:szCs w:val="20"/>
                <w:lang w:eastAsia="zh-CN"/>
              </w:rPr>
            </w:pPr>
            <w:r w:rsidRPr="00C2631D">
              <w:rPr>
                <w:rFonts w:cs="Arial"/>
                <w:szCs w:val="20"/>
              </w:rPr>
              <w:t>0.36</w:t>
            </w:r>
          </w:p>
        </w:tc>
        <w:tc>
          <w:tcPr>
            <w:tcW w:w="1710" w:type="dxa"/>
            <w:shd w:val="clear" w:color="auto" w:fill="auto"/>
            <w:noWrap/>
            <w:vAlign w:val="center"/>
            <w:hideMark/>
          </w:tcPr>
          <w:p w14:paraId="067810A9"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4723E50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19FDB68A" w14:textId="77777777" w:rsidTr="00613C92">
        <w:trPr>
          <w:trHeight w:val="20"/>
        </w:trPr>
        <w:tc>
          <w:tcPr>
            <w:tcW w:w="1818" w:type="dxa"/>
            <w:shd w:val="clear" w:color="auto" w:fill="auto"/>
            <w:noWrap/>
            <w:vAlign w:val="bottom"/>
            <w:hideMark/>
          </w:tcPr>
          <w:p w14:paraId="3BF8124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MBURv2_130865</w:t>
            </w:r>
          </w:p>
        </w:tc>
        <w:tc>
          <w:tcPr>
            <w:tcW w:w="900" w:type="dxa"/>
            <w:shd w:val="clear" w:color="auto" w:fill="auto"/>
            <w:noWrap/>
            <w:vAlign w:val="bottom"/>
            <w:hideMark/>
          </w:tcPr>
          <w:p w14:paraId="36E2DC4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fumC</w:t>
            </w:r>
            <w:proofErr w:type="spellEnd"/>
          </w:p>
        </w:tc>
        <w:tc>
          <w:tcPr>
            <w:tcW w:w="6660" w:type="dxa"/>
            <w:shd w:val="clear" w:color="auto" w:fill="auto"/>
            <w:noWrap/>
            <w:vAlign w:val="bottom"/>
            <w:hideMark/>
          </w:tcPr>
          <w:p w14:paraId="3829747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fumarate hydratase (</w:t>
            </w:r>
            <w:proofErr w:type="spellStart"/>
            <w:r w:rsidRPr="00C2631D">
              <w:rPr>
                <w:rFonts w:eastAsia="Times New Roman" w:cs="Arial"/>
                <w:color w:val="000000"/>
                <w:szCs w:val="20"/>
                <w:lang w:eastAsia="zh-CN"/>
              </w:rPr>
              <w:t>fumarase</w:t>
            </w:r>
            <w:proofErr w:type="spellEnd"/>
            <w:r w:rsidRPr="00C2631D">
              <w:rPr>
                <w:rFonts w:eastAsia="Times New Roman" w:cs="Arial"/>
                <w:color w:val="000000"/>
                <w:szCs w:val="20"/>
                <w:lang w:eastAsia="zh-CN"/>
              </w:rPr>
              <w:t xml:space="preserve"> C),</w:t>
            </w:r>
            <w:r>
              <w:rPr>
                <w:rFonts w:eastAsia="Times New Roman" w:cs="Arial"/>
                <w:color w:val="000000"/>
                <w:szCs w:val="20"/>
                <w:lang w:eastAsia="zh-CN"/>
              </w:rPr>
              <w:t xml:space="preserve"> </w:t>
            </w:r>
            <w:proofErr w:type="spellStart"/>
            <w:r>
              <w:rPr>
                <w:rFonts w:eastAsia="Times New Roman" w:cs="Arial"/>
                <w:color w:val="000000"/>
                <w:szCs w:val="20"/>
                <w:lang w:eastAsia="zh-CN"/>
              </w:rPr>
              <w:t>aerobic</w:t>
            </w:r>
            <w:proofErr w:type="spellEnd"/>
            <w:r>
              <w:rPr>
                <w:rFonts w:eastAsia="Times New Roman" w:cs="Arial"/>
                <w:color w:val="000000"/>
                <w:szCs w:val="20"/>
                <w:lang w:eastAsia="zh-CN"/>
              </w:rPr>
              <w:t xml:space="preserve"> c</w:t>
            </w:r>
            <w:r w:rsidRPr="00C2631D">
              <w:rPr>
                <w:rFonts w:eastAsia="Times New Roman" w:cs="Arial"/>
                <w:color w:val="000000"/>
                <w:szCs w:val="20"/>
                <w:lang w:eastAsia="zh-CN"/>
              </w:rPr>
              <w:t>lass II</w:t>
            </w:r>
          </w:p>
        </w:tc>
        <w:tc>
          <w:tcPr>
            <w:tcW w:w="1350" w:type="dxa"/>
            <w:shd w:val="clear" w:color="auto" w:fill="auto"/>
            <w:noWrap/>
            <w:vAlign w:val="center"/>
            <w:hideMark/>
          </w:tcPr>
          <w:p w14:paraId="29670AC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0.42</w:t>
            </w:r>
          </w:p>
        </w:tc>
        <w:tc>
          <w:tcPr>
            <w:tcW w:w="1710" w:type="dxa"/>
            <w:shd w:val="clear" w:color="auto" w:fill="auto"/>
            <w:noWrap/>
            <w:vAlign w:val="center"/>
            <w:hideMark/>
          </w:tcPr>
          <w:p w14:paraId="71151136"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TCA cycle</w:t>
            </w:r>
          </w:p>
        </w:tc>
        <w:tc>
          <w:tcPr>
            <w:tcW w:w="738" w:type="dxa"/>
            <w:shd w:val="clear" w:color="auto" w:fill="auto"/>
            <w:noWrap/>
            <w:vAlign w:val="center"/>
            <w:hideMark/>
          </w:tcPr>
          <w:p w14:paraId="504249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7CE6F9B0" w14:textId="77777777" w:rsidTr="00613C92">
        <w:trPr>
          <w:trHeight w:val="20"/>
        </w:trPr>
        <w:tc>
          <w:tcPr>
            <w:tcW w:w="1818" w:type="dxa"/>
            <w:shd w:val="clear" w:color="auto" w:fill="auto"/>
            <w:noWrap/>
            <w:vAlign w:val="bottom"/>
            <w:hideMark/>
          </w:tcPr>
          <w:p w14:paraId="35507D4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MBURv2_20327</w:t>
            </w:r>
          </w:p>
        </w:tc>
        <w:tc>
          <w:tcPr>
            <w:tcW w:w="900" w:type="dxa"/>
            <w:shd w:val="clear" w:color="auto" w:fill="auto"/>
            <w:noWrap/>
            <w:vAlign w:val="bottom"/>
            <w:hideMark/>
          </w:tcPr>
          <w:p w14:paraId="6BE3395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pykA</w:t>
            </w:r>
            <w:proofErr w:type="spellEnd"/>
          </w:p>
        </w:tc>
        <w:tc>
          <w:tcPr>
            <w:tcW w:w="6660" w:type="dxa"/>
            <w:shd w:val="clear" w:color="auto" w:fill="auto"/>
            <w:noWrap/>
            <w:vAlign w:val="bottom"/>
            <w:hideMark/>
          </w:tcPr>
          <w:p w14:paraId="071C17C0"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yruvate kinase</w:t>
            </w:r>
          </w:p>
        </w:tc>
        <w:tc>
          <w:tcPr>
            <w:tcW w:w="1350" w:type="dxa"/>
            <w:shd w:val="clear" w:color="auto" w:fill="auto"/>
            <w:noWrap/>
            <w:vAlign w:val="center"/>
            <w:hideMark/>
          </w:tcPr>
          <w:p w14:paraId="5BC7E35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0.45</w:t>
            </w:r>
          </w:p>
        </w:tc>
        <w:tc>
          <w:tcPr>
            <w:tcW w:w="1710" w:type="dxa"/>
            <w:shd w:val="clear" w:color="auto" w:fill="auto"/>
            <w:noWrap/>
            <w:vAlign w:val="center"/>
            <w:hideMark/>
          </w:tcPr>
          <w:p w14:paraId="1E6A2C9F"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6A3E8E53"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5F66E2C5" w14:textId="77777777" w:rsidTr="00613C92">
        <w:trPr>
          <w:trHeight w:val="20"/>
        </w:trPr>
        <w:tc>
          <w:tcPr>
            <w:tcW w:w="1818" w:type="dxa"/>
            <w:shd w:val="clear" w:color="auto" w:fill="auto"/>
            <w:noWrap/>
            <w:vAlign w:val="bottom"/>
            <w:hideMark/>
          </w:tcPr>
          <w:p w14:paraId="4405D89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MBURv2_210058</w:t>
            </w:r>
          </w:p>
        </w:tc>
        <w:tc>
          <w:tcPr>
            <w:tcW w:w="900" w:type="dxa"/>
            <w:shd w:val="clear" w:color="auto" w:fill="auto"/>
            <w:noWrap/>
            <w:vAlign w:val="bottom"/>
            <w:hideMark/>
          </w:tcPr>
          <w:p w14:paraId="2F52D1E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ald</w:t>
            </w:r>
            <w:proofErr w:type="spellEnd"/>
          </w:p>
        </w:tc>
        <w:tc>
          <w:tcPr>
            <w:tcW w:w="6660" w:type="dxa"/>
            <w:shd w:val="clear" w:color="auto" w:fill="auto"/>
            <w:noWrap/>
            <w:vAlign w:val="bottom"/>
            <w:hideMark/>
          </w:tcPr>
          <w:p w14:paraId="174A60FC"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a</w:t>
            </w:r>
            <w:r w:rsidRPr="00C2631D">
              <w:rPr>
                <w:rFonts w:eastAsia="Times New Roman" w:cs="Arial"/>
                <w:color w:val="000000"/>
                <w:szCs w:val="20"/>
                <w:lang w:eastAsia="zh-CN"/>
              </w:rPr>
              <w:t>lanine dehydrogenase</w:t>
            </w:r>
          </w:p>
        </w:tc>
        <w:tc>
          <w:tcPr>
            <w:tcW w:w="1350" w:type="dxa"/>
            <w:shd w:val="clear" w:color="auto" w:fill="auto"/>
            <w:noWrap/>
            <w:vAlign w:val="center"/>
            <w:hideMark/>
          </w:tcPr>
          <w:p w14:paraId="1B77588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0.47</w:t>
            </w:r>
          </w:p>
        </w:tc>
        <w:tc>
          <w:tcPr>
            <w:tcW w:w="1710" w:type="dxa"/>
            <w:shd w:val="clear" w:color="auto" w:fill="auto"/>
            <w:noWrap/>
            <w:vAlign w:val="center"/>
            <w:hideMark/>
          </w:tcPr>
          <w:p w14:paraId="4C8BD044"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alanine biosynthesis</w:t>
            </w:r>
          </w:p>
        </w:tc>
        <w:tc>
          <w:tcPr>
            <w:tcW w:w="738" w:type="dxa"/>
            <w:shd w:val="clear" w:color="auto" w:fill="auto"/>
            <w:noWrap/>
            <w:vAlign w:val="center"/>
            <w:hideMark/>
          </w:tcPr>
          <w:p w14:paraId="2AC1946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DC3A26B" w14:textId="77777777" w:rsidTr="00613C92">
        <w:trPr>
          <w:trHeight w:val="20"/>
        </w:trPr>
        <w:tc>
          <w:tcPr>
            <w:tcW w:w="1818" w:type="dxa"/>
            <w:shd w:val="clear" w:color="auto" w:fill="auto"/>
            <w:noWrap/>
          </w:tcPr>
          <w:p w14:paraId="091697FB"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MBURv2_50079</w:t>
            </w:r>
          </w:p>
        </w:tc>
        <w:tc>
          <w:tcPr>
            <w:tcW w:w="900" w:type="dxa"/>
            <w:shd w:val="clear" w:color="auto" w:fill="auto"/>
            <w:noWrap/>
          </w:tcPr>
          <w:p w14:paraId="42D127B0"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fdh1B</w:t>
            </w:r>
          </w:p>
        </w:tc>
        <w:tc>
          <w:tcPr>
            <w:tcW w:w="6660" w:type="dxa"/>
            <w:shd w:val="clear" w:color="auto" w:fill="auto"/>
            <w:noWrap/>
          </w:tcPr>
          <w:p w14:paraId="6CEC6AEB"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Tungsten-containing NAD-dependent </w:t>
            </w:r>
            <w:proofErr w:type="spellStart"/>
            <w:r w:rsidRPr="006B6926">
              <w:rPr>
                <w:rFonts w:eastAsia="Times New Roman" w:cs="Arial"/>
                <w:color w:val="000000"/>
                <w:szCs w:val="20"/>
                <w:lang w:eastAsia="zh-CN"/>
              </w:rPr>
              <w:t>formate</w:t>
            </w:r>
            <w:proofErr w:type="spellEnd"/>
            <w:r w:rsidRPr="006B6926">
              <w:rPr>
                <w:rFonts w:eastAsia="Times New Roman" w:cs="Arial"/>
                <w:color w:val="000000"/>
                <w:szCs w:val="20"/>
                <w:lang w:eastAsia="zh-CN"/>
              </w:rPr>
              <w:t xml:space="preserve"> dehydrogenase, beta subunit</w:t>
            </w:r>
          </w:p>
        </w:tc>
        <w:tc>
          <w:tcPr>
            <w:tcW w:w="1350" w:type="dxa"/>
            <w:shd w:val="clear" w:color="auto" w:fill="auto"/>
            <w:noWrap/>
          </w:tcPr>
          <w:p w14:paraId="44CEAD5C"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0.45</w:t>
            </w:r>
          </w:p>
        </w:tc>
        <w:tc>
          <w:tcPr>
            <w:tcW w:w="1710" w:type="dxa"/>
            <w:shd w:val="clear" w:color="auto" w:fill="auto"/>
            <w:noWrap/>
          </w:tcPr>
          <w:p w14:paraId="47DD8327"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17FD5C1E"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0.00</w:t>
            </w:r>
          </w:p>
        </w:tc>
      </w:tr>
      <w:tr w:rsidR="008417A4" w:rsidRPr="00C2631D" w14:paraId="1E2A4535" w14:textId="77777777" w:rsidTr="00613C92">
        <w:trPr>
          <w:trHeight w:val="20"/>
        </w:trPr>
        <w:tc>
          <w:tcPr>
            <w:tcW w:w="1818" w:type="dxa"/>
            <w:shd w:val="clear" w:color="auto" w:fill="auto"/>
            <w:noWrap/>
          </w:tcPr>
          <w:p w14:paraId="053AD391"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MBURv2_50078</w:t>
            </w:r>
          </w:p>
        </w:tc>
        <w:tc>
          <w:tcPr>
            <w:tcW w:w="900" w:type="dxa"/>
            <w:shd w:val="clear" w:color="auto" w:fill="auto"/>
            <w:noWrap/>
          </w:tcPr>
          <w:p w14:paraId="3CD31C58"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fdh1A</w:t>
            </w:r>
          </w:p>
        </w:tc>
        <w:tc>
          <w:tcPr>
            <w:tcW w:w="6660" w:type="dxa"/>
            <w:shd w:val="clear" w:color="auto" w:fill="auto"/>
            <w:noWrap/>
          </w:tcPr>
          <w:p w14:paraId="09F33E6E"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Tungsten-containing NAD-dependent </w:t>
            </w:r>
            <w:proofErr w:type="spellStart"/>
            <w:r w:rsidRPr="006B6926">
              <w:rPr>
                <w:rFonts w:eastAsia="Times New Roman" w:cs="Arial"/>
                <w:color w:val="000000"/>
                <w:szCs w:val="20"/>
                <w:lang w:eastAsia="zh-CN"/>
              </w:rPr>
              <w:t>formate</w:t>
            </w:r>
            <w:proofErr w:type="spellEnd"/>
            <w:r w:rsidRPr="006B6926">
              <w:rPr>
                <w:rFonts w:eastAsia="Times New Roman" w:cs="Arial"/>
                <w:color w:val="000000"/>
                <w:szCs w:val="20"/>
                <w:lang w:eastAsia="zh-CN"/>
              </w:rPr>
              <w:t xml:space="preserve"> dehydrogenase, alpha subunit</w:t>
            </w:r>
          </w:p>
        </w:tc>
        <w:tc>
          <w:tcPr>
            <w:tcW w:w="1350" w:type="dxa"/>
            <w:shd w:val="clear" w:color="auto" w:fill="auto"/>
            <w:noWrap/>
          </w:tcPr>
          <w:p w14:paraId="53AEA8FF"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0.55</w:t>
            </w:r>
          </w:p>
        </w:tc>
        <w:tc>
          <w:tcPr>
            <w:tcW w:w="1710" w:type="dxa"/>
            <w:shd w:val="clear" w:color="auto" w:fill="auto"/>
            <w:noWrap/>
          </w:tcPr>
          <w:p w14:paraId="6E9630D3"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12DC07F7"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0.03</w:t>
            </w:r>
          </w:p>
        </w:tc>
      </w:tr>
      <w:tr w:rsidR="008417A4" w:rsidRPr="00C2631D" w14:paraId="333B73FA" w14:textId="77777777" w:rsidTr="00613C92">
        <w:trPr>
          <w:trHeight w:val="20"/>
        </w:trPr>
        <w:tc>
          <w:tcPr>
            <w:tcW w:w="1818" w:type="dxa"/>
            <w:shd w:val="clear" w:color="auto" w:fill="auto"/>
            <w:noWrap/>
          </w:tcPr>
          <w:p w14:paraId="56ADB7C0" w14:textId="77777777" w:rsidR="008417A4" w:rsidRPr="00C2631D" w:rsidRDefault="008417A4" w:rsidP="00613C92">
            <w:pPr>
              <w:jc w:val="both"/>
              <w:rPr>
                <w:rFonts w:eastAsia="Times New Roman" w:cs="Arial"/>
                <w:color w:val="000000"/>
                <w:szCs w:val="20"/>
                <w:lang w:eastAsia="zh-CN"/>
              </w:rPr>
            </w:pPr>
            <w:r w:rsidRPr="006B6926">
              <w:rPr>
                <w:rFonts w:eastAsia="Times New Roman" w:cs="Arial"/>
                <w:color w:val="000000"/>
                <w:szCs w:val="20"/>
                <w:lang w:eastAsia="zh-CN"/>
              </w:rPr>
              <w:t>MBURv2_130931</w:t>
            </w:r>
          </w:p>
        </w:tc>
        <w:tc>
          <w:tcPr>
            <w:tcW w:w="900" w:type="dxa"/>
            <w:shd w:val="clear" w:color="auto" w:fill="auto"/>
            <w:noWrap/>
          </w:tcPr>
          <w:p w14:paraId="616F351D" w14:textId="77777777" w:rsidR="008417A4" w:rsidRPr="00C2631D" w:rsidRDefault="008417A4" w:rsidP="00613C92">
            <w:pPr>
              <w:jc w:val="both"/>
              <w:rPr>
                <w:rFonts w:eastAsia="Times New Roman" w:cs="Arial"/>
                <w:color w:val="000000"/>
                <w:szCs w:val="20"/>
                <w:lang w:eastAsia="zh-CN"/>
              </w:rPr>
            </w:pPr>
            <w:proofErr w:type="spellStart"/>
            <w:r w:rsidRPr="006B6926">
              <w:rPr>
                <w:rFonts w:eastAsia="Times New Roman" w:cs="Arial"/>
                <w:color w:val="000000"/>
                <w:szCs w:val="20"/>
                <w:lang w:eastAsia="zh-CN"/>
              </w:rPr>
              <w:t>fdhD</w:t>
            </w:r>
            <w:proofErr w:type="spellEnd"/>
          </w:p>
        </w:tc>
        <w:tc>
          <w:tcPr>
            <w:tcW w:w="6660" w:type="dxa"/>
            <w:shd w:val="clear" w:color="auto" w:fill="auto"/>
            <w:noWrap/>
          </w:tcPr>
          <w:p w14:paraId="025576C0" w14:textId="77777777" w:rsidR="008417A4" w:rsidRDefault="008417A4" w:rsidP="00D40990">
            <w:pPr>
              <w:spacing w:line="240" w:lineRule="auto"/>
              <w:jc w:val="both"/>
              <w:rPr>
                <w:rFonts w:eastAsia="Times New Roman" w:cs="Arial"/>
                <w:color w:val="000000"/>
                <w:szCs w:val="20"/>
                <w:lang w:eastAsia="zh-CN"/>
              </w:rPr>
            </w:pPr>
            <w:r w:rsidRPr="006B6926">
              <w:rPr>
                <w:rFonts w:eastAsia="Times New Roman" w:cs="Arial"/>
                <w:color w:val="000000"/>
                <w:szCs w:val="20"/>
                <w:lang w:eastAsia="zh-CN"/>
              </w:rPr>
              <w:t xml:space="preserve">Protein </w:t>
            </w:r>
            <w:proofErr w:type="spellStart"/>
            <w:r w:rsidRPr="006B6926">
              <w:rPr>
                <w:rFonts w:eastAsia="Times New Roman" w:cs="Arial"/>
                <w:color w:val="000000"/>
                <w:szCs w:val="20"/>
                <w:lang w:eastAsia="zh-CN"/>
              </w:rPr>
              <w:t>FdhD</w:t>
            </w:r>
            <w:proofErr w:type="spellEnd"/>
            <w:r w:rsidRPr="006B6926">
              <w:rPr>
                <w:rFonts w:eastAsia="Times New Roman" w:cs="Arial"/>
                <w:color w:val="000000"/>
                <w:szCs w:val="20"/>
                <w:lang w:eastAsia="zh-CN"/>
              </w:rPr>
              <w:t xml:space="preserve"> homolog</w:t>
            </w:r>
          </w:p>
        </w:tc>
        <w:tc>
          <w:tcPr>
            <w:tcW w:w="1350" w:type="dxa"/>
            <w:shd w:val="clear" w:color="auto" w:fill="auto"/>
            <w:noWrap/>
          </w:tcPr>
          <w:p w14:paraId="23B955BB"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0.58</w:t>
            </w:r>
          </w:p>
        </w:tc>
        <w:tc>
          <w:tcPr>
            <w:tcW w:w="1710" w:type="dxa"/>
            <w:shd w:val="clear" w:color="auto" w:fill="auto"/>
            <w:noWrap/>
          </w:tcPr>
          <w:p w14:paraId="181AA055" w14:textId="77777777" w:rsidR="008417A4" w:rsidRPr="006B6926" w:rsidRDefault="008417A4" w:rsidP="00613C92">
            <w:pPr>
              <w:jc w:val="center"/>
              <w:rPr>
                <w:rFonts w:eastAsia="Times New Roman" w:cs="Arial"/>
                <w:color w:val="000000"/>
                <w:szCs w:val="20"/>
                <w:lang w:eastAsia="zh-CN"/>
              </w:rPr>
            </w:pPr>
            <w:r>
              <w:rPr>
                <w:rFonts w:eastAsia="Times New Roman" w:cs="Arial"/>
                <w:color w:val="000000"/>
                <w:szCs w:val="20"/>
                <w:lang w:eastAsia="zh-CN"/>
              </w:rPr>
              <w:t>C1 pathway</w:t>
            </w:r>
          </w:p>
        </w:tc>
        <w:tc>
          <w:tcPr>
            <w:tcW w:w="738" w:type="dxa"/>
            <w:shd w:val="clear" w:color="auto" w:fill="auto"/>
            <w:noWrap/>
          </w:tcPr>
          <w:p w14:paraId="5085AC9A" w14:textId="77777777" w:rsidR="008417A4" w:rsidRPr="006B6926" w:rsidRDefault="008417A4" w:rsidP="00613C92">
            <w:pPr>
              <w:jc w:val="center"/>
              <w:rPr>
                <w:rFonts w:eastAsia="Times New Roman" w:cs="Arial"/>
                <w:color w:val="000000"/>
                <w:szCs w:val="20"/>
                <w:lang w:eastAsia="zh-CN"/>
              </w:rPr>
            </w:pPr>
            <w:r w:rsidRPr="006B6926">
              <w:rPr>
                <w:rFonts w:eastAsia="Times New Roman" w:cs="Arial"/>
                <w:color w:val="000000"/>
                <w:szCs w:val="20"/>
                <w:lang w:eastAsia="zh-CN"/>
              </w:rPr>
              <w:t>0.02</w:t>
            </w:r>
          </w:p>
        </w:tc>
      </w:tr>
      <w:tr w:rsidR="008417A4" w:rsidRPr="00C2631D" w14:paraId="56E4F857" w14:textId="77777777" w:rsidTr="00613C92">
        <w:trPr>
          <w:trHeight w:val="20"/>
        </w:trPr>
        <w:tc>
          <w:tcPr>
            <w:tcW w:w="1818" w:type="dxa"/>
            <w:shd w:val="clear" w:color="auto" w:fill="auto"/>
            <w:noWrap/>
            <w:vAlign w:val="bottom"/>
            <w:hideMark/>
          </w:tcPr>
          <w:p w14:paraId="0ADD041B"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MBURv2_130613</w:t>
            </w:r>
          </w:p>
        </w:tc>
        <w:tc>
          <w:tcPr>
            <w:tcW w:w="900" w:type="dxa"/>
            <w:shd w:val="clear" w:color="auto" w:fill="auto"/>
            <w:noWrap/>
            <w:vAlign w:val="bottom"/>
            <w:hideMark/>
          </w:tcPr>
          <w:p w14:paraId="5BF341D2"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sps</w:t>
            </w:r>
            <w:proofErr w:type="spellEnd"/>
          </w:p>
        </w:tc>
        <w:tc>
          <w:tcPr>
            <w:tcW w:w="6660" w:type="dxa"/>
            <w:shd w:val="clear" w:color="auto" w:fill="auto"/>
            <w:noWrap/>
            <w:vAlign w:val="bottom"/>
            <w:hideMark/>
          </w:tcPr>
          <w:p w14:paraId="5677F4FA" w14:textId="0FF1489A"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s</w:t>
            </w:r>
            <w:r w:rsidRPr="00C2631D">
              <w:rPr>
                <w:rFonts w:eastAsia="Times New Roman" w:cs="Arial"/>
                <w:color w:val="000000"/>
                <w:szCs w:val="20"/>
                <w:lang w:eastAsia="zh-CN"/>
              </w:rPr>
              <w:t>ucrose-phosphate synthase</w:t>
            </w:r>
          </w:p>
        </w:tc>
        <w:tc>
          <w:tcPr>
            <w:tcW w:w="1350" w:type="dxa"/>
            <w:shd w:val="clear" w:color="auto" w:fill="auto"/>
            <w:noWrap/>
            <w:vAlign w:val="center"/>
            <w:hideMark/>
          </w:tcPr>
          <w:p w14:paraId="52FE0B5D"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0.60</w:t>
            </w:r>
          </w:p>
        </w:tc>
        <w:tc>
          <w:tcPr>
            <w:tcW w:w="1710" w:type="dxa"/>
            <w:shd w:val="clear" w:color="auto" w:fill="auto"/>
            <w:noWrap/>
            <w:vAlign w:val="center"/>
            <w:hideMark/>
          </w:tcPr>
          <w:p w14:paraId="7706C1E1"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sucrose biosynthesis</w:t>
            </w:r>
          </w:p>
        </w:tc>
        <w:tc>
          <w:tcPr>
            <w:tcW w:w="738" w:type="dxa"/>
            <w:shd w:val="clear" w:color="auto" w:fill="auto"/>
            <w:noWrap/>
            <w:vAlign w:val="center"/>
            <w:hideMark/>
          </w:tcPr>
          <w:p w14:paraId="5948BF6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F276803" w14:textId="77777777" w:rsidTr="00613C92">
        <w:trPr>
          <w:trHeight w:val="20"/>
        </w:trPr>
        <w:tc>
          <w:tcPr>
            <w:tcW w:w="1818" w:type="dxa"/>
            <w:shd w:val="clear" w:color="auto" w:fill="auto"/>
            <w:noWrap/>
            <w:vAlign w:val="bottom"/>
            <w:hideMark/>
          </w:tcPr>
          <w:p w14:paraId="2917F47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MBURv2_130610</w:t>
            </w:r>
          </w:p>
        </w:tc>
        <w:tc>
          <w:tcPr>
            <w:tcW w:w="900" w:type="dxa"/>
            <w:shd w:val="clear" w:color="auto" w:fill="auto"/>
            <w:noWrap/>
            <w:vAlign w:val="bottom"/>
            <w:hideMark/>
          </w:tcPr>
          <w:p w14:paraId="170AC21E"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ams</w:t>
            </w:r>
            <w:proofErr w:type="spellEnd"/>
          </w:p>
        </w:tc>
        <w:tc>
          <w:tcPr>
            <w:tcW w:w="6660" w:type="dxa"/>
            <w:shd w:val="clear" w:color="auto" w:fill="auto"/>
            <w:noWrap/>
            <w:vAlign w:val="bottom"/>
            <w:hideMark/>
          </w:tcPr>
          <w:p w14:paraId="12C5AB8E" w14:textId="77777777" w:rsidR="008417A4" w:rsidRPr="00C2631D" w:rsidRDefault="008417A4" w:rsidP="00613C92">
            <w:pPr>
              <w:jc w:val="both"/>
              <w:rPr>
                <w:rFonts w:eastAsia="Times New Roman" w:cs="Arial"/>
                <w:color w:val="000000"/>
                <w:szCs w:val="20"/>
                <w:lang w:eastAsia="zh-CN"/>
              </w:rPr>
            </w:pPr>
            <w:proofErr w:type="spellStart"/>
            <w:r>
              <w:rPr>
                <w:rFonts w:eastAsia="Times New Roman" w:cs="Arial"/>
                <w:color w:val="000000"/>
                <w:szCs w:val="20"/>
                <w:lang w:eastAsia="zh-CN"/>
              </w:rPr>
              <w:t>a</w:t>
            </w:r>
            <w:r w:rsidRPr="00C2631D">
              <w:rPr>
                <w:rFonts w:eastAsia="Times New Roman" w:cs="Arial"/>
                <w:color w:val="000000"/>
                <w:szCs w:val="20"/>
                <w:lang w:eastAsia="zh-CN"/>
              </w:rPr>
              <w:t>mylosucrase</w:t>
            </w:r>
            <w:proofErr w:type="spellEnd"/>
          </w:p>
        </w:tc>
        <w:tc>
          <w:tcPr>
            <w:tcW w:w="1350" w:type="dxa"/>
            <w:shd w:val="clear" w:color="auto" w:fill="auto"/>
            <w:noWrap/>
            <w:vAlign w:val="center"/>
            <w:hideMark/>
          </w:tcPr>
          <w:p w14:paraId="445311F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0.63</w:t>
            </w:r>
          </w:p>
        </w:tc>
        <w:tc>
          <w:tcPr>
            <w:tcW w:w="1710" w:type="dxa"/>
            <w:shd w:val="clear" w:color="auto" w:fill="auto"/>
            <w:noWrap/>
            <w:vAlign w:val="center"/>
            <w:hideMark/>
          </w:tcPr>
          <w:p w14:paraId="41E53774"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sucrose biosynthesis</w:t>
            </w:r>
          </w:p>
        </w:tc>
        <w:tc>
          <w:tcPr>
            <w:tcW w:w="738" w:type="dxa"/>
            <w:shd w:val="clear" w:color="auto" w:fill="auto"/>
            <w:noWrap/>
            <w:vAlign w:val="center"/>
            <w:hideMark/>
          </w:tcPr>
          <w:p w14:paraId="118D273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6CB2E1A4" w14:textId="77777777" w:rsidTr="00613C92">
        <w:trPr>
          <w:trHeight w:val="20"/>
        </w:trPr>
        <w:tc>
          <w:tcPr>
            <w:tcW w:w="1818" w:type="dxa"/>
            <w:shd w:val="clear" w:color="auto" w:fill="auto"/>
            <w:noWrap/>
            <w:vAlign w:val="bottom"/>
            <w:hideMark/>
          </w:tcPr>
          <w:p w14:paraId="55CE29E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MBURv2_210335</w:t>
            </w:r>
          </w:p>
        </w:tc>
        <w:tc>
          <w:tcPr>
            <w:tcW w:w="900" w:type="dxa"/>
            <w:shd w:val="clear" w:color="auto" w:fill="auto"/>
            <w:noWrap/>
            <w:vAlign w:val="bottom"/>
            <w:hideMark/>
          </w:tcPr>
          <w:p w14:paraId="612A9BFF" w14:textId="77777777" w:rsidR="008417A4" w:rsidRPr="00C2631D" w:rsidRDefault="008417A4" w:rsidP="00613C92">
            <w:pPr>
              <w:jc w:val="both"/>
              <w:rPr>
                <w:rFonts w:eastAsia="Times New Roman" w:cs="Arial"/>
                <w:color w:val="000000"/>
                <w:szCs w:val="20"/>
                <w:lang w:eastAsia="zh-CN"/>
              </w:rPr>
            </w:pPr>
          </w:p>
        </w:tc>
        <w:tc>
          <w:tcPr>
            <w:tcW w:w="6660" w:type="dxa"/>
            <w:shd w:val="clear" w:color="auto" w:fill="auto"/>
            <w:noWrap/>
            <w:vAlign w:val="bottom"/>
            <w:hideMark/>
          </w:tcPr>
          <w:p w14:paraId="3AAF62F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6-phosphogluconate dehydrogenase NAD-binding</w:t>
            </w:r>
          </w:p>
        </w:tc>
        <w:tc>
          <w:tcPr>
            <w:tcW w:w="1350" w:type="dxa"/>
            <w:shd w:val="clear" w:color="auto" w:fill="auto"/>
            <w:noWrap/>
            <w:vAlign w:val="center"/>
            <w:hideMark/>
          </w:tcPr>
          <w:p w14:paraId="7575B6E9"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0.67</w:t>
            </w:r>
          </w:p>
        </w:tc>
        <w:tc>
          <w:tcPr>
            <w:tcW w:w="1710" w:type="dxa"/>
            <w:shd w:val="clear" w:color="auto" w:fill="auto"/>
            <w:noWrap/>
            <w:vAlign w:val="center"/>
            <w:hideMark/>
          </w:tcPr>
          <w:p w14:paraId="3FF70686" w14:textId="77777777" w:rsidR="008417A4" w:rsidRPr="00C2631D" w:rsidRDefault="008417A4" w:rsidP="00D40990">
            <w:pPr>
              <w:spacing w:line="240" w:lineRule="auto"/>
              <w:jc w:val="center"/>
              <w:rPr>
                <w:rFonts w:eastAsia="Times New Roman" w:cs="Arial"/>
                <w:color w:val="000000"/>
                <w:szCs w:val="20"/>
                <w:lang w:eastAsia="zh-CN"/>
              </w:rPr>
            </w:pPr>
            <w:proofErr w:type="spellStart"/>
            <w:r>
              <w:rPr>
                <w:rFonts w:eastAsia="Times New Roman" w:cs="Arial"/>
                <w:color w:val="000000"/>
                <w:szCs w:val="20"/>
                <w:lang w:eastAsia="zh-CN"/>
              </w:rPr>
              <w:t>RuMP</w:t>
            </w:r>
            <w:proofErr w:type="spellEnd"/>
            <w:r>
              <w:rPr>
                <w:rFonts w:eastAsia="Times New Roman" w:cs="Arial"/>
                <w:color w:val="000000"/>
                <w:szCs w:val="20"/>
                <w:lang w:eastAsia="zh-CN"/>
              </w:rPr>
              <w:t xml:space="preserve"> cycle</w:t>
            </w:r>
          </w:p>
        </w:tc>
        <w:tc>
          <w:tcPr>
            <w:tcW w:w="738" w:type="dxa"/>
            <w:shd w:val="clear" w:color="auto" w:fill="auto"/>
            <w:noWrap/>
            <w:vAlign w:val="center"/>
            <w:hideMark/>
          </w:tcPr>
          <w:p w14:paraId="02C2228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715F82C" w14:textId="77777777" w:rsidTr="00613C92">
        <w:trPr>
          <w:trHeight w:val="20"/>
        </w:trPr>
        <w:tc>
          <w:tcPr>
            <w:tcW w:w="1818" w:type="dxa"/>
            <w:shd w:val="clear" w:color="auto" w:fill="auto"/>
            <w:noWrap/>
            <w:vAlign w:val="bottom"/>
            <w:hideMark/>
          </w:tcPr>
          <w:p w14:paraId="2587398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MBURv2_210177</w:t>
            </w:r>
          </w:p>
        </w:tc>
        <w:tc>
          <w:tcPr>
            <w:tcW w:w="900" w:type="dxa"/>
            <w:shd w:val="clear" w:color="auto" w:fill="auto"/>
            <w:noWrap/>
            <w:vAlign w:val="bottom"/>
            <w:hideMark/>
          </w:tcPr>
          <w:p w14:paraId="4FB7D96C"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glgA</w:t>
            </w:r>
            <w:proofErr w:type="spellEnd"/>
          </w:p>
        </w:tc>
        <w:tc>
          <w:tcPr>
            <w:tcW w:w="6660" w:type="dxa"/>
            <w:shd w:val="clear" w:color="auto" w:fill="auto"/>
            <w:noWrap/>
            <w:vAlign w:val="bottom"/>
            <w:hideMark/>
          </w:tcPr>
          <w:p w14:paraId="5B1CE01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glycogen synthase</w:t>
            </w:r>
          </w:p>
        </w:tc>
        <w:tc>
          <w:tcPr>
            <w:tcW w:w="1350" w:type="dxa"/>
            <w:shd w:val="clear" w:color="auto" w:fill="auto"/>
            <w:noWrap/>
            <w:vAlign w:val="center"/>
            <w:hideMark/>
          </w:tcPr>
          <w:p w14:paraId="7DCDED1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0.68</w:t>
            </w:r>
          </w:p>
        </w:tc>
        <w:tc>
          <w:tcPr>
            <w:tcW w:w="1710" w:type="dxa"/>
            <w:shd w:val="clear" w:color="auto" w:fill="auto"/>
            <w:noWrap/>
            <w:vAlign w:val="center"/>
            <w:hideMark/>
          </w:tcPr>
          <w:p w14:paraId="600D1BD7"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glycogen biosynthesis</w:t>
            </w:r>
          </w:p>
        </w:tc>
        <w:tc>
          <w:tcPr>
            <w:tcW w:w="738" w:type="dxa"/>
            <w:shd w:val="clear" w:color="auto" w:fill="auto"/>
            <w:noWrap/>
            <w:vAlign w:val="center"/>
            <w:hideMark/>
          </w:tcPr>
          <w:p w14:paraId="71F1DF71" w14:textId="77777777" w:rsidR="008417A4" w:rsidRPr="006919E0" w:rsidRDefault="008417A4" w:rsidP="00613C92">
            <w:pPr>
              <w:jc w:val="center"/>
              <w:rPr>
                <w:rFonts w:cs="Arial"/>
                <w:szCs w:val="20"/>
              </w:rPr>
            </w:pPr>
            <w:r w:rsidRPr="00C2631D">
              <w:rPr>
                <w:rFonts w:cs="Arial"/>
                <w:szCs w:val="20"/>
              </w:rPr>
              <w:t>0.00</w:t>
            </w:r>
            <w:r>
              <w:rPr>
                <w:rFonts w:cs="Arial"/>
                <w:szCs w:val="20"/>
              </w:rPr>
              <w:t>3</w:t>
            </w:r>
          </w:p>
        </w:tc>
      </w:tr>
      <w:tr w:rsidR="008417A4" w:rsidRPr="00C2631D" w14:paraId="47D578AA" w14:textId="77777777" w:rsidTr="00613C92">
        <w:trPr>
          <w:trHeight w:val="20"/>
        </w:trPr>
        <w:tc>
          <w:tcPr>
            <w:tcW w:w="1818" w:type="dxa"/>
            <w:shd w:val="clear" w:color="auto" w:fill="auto"/>
            <w:noWrap/>
          </w:tcPr>
          <w:p w14:paraId="50DE8F11" w14:textId="77777777" w:rsidR="008417A4" w:rsidRPr="006919E0" w:rsidRDefault="008417A4" w:rsidP="00613C92">
            <w:pPr>
              <w:jc w:val="both"/>
              <w:rPr>
                <w:rFonts w:eastAsia="Times New Roman" w:cs="Arial"/>
                <w:color w:val="000000"/>
                <w:szCs w:val="20"/>
                <w:lang w:eastAsia="zh-CN"/>
              </w:rPr>
            </w:pPr>
            <w:r w:rsidRPr="006919E0">
              <w:rPr>
                <w:rFonts w:cs="Arial"/>
                <w:szCs w:val="20"/>
              </w:rPr>
              <w:t>MBURv2_210178</w:t>
            </w:r>
          </w:p>
        </w:tc>
        <w:tc>
          <w:tcPr>
            <w:tcW w:w="900" w:type="dxa"/>
            <w:shd w:val="clear" w:color="auto" w:fill="auto"/>
            <w:noWrap/>
          </w:tcPr>
          <w:p w14:paraId="05236C46" w14:textId="77777777" w:rsidR="008417A4" w:rsidRPr="006919E0" w:rsidRDefault="008417A4" w:rsidP="00613C92">
            <w:pPr>
              <w:jc w:val="both"/>
              <w:rPr>
                <w:rFonts w:eastAsia="Times New Roman" w:cs="Arial"/>
                <w:color w:val="000000"/>
                <w:szCs w:val="20"/>
                <w:lang w:eastAsia="zh-CN"/>
              </w:rPr>
            </w:pPr>
            <w:proofErr w:type="spellStart"/>
            <w:r w:rsidRPr="006919E0">
              <w:rPr>
                <w:rFonts w:cs="Arial"/>
                <w:szCs w:val="20"/>
              </w:rPr>
              <w:t>glgB</w:t>
            </w:r>
            <w:proofErr w:type="spellEnd"/>
          </w:p>
        </w:tc>
        <w:tc>
          <w:tcPr>
            <w:tcW w:w="6660" w:type="dxa"/>
            <w:shd w:val="clear" w:color="auto" w:fill="auto"/>
            <w:noWrap/>
          </w:tcPr>
          <w:p w14:paraId="3AFD7EE4" w14:textId="77777777" w:rsidR="008417A4" w:rsidRPr="006919E0" w:rsidRDefault="008417A4" w:rsidP="00613C92">
            <w:pPr>
              <w:jc w:val="both"/>
              <w:rPr>
                <w:rFonts w:eastAsia="Times New Roman" w:cs="Arial"/>
                <w:color w:val="000000"/>
                <w:szCs w:val="20"/>
                <w:lang w:eastAsia="zh-CN"/>
              </w:rPr>
            </w:pPr>
            <w:r w:rsidRPr="006919E0">
              <w:rPr>
                <w:rFonts w:cs="Arial"/>
                <w:szCs w:val="20"/>
              </w:rPr>
              <w:t>1,4-alpha-glucan branching enzyme</w:t>
            </w:r>
          </w:p>
        </w:tc>
        <w:tc>
          <w:tcPr>
            <w:tcW w:w="1350" w:type="dxa"/>
            <w:shd w:val="clear" w:color="auto" w:fill="auto"/>
            <w:noWrap/>
          </w:tcPr>
          <w:p w14:paraId="29F9B2EB" w14:textId="77777777" w:rsidR="008417A4" w:rsidRPr="006919E0" w:rsidRDefault="008417A4" w:rsidP="00613C92">
            <w:pPr>
              <w:jc w:val="center"/>
              <w:rPr>
                <w:rFonts w:cs="Arial"/>
                <w:szCs w:val="20"/>
              </w:rPr>
            </w:pPr>
            <w:r>
              <w:rPr>
                <w:rFonts w:cs="Arial"/>
                <w:szCs w:val="20"/>
              </w:rPr>
              <w:t>0.48</w:t>
            </w:r>
          </w:p>
        </w:tc>
        <w:tc>
          <w:tcPr>
            <w:tcW w:w="1710" w:type="dxa"/>
            <w:shd w:val="clear" w:color="auto" w:fill="auto"/>
            <w:noWrap/>
          </w:tcPr>
          <w:p w14:paraId="6B519CC9" w14:textId="77777777" w:rsidR="008417A4" w:rsidRPr="006919E0" w:rsidRDefault="008417A4" w:rsidP="00D40990">
            <w:pPr>
              <w:spacing w:line="240" w:lineRule="auto"/>
              <w:jc w:val="center"/>
              <w:rPr>
                <w:rFonts w:cs="Arial"/>
                <w:szCs w:val="20"/>
              </w:rPr>
            </w:pPr>
            <w:r>
              <w:rPr>
                <w:rFonts w:cs="Arial"/>
                <w:szCs w:val="20"/>
              </w:rPr>
              <w:t>glycogen biosynthesis</w:t>
            </w:r>
          </w:p>
        </w:tc>
        <w:tc>
          <w:tcPr>
            <w:tcW w:w="738" w:type="dxa"/>
            <w:shd w:val="clear" w:color="auto" w:fill="auto"/>
            <w:noWrap/>
          </w:tcPr>
          <w:p w14:paraId="34F8CCCC" w14:textId="77777777" w:rsidR="008417A4" w:rsidRPr="006919E0" w:rsidRDefault="008417A4" w:rsidP="00613C92">
            <w:pPr>
              <w:jc w:val="center"/>
              <w:rPr>
                <w:rFonts w:cs="Arial"/>
                <w:szCs w:val="20"/>
              </w:rPr>
            </w:pPr>
            <w:r>
              <w:rPr>
                <w:rFonts w:cs="Arial"/>
                <w:szCs w:val="20"/>
              </w:rPr>
              <w:t>0.0007</w:t>
            </w:r>
          </w:p>
        </w:tc>
      </w:tr>
      <w:tr w:rsidR="008417A4" w:rsidRPr="00C2631D" w14:paraId="376A8507" w14:textId="77777777" w:rsidTr="00613C92">
        <w:trPr>
          <w:trHeight w:val="20"/>
        </w:trPr>
        <w:tc>
          <w:tcPr>
            <w:tcW w:w="1818" w:type="dxa"/>
            <w:shd w:val="clear" w:color="auto" w:fill="auto"/>
            <w:noWrap/>
            <w:vAlign w:val="bottom"/>
            <w:hideMark/>
          </w:tcPr>
          <w:p w14:paraId="6382E15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MBURv2_130310</w:t>
            </w:r>
          </w:p>
        </w:tc>
        <w:tc>
          <w:tcPr>
            <w:tcW w:w="900" w:type="dxa"/>
            <w:shd w:val="clear" w:color="auto" w:fill="auto"/>
            <w:noWrap/>
            <w:vAlign w:val="bottom"/>
            <w:hideMark/>
          </w:tcPr>
          <w:p w14:paraId="2F0B4FF9"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mdh</w:t>
            </w:r>
            <w:proofErr w:type="spellEnd"/>
          </w:p>
        </w:tc>
        <w:tc>
          <w:tcPr>
            <w:tcW w:w="6660" w:type="dxa"/>
            <w:shd w:val="clear" w:color="auto" w:fill="auto"/>
            <w:noWrap/>
            <w:vAlign w:val="bottom"/>
            <w:hideMark/>
          </w:tcPr>
          <w:p w14:paraId="6007D1FB"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malate dehydrogenase</w:t>
            </w:r>
          </w:p>
        </w:tc>
        <w:tc>
          <w:tcPr>
            <w:tcW w:w="1350" w:type="dxa"/>
            <w:shd w:val="clear" w:color="auto" w:fill="auto"/>
            <w:noWrap/>
            <w:vAlign w:val="center"/>
            <w:hideMark/>
          </w:tcPr>
          <w:p w14:paraId="270F71D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0.69</w:t>
            </w:r>
          </w:p>
        </w:tc>
        <w:tc>
          <w:tcPr>
            <w:tcW w:w="1710" w:type="dxa"/>
            <w:shd w:val="clear" w:color="auto" w:fill="auto"/>
            <w:noWrap/>
            <w:vAlign w:val="center"/>
            <w:hideMark/>
          </w:tcPr>
          <w:p w14:paraId="168DF40F"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5ED89F77"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585CFC6D" w14:textId="77777777" w:rsidTr="00613C92">
        <w:trPr>
          <w:trHeight w:val="20"/>
        </w:trPr>
        <w:tc>
          <w:tcPr>
            <w:tcW w:w="1818" w:type="dxa"/>
            <w:shd w:val="clear" w:color="auto" w:fill="auto"/>
            <w:noWrap/>
            <w:vAlign w:val="bottom"/>
            <w:hideMark/>
          </w:tcPr>
          <w:p w14:paraId="0C7E2D7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lastRenderedPageBreak/>
              <w:t>MBURv2_160480</w:t>
            </w:r>
          </w:p>
        </w:tc>
        <w:tc>
          <w:tcPr>
            <w:tcW w:w="900" w:type="dxa"/>
            <w:shd w:val="clear" w:color="auto" w:fill="auto"/>
            <w:noWrap/>
            <w:vAlign w:val="bottom"/>
            <w:hideMark/>
          </w:tcPr>
          <w:p w14:paraId="5FA40D5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fda</w:t>
            </w:r>
            <w:proofErr w:type="spellEnd"/>
          </w:p>
        </w:tc>
        <w:tc>
          <w:tcPr>
            <w:tcW w:w="6660" w:type="dxa"/>
            <w:shd w:val="clear" w:color="auto" w:fill="auto"/>
            <w:noWrap/>
            <w:vAlign w:val="bottom"/>
            <w:hideMark/>
          </w:tcPr>
          <w:p w14:paraId="33A0C94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fructose-1,6-bisphosphate aldolase, class II</w:t>
            </w:r>
          </w:p>
        </w:tc>
        <w:tc>
          <w:tcPr>
            <w:tcW w:w="1350" w:type="dxa"/>
            <w:shd w:val="clear" w:color="auto" w:fill="auto"/>
            <w:noWrap/>
            <w:vAlign w:val="center"/>
            <w:hideMark/>
          </w:tcPr>
          <w:p w14:paraId="3A5585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0.70</w:t>
            </w:r>
          </w:p>
        </w:tc>
        <w:tc>
          <w:tcPr>
            <w:tcW w:w="1710" w:type="dxa"/>
            <w:shd w:val="clear" w:color="auto" w:fill="auto"/>
            <w:noWrap/>
            <w:vAlign w:val="center"/>
            <w:hideMark/>
          </w:tcPr>
          <w:p w14:paraId="7DF8E6FF"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50C2B315"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CE067CD" w14:textId="77777777" w:rsidTr="00613C92">
        <w:trPr>
          <w:trHeight w:val="20"/>
        </w:trPr>
        <w:tc>
          <w:tcPr>
            <w:tcW w:w="1818" w:type="dxa"/>
            <w:shd w:val="clear" w:color="auto" w:fill="auto"/>
            <w:noWrap/>
            <w:vAlign w:val="bottom"/>
            <w:hideMark/>
          </w:tcPr>
          <w:p w14:paraId="024CCC9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MBURv2_80101</w:t>
            </w:r>
          </w:p>
        </w:tc>
        <w:tc>
          <w:tcPr>
            <w:tcW w:w="900" w:type="dxa"/>
            <w:shd w:val="clear" w:color="auto" w:fill="auto"/>
            <w:noWrap/>
            <w:vAlign w:val="bottom"/>
            <w:hideMark/>
          </w:tcPr>
          <w:p w14:paraId="5751CBBE"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sdhA</w:t>
            </w:r>
            <w:proofErr w:type="spellEnd"/>
          </w:p>
        </w:tc>
        <w:tc>
          <w:tcPr>
            <w:tcW w:w="6660" w:type="dxa"/>
            <w:shd w:val="clear" w:color="auto" w:fill="auto"/>
            <w:noWrap/>
            <w:vAlign w:val="bottom"/>
            <w:hideMark/>
          </w:tcPr>
          <w:p w14:paraId="780220C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succinate dehydrogenase, </w:t>
            </w:r>
            <w:proofErr w:type="spellStart"/>
            <w:r w:rsidRPr="00C2631D">
              <w:rPr>
                <w:rFonts w:eastAsia="Times New Roman" w:cs="Arial"/>
                <w:color w:val="000000"/>
                <w:szCs w:val="20"/>
                <w:lang w:eastAsia="zh-CN"/>
              </w:rPr>
              <w:t>flavoprotein</w:t>
            </w:r>
            <w:proofErr w:type="spellEnd"/>
            <w:r w:rsidRPr="00C2631D">
              <w:rPr>
                <w:rFonts w:eastAsia="Times New Roman" w:cs="Arial"/>
                <w:color w:val="000000"/>
                <w:szCs w:val="20"/>
                <w:lang w:eastAsia="zh-CN"/>
              </w:rPr>
              <w:t xml:space="preserve"> subunit</w:t>
            </w:r>
          </w:p>
        </w:tc>
        <w:tc>
          <w:tcPr>
            <w:tcW w:w="1350" w:type="dxa"/>
            <w:shd w:val="clear" w:color="auto" w:fill="auto"/>
            <w:noWrap/>
            <w:vAlign w:val="center"/>
            <w:hideMark/>
          </w:tcPr>
          <w:p w14:paraId="04B03A3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0.76</w:t>
            </w:r>
          </w:p>
        </w:tc>
        <w:tc>
          <w:tcPr>
            <w:tcW w:w="1710" w:type="dxa"/>
            <w:shd w:val="clear" w:color="auto" w:fill="auto"/>
            <w:noWrap/>
            <w:vAlign w:val="center"/>
            <w:hideMark/>
          </w:tcPr>
          <w:p w14:paraId="77B684EE"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301691B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463D9E4" w14:textId="77777777" w:rsidTr="00613C92">
        <w:trPr>
          <w:trHeight w:val="20"/>
        </w:trPr>
        <w:tc>
          <w:tcPr>
            <w:tcW w:w="1818" w:type="dxa"/>
            <w:shd w:val="clear" w:color="auto" w:fill="auto"/>
            <w:noWrap/>
            <w:vAlign w:val="bottom"/>
            <w:hideMark/>
          </w:tcPr>
          <w:p w14:paraId="77FB134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MBURv2_20302</w:t>
            </w:r>
          </w:p>
        </w:tc>
        <w:tc>
          <w:tcPr>
            <w:tcW w:w="900" w:type="dxa"/>
            <w:shd w:val="clear" w:color="auto" w:fill="auto"/>
            <w:noWrap/>
            <w:vAlign w:val="bottom"/>
            <w:hideMark/>
          </w:tcPr>
          <w:p w14:paraId="761EF1D7"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pps</w:t>
            </w:r>
            <w:proofErr w:type="spellEnd"/>
          </w:p>
        </w:tc>
        <w:tc>
          <w:tcPr>
            <w:tcW w:w="6660" w:type="dxa"/>
            <w:shd w:val="clear" w:color="auto" w:fill="auto"/>
            <w:noWrap/>
            <w:vAlign w:val="bottom"/>
            <w:hideMark/>
          </w:tcPr>
          <w:p w14:paraId="1C30B2B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phosphoenolpyruvate synthase</w:t>
            </w:r>
          </w:p>
        </w:tc>
        <w:tc>
          <w:tcPr>
            <w:tcW w:w="1350" w:type="dxa"/>
            <w:shd w:val="clear" w:color="auto" w:fill="auto"/>
            <w:noWrap/>
            <w:vAlign w:val="center"/>
            <w:hideMark/>
          </w:tcPr>
          <w:p w14:paraId="1345598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0.79</w:t>
            </w:r>
          </w:p>
        </w:tc>
        <w:tc>
          <w:tcPr>
            <w:tcW w:w="1710" w:type="dxa"/>
            <w:shd w:val="clear" w:color="auto" w:fill="auto"/>
            <w:noWrap/>
            <w:vAlign w:val="center"/>
            <w:hideMark/>
          </w:tcPr>
          <w:p w14:paraId="668815E3"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0DBC85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0.02</w:t>
            </w:r>
          </w:p>
        </w:tc>
      </w:tr>
      <w:tr w:rsidR="008417A4" w:rsidRPr="00C2631D" w14:paraId="0053D719" w14:textId="77777777" w:rsidTr="00613C92">
        <w:trPr>
          <w:trHeight w:val="20"/>
        </w:trPr>
        <w:tc>
          <w:tcPr>
            <w:tcW w:w="1818" w:type="dxa"/>
            <w:shd w:val="clear" w:color="auto" w:fill="auto"/>
            <w:noWrap/>
            <w:vAlign w:val="bottom"/>
            <w:hideMark/>
          </w:tcPr>
          <w:p w14:paraId="55AAA9B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MBURv2_80100</w:t>
            </w:r>
          </w:p>
        </w:tc>
        <w:tc>
          <w:tcPr>
            <w:tcW w:w="900" w:type="dxa"/>
            <w:shd w:val="clear" w:color="auto" w:fill="auto"/>
            <w:noWrap/>
            <w:vAlign w:val="bottom"/>
            <w:hideMark/>
          </w:tcPr>
          <w:p w14:paraId="0F3D999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sdhB</w:t>
            </w:r>
            <w:proofErr w:type="spellEnd"/>
          </w:p>
        </w:tc>
        <w:tc>
          <w:tcPr>
            <w:tcW w:w="6660" w:type="dxa"/>
            <w:shd w:val="clear" w:color="auto" w:fill="auto"/>
            <w:noWrap/>
            <w:vAlign w:val="bottom"/>
            <w:hideMark/>
          </w:tcPr>
          <w:p w14:paraId="4938F91C"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succinate dehydrogenase, </w:t>
            </w:r>
            <w:proofErr w:type="spellStart"/>
            <w:r w:rsidRPr="00C2631D">
              <w:rPr>
                <w:rFonts w:eastAsia="Times New Roman" w:cs="Arial"/>
                <w:color w:val="000000"/>
                <w:szCs w:val="20"/>
                <w:lang w:eastAsia="zh-CN"/>
              </w:rPr>
              <w:t>FeS</w:t>
            </w:r>
            <w:proofErr w:type="spellEnd"/>
            <w:r w:rsidRPr="00C2631D">
              <w:rPr>
                <w:rFonts w:eastAsia="Times New Roman" w:cs="Arial"/>
                <w:color w:val="000000"/>
                <w:szCs w:val="20"/>
                <w:lang w:eastAsia="zh-CN"/>
              </w:rPr>
              <w:t xml:space="preserve"> subunit</w:t>
            </w:r>
          </w:p>
        </w:tc>
        <w:tc>
          <w:tcPr>
            <w:tcW w:w="1350" w:type="dxa"/>
            <w:shd w:val="clear" w:color="auto" w:fill="auto"/>
            <w:noWrap/>
            <w:vAlign w:val="center"/>
            <w:hideMark/>
          </w:tcPr>
          <w:p w14:paraId="29B9922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0.83</w:t>
            </w:r>
          </w:p>
        </w:tc>
        <w:tc>
          <w:tcPr>
            <w:tcW w:w="1710" w:type="dxa"/>
            <w:shd w:val="clear" w:color="auto" w:fill="auto"/>
            <w:noWrap/>
            <w:vAlign w:val="center"/>
            <w:hideMark/>
          </w:tcPr>
          <w:p w14:paraId="4F296425"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01F3C832"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3FC906A5" w14:textId="77777777" w:rsidTr="00613C92">
        <w:trPr>
          <w:trHeight w:val="20"/>
        </w:trPr>
        <w:tc>
          <w:tcPr>
            <w:tcW w:w="1818" w:type="dxa"/>
            <w:shd w:val="clear" w:color="auto" w:fill="auto"/>
            <w:noWrap/>
            <w:vAlign w:val="bottom"/>
            <w:hideMark/>
          </w:tcPr>
          <w:p w14:paraId="2B6F7EA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MBURv2_160358</w:t>
            </w:r>
          </w:p>
        </w:tc>
        <w:tc>
          <w:tcPr>
            <w:tcW w:w="900" w:type="dxa"/>
            <w:shd w:val="clear" w:color="auto" w:fill="auto"/>
            <w:noWrap/>
            <w:vAlign w:val="bottom"/>
            <w:hideMark/>
          </w:tcPr>
          <w:p w14:paraId="6F5A895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icd</w:t>
            </w:r>
            <w:proofErr w:type="spellEnd"/>
          </w:p>
        </w:tc>
        <w:tc>
          <w:tcPr>
            <w:tcW w:w="6660" w:type="dxa"/>
            <w:shd w:val="clear" w:color="auto" w:fill="auto"/>
            <w:noWrap/>
            <w:vAlign w:val="bottom"/>
            <w:hideMark/>
          </w:tcPr>
          <w:p w14:paraId="7F54369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Isocitrate</w:t>
            </w:r>
            <w:proofErr w:type="spellEnd"/>
            <w:r w:rsidRPr="00C2631D">
              <w:rPr>
                <w:rFonts w:eastAsia="Times New Roman" w:cs="Arial"/>
                <w:color w:val="000000"/>
                <w:szCs w:val="20"/>
                <w:lang w:eastAsia="zh-CN"/>
              </w:rPr>
              <w:t xml:space="preserve"> dehydrogenase [NADP]</w:t>
            </w:r>
          </w:p>
        </w:tc>
        <w:tc>
          <w:tcPr>
            <w:tcW w:w="1350" w:type="dxa"/>
            <w:shd w:val="clear" w:color="auto" w:fill="auto"/>
            <w:noWrap/>
            <w:vAlign w:val="center"/>
            <w:hideMark/>
          </w:tcPr>
          <w:p w14:paraId="5CBED9C1" w14:textId="77777777" w:rsidR="008417A4" w:rsidRPr="00C2631D" w:rsidRDefault="008417A4" w:rsidP="00613C92">
            <w:pPr>
              <w:jc w:val="center"/>
              <w:rPr>
                <w:rFonts w:eastAsia="Times New Roman" w:cs="Arial"/>
                <w:color w:val="000000"/>
                <w:szCs w:val="20"/>
                <w:lang w:eastAsia="zh-CN"/>
              </w:rPr>
            </w:pPr>
            <w:r w:rsidRPr="00C2631D">
              <w:rPr>
                <w:rFonts w:cs="Arial"/>
                <w:szCs w:val="20"/>
              </w:rPr>
              <w:t>0.86</w:t>
            </w:r>
          </w:p>
        </w:tc>
        <w:tc>
          <w:tcPr>
            <w:tcW w:w="1710" w:type="dxa"/>
            <w:shd w:val="clear" w:color="auto" w:fill="auto"/>
            <w:noWrap/>
            <w:vAlign w:val="center"/>
            <w:hideMark/>
          </w:tcPr>
          <w:p w14:paraId="20B4A30C"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4CDFC65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74F8FD89" w14:textId="77777777" w:rsidTr="00613C92">
        <w:trPr>
          <w:trHeight w:val="20"/>
        </w:trPr>
        <w:tc>
          <w:tcPr>
            <w:tcW w:w="1818" w:type="dxa"/>
            <w:shd w:val="clear" w:color="auto" w:fill="auto"/>
            <w:noWrap/>
            <w:vAlign w:val="bottom"/>
            <w:hideMark/>
          </w:tcPr>
          <w:p w14:paraId="1E10B84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MBURv2_80063</w:t>
            </w:r>
          </w:p>
        </w:tc>
        <w:tc>
          <w:tcPr>
            <w:tcW w:w="900" w:type="dxa"/>
            <w:shd w:val="clear" w:color="auto" w:fill="auto"/>
            <w:noWrap/>
            <w:vAlign w:val="bottom"/>
            <w:hideMark/>
          </w:tcPr>
          <w:p w14:paraId="0279D7C2"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tkt</w:t>
            </w:r>
            <w:proofErr w:type="spellEnd"/>
          </w:p>
        </w:tc>
        <w:tc>
          <w:tcPr>
            <w:tcW w:w="6660" w:type="dxa"/>
            <w:shd w:val="clear" w:color="auto" w:fill="auto"/>
            <w:noWrap/>
            <w:vAlign w:val="bottom"/>
            <w:hideMark/>
          </w:tcPr>
          <w:p w14:paraId="1756D2CB" w14:textId="77777777" w:rsidR="008417A4" w:rsidRPr="00C2631D" w:rsidRDefault="008417A4" w:rsidP="00613C92">
            <w:pPr>
              <w:jc w:val="both"/>
              <w:rPr>
                <w:rFonts w:eastAsia="Times New Roman" w:cs="Arial"/>
                <w:color w:val="000000"/>
                <w:szCs w:val="20"/>
                <w:lang w:eastAsia="zh-CN"/>
              </w:rPr>
            </w:pPr>
            <w:proofErr w:type="spellStart"/>
            <w:r>
              <w:rPr>
                <w:rFonts w:eastAsia="Times New Roman" w:cs="Arial"/>
                <w:color w:val="000000"/>
                <w:szCs w:val="20"/>
                <w:lang w:eastAsia="zh-CN"/>
              </w:rPr>
              <w:t>t</w:t>
            </w:r>
            <w:r w:rsidRPr="00C2631D">
              <w:rPr>
                <w:rFonts w:eastAsia="Times New Roman" w:cs="Arial"/>
                <w:color w:val="000000"/>
                <w:szCs w:val="20"/>
                <w:lang w:eastAsia="zh-CN"/>
              </w:rPr>
              <w:t>ransketolase</w:t>
            </w:r>
            <w:proofErr w:type="spellEnd"/>
            <w:r w:rsidRPr="00C2631D">
              <w:rPr>
                <w:rFonts w:eastAsia="Times New Roman" w:cs="Arial"/>
                <w:color w:val="000000"/>
                <w:szCs w:val="20"/>
                <w:lang w:eastAsia="zh-CN"/>
              </w:rPr>
              <w:t xml:space="preserve"> domain protein</w:t>
            </w:r>
          </w:p>
        </w:tc>
        <w:tc>
          <w:tcPr>
            <w:tcW w:w="1350" w:type="dxa"/>
            <w:shd w:val="clear" w:color="auto" w:fill="auto"/>
            <w:noWrap/>
            <w:vAlign w:val="center"/>
            <w:hideMark/>
          </w:tcPr>
          <w:p w14:paraId="78E17AC1" w14:textId="77777777" w:rsidR="008417A4" w:rsidRPr="00C2631D" w:rsidRDefault="008417A4" w:rsidP="00613C92">
            <w:pPr>
              <w:jc w:val="center"/>
              <w:rPr>
                <w:rFonts w:eastAsia="Times New Roman" w:cs="Arial"/>
                <w:color w:val="000000"/>
                <w:szCs w:val="20"/>
                <w:lang w:eastAsia="zh-CN"/>
              </w:rPr>
            </w:pPr>
            <w:r w:rsidRPr="00C2631D">
              <w:rPr>
                <w:rFonts w:cs="Arial"/>
                <w:szCs w:val="20"/>
              </w:rPr>
              <w:t>1.09</w:t>
            </w:r>
          </w:p>
        </w:tc>
        <w:tc>
          <w:tcPr>
            <w:tcW w:w="1710" w:type="dxa"/>
            <w:shd w:val="clear" w:color="auto" w:fill="auto"/>
            <w:noWrap/>
            <w:vAlign w:val="center"/>
            <w:hideMark/>
          </w:tcPr>
          <w:p w14:paraId="7D2F3A1E"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17D5826B"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0.02</w:t>
            </w:r>
          </w:p>
        </w:tc>
      </w:tr>
      <w:tr w:rsidR="008417A4" w:rsidRPr="00C2631D" w14:paraId="59C2B253" w14:textId="77777777" w:rsidTr="00613C92">
        <w:trPr>
          <w:trHeight w:val="20"/>
        </w:trPr>
        <w:tc>
          <w:tcPr>
            <w:tcW w:w="1818" w:type="dxa"/>
            <w:shd w:val="clear" w:color="auto" w:fill="auto"/>
            <w:noWrap/>
            <w:vAlign w:val="bottom"/>
            <w:hideMark/>
          </w:tcPr>
          <w:p w14:paraId="0F23799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MBURv2_160221</w:t>
            </w:r>
          </w:p>
        </w:tc>
        <w:tc>
          <w:tcPr>
            <w:tcW w:w="900" w:type="dxa"/>
            <w:shd w:val="clear" w:color="auto" w:fill="auto"/>
            <w:noWrap/>
            <w:vAlign w:val="bottom"/>
            <w:hideMark/>
          </w:tcPr>
          <w:p w14:paraId="5EFC634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zwf</w:t>
            </w:r>
            <w:proofErr w:type="spellEnd"/>
          </w:p>
        </w:tc>
        <w:tc>
          <w:tcPr>
            <w:tcW w:w="6660" w:type="dxa"/>
            <w:shd w:val="clear" w:color="auto" w:fill="auto"/>
            <w:noWrap/>
            <w:vAlign w:val="bottom"/>
            <w:hideMark/>
          </w:tcPr>
          <w:p w14:paraId="1378A6C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glucose-6-phosphate dehydrogenase</w:t>
            </w:r>
          </w:p>
        </w:tc>
        <w:tc>
          <w:tcPr>
            <w:tcW w:w="1350" w:type="dxa"/>
            <w:shd w:val="clear" w:color="auto" w:fill="auto"/>
            <w:noWrap/>
            <w:vAlign w:val="center"/>
            <w:hideMark/>
          </w:tcPr>
          <w:p w14:paraId="16A3FFC9" w14:textId="77777777" w:rsidR="008417A4" w:rsidRPr="00C2631D" w:rsidRDefault="008417A4" w:rsidP="00613C92">
            <w:pPr>
              <w:jc w:val="center"/>
              <w:rPr>
                <w:rFonts w:eastAsia="Times New Roman" w:cs="Arial"/>
                <w:color w:val="000000"/>
                <w:szCs w:val="20"/>
                <w:lang w:eastAsia="zh-CN"/>
              </w:rPr>
            </w:pPr>
            <w:r w:rsidRPr="00C2631D">
              <w:rPr>
                <w:rFonts w:cs="Arial"/>
                <w:szCs w:val="20"/>
              </w:rPr>
              <w:t>1.11</w:t>
            </w:r>
          </w:p>
        </w:tc>
        <w:tc>
          <w:tcPr>
            <w:tcW w:w="1710" w:type="dxa"/>
            <w:shd w:val="clear" w:color="auto" w:fill="auto"/>
            <w:noWrap/>
            <w:vAlign w:val="center"/>
            <w:hideMark/>
          </w:tcPr>
          <w:p w14:paraId="2C98786B" w14:textId="77777777" w:rsidR="008417A4" w:rsidRPr="00C2631D" w:rsidRDefault="008417A4" w:rsidP="00613C92">
            <w:pPr>
              <w:rPr>
                <w:rFonts w:eastAsia="Times New Roman" w:cs="Arial"/>
                <w:color w:val="000000"/>
                <w:szCs w:val="20"/>
                <w:lang w:eastAsia="zh-CN"/>
              </w:rPr>
            </w:pPr>
            <w:r>
              <w:rPr>
                <w:rFonts w:cs="Arial"/>
                <w:szCs w:val="20"/>
              </w:rPr>
              <w:t xml:space="preserve">    </w:t>
            </w: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05075C3"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384423A" w14:textId="77777777" w:rsidTr="00613C92">
        <w:trPr>
          <w:trHeight w:val="20"/>
        </w:trPr>
        <w:tc>
          <w:tcPr>
            <w:tcW w:w="1818" w:type="dxa"/>
            <w:shd w:val="clear" w:color="auto" w:fill="auto"/>
            <w:noWrap/>
            <w:vAlign w:val="bottom"/>
            <w:hideMark/>
          </w:tcPr>
          <w:p w14:paraId="1D3FF6F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MBURv2_160313</w:t>
            </w:r>
          </w:p>
        </w:tc>
        <w:tc>
          <w:tcPr>
            <w:tcW w:w="900" w:type="dxa"/>
            <w:shd w:val="clear" w:color="auto" w:fill="auto"/>
            <w:noWrap/>
            <w:vAlign w:val="bottom"/>
            <w:hideMark/>
          </w:tcPr>
          <w:p w14:paraId="39F323C6"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rmpB</w:t>
            </w:r>
            <w:proofErr w:type="spellEnd"/>
          </w:p>
        </w:tc>
        <w:tc>
          <w:tcPr>
            <w:tcW w:w="6660" w:type="dxa"/>
            <w:shd w:val="clear" w:color="auto" w:fill="auto"/>
            <w:noWrap/>
            <w:vAlign w:val="bottom"/>
            <w:hideMark/>
          </w:tcPr>
          <w:p w14:paraId="3FB030E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isomerase</w:t>
            </w:r>
          </w:p>
        </w:tc>
        <w:tc>
          <w:tcPr>
            <w:tcW w:w="1350" w:type="dxa"/>
            <w:shd w:val="clear" w:color="auto" w:fill="auto"/>
            <w:noWrap/>
            <w:vAlign w:val="center"/>
            <w:hideMark/>
          </w:tcPr>
          <w:p w14:paraId="6551F7AB"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1.23</w:t>
            </w:r>
          </w:p>
        </w:tc>
        <w:tc>
          <w:tcPr>
            <w:tcW w:w="1710" w:type="dxa"/>
            <w:shd w:val="clear" w:color="auto" w:fill="auto"/>
            <w:noWrap/>
            <w:vAlign w:val="center"/>
            <w:hideMark/>
          </w:tcPr>
          <w:p w14:paraId="149759D4"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0D5DD36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32E43AB2" w14:textId="77777777" w:rsidTr="00613C92">
        <w:trPr>
          <w:trHeight w:val="20"/>
        </w:trPr>
        <w:tc>
          <w:tcPr>
            <w:tcW w:w="1818" w:type="dxa"/>
            <w:shd w:val="clear" w:color="auto" w:fill="auto"/>
            <w:noWrap/>
            <w:vAlign w:val="bottom"/>
            <w:hideMark/>
          </w:tcPr>
          <w:p w14:paraId="63ED982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MBURv2_160305</w:t>
            </w:r>
          </w:p>
        </w:tc>
        <w:tc>
          <w:tcPr>
            <w:tcW w:w="900" w:type="dxa"/>
            <w:shd w:val="clear" w:color="auto" w:fill="auto"/>
            <w:noWrap/>
            <w:vAlign w:val="bottom"/>
            <w:hideMark/>
          </w:tcPr>
          <w:p w14:paraId="2CF36F15"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rmpB</w:t>
            </w:r>
            <w:proofErr w:type="spellEnd"/>
          </w:p>
        </w:tc>
        <w:tc>
          <w:tcPr>
            <w:tcW w:w="6660" w:type="dxa"/>
            <w:shd w:val="clear" w:color="auto" w:fill="auto"/>
            <w:noWrap/>
            <w:vAlign w:val="bottom"/>
            <w:hideMark/>
          </w:tcPr>
          <w:p w14:paraId="11F93AB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isomerase</w:t>
            </w:r>
          </w:p>
        </w:tc>
        <w:tc>
          <w:tcPr>
            <w:tcW w:w="1350" w:type="dxa"/>
            <w:shd w:val="clear" w:color="auto" w:fill="auto"/>
            <w:noWrap/>
            <w:vAlign w:val="center"/>
            <w:hideMark/>
          </w:tcPr>
          <w:p w14:paraId="214E6044"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1.24</w:t>
            </w:r>
          </w:p>
        </w:tc>
        <w:tc>
          <w:tcPr>
            <w:tcW w:w="1710" w:type="dxa"/>
            <w:shd w:val="clear" w:color="auto" w:fill="auto"/>
            <w:noWrap/>
            <w:vAlign w:val="center"/>
            <w:hideMark/>
          </w:tcPr>
          <w:p w14:paraId="56CFC5C0"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BE247A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2D8E351F" w14:textId="77777777" w:rsidTr="00613C92">
        <w:trPr>
          <w:trHeight w:val="20"/>
        </w:trPr>
        <w:tc>
          <w:tcPr>
            <w:tcW w:w="1818" w:type="dxa"/>
            <w:shd w:val="clear" w:color="auto" w:fill="auto"/>
            <w:noWrap/>
          </w:tcPr>
          <w:p w14:paraId="78AC94C1"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Locus tag</w:t>
            </w:r>
          </w:p>
        </w:tc>
        <w:tc>
          <w:tcPr>
            <w:tcW w:w="900" w:type="dxa"/>
            <w:shd w:val="clear" w:color="auto" w:fill="auto"/>
            <w:noWrap/>
          </w:tcPr>
          <w:p w14:paraId="0FD3A501"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Gene</w:t>
            </w:r>
          </w:p>
        </w:tc>
        <w:tc>
          <w:tcPr>
            <w:tcW w:w="6660" w:type="dxa"/>
            <w:shd w:val="clear" w:color="auto" w:fill="auto"/>
            <w:noWrap/>
          </w:tcPr>
          <w:p w14:paraId="456DD8A0" w14:textId="77777777" w:rsidR="008417A4" w:rsidRPr="00C2631D" w:rsidRDefault="008417A4" w:rsidP="00613C92">
            <w:pPr>
              <w:jc w:val="both"/>
              <w:rPr>
                <w:rFonts w:eastAsia="Times New Roman" w:cs="Arial"/>
                <w:color w:val="000000"/>
                <w:szCs w:val="20"/>
                <w:lang w:eastAsia="zh-CN"/>
              </w:rPr>
            </w:pPr>
            <w:r w:rsidRPr="00A41075">
              <w:rPr>
                <w:rFonts w:eastAsia="Times New Roman" w:cs="Arial"/>
                <w:color w:val="000000"/>
                <w:szCs w:val="20"/>
                <w:lang w:eastAsia="zh-CN"/>
              </w:rPr>
              <w:t>Product</w:t>
            </w:r>
          </w:p>
        </w:tc>
        <w:tc>
          <w:tcPr>
            <w:tcW w:w="1350" w:type="dxa"/>
            <w:shd w:val="clear" w:color="auto" w:fill="auto"/>
            <w:noWrap/>
          </w:tcPr>
          <w:p w14:paraId="221C53FC" w14:textId="77777777" w:rsidR="008417A4" w:rsidRPr="00C2631D" w:rsidRDefault="008417A4" w:rsidP="00613C92">
            <w:pPr>
              <w:jc w:val="center"/>
              <w:rPr>
                <w:rFonts w:cs="Arial"/>
                <w:szCs w:val="20"/>
              </w:rPr>
            </w:pPr>
            <w:r w:rsidRPr="00A41075">
              <w:rPr>
                <w:rFonts w:eastAsia="Times New Roman" w:cs="Arial"/>
                <w:color w:val="000000"/>
                <w:szCs w:val="20"/>
                <w:lang w:eastAsia="zh-CN"/>
              </w:rPr>
              <w:t>Fold change</w:t>
            </w:r>
          </w:p>
        </w:tc>
        <w:tc>
          <w:tcPr>
            <w:tcW w:w="1710" w:type="dxa"/>
            <w:shd w:val="clear" w:color="auto" w:fill="auto"/>
            <w:noWrap/>
          </w:tcPr>
          <w:p w14:paraId="33CEA691" w14:textId="77777777" w:rsidR="008417A4" w:rsidRDefault="008417A4" w:rsidP="00D40990">
            <w:pPr>
              <w:spacing w:line="240" w:lineRule="auto"/>
              <w:jc w:val="center"/>
              <w:rPr>
                <w:rFonts w:cs="Arial"/>
                <w:szCs w:val="20"/>
              </w:rPr>
            </w:pPr>
            <w:r w:rsidRPr="00A41075">
              <w:rPr>
                <w:rFonts w:eastAsia="Times New Roman" w:cs="Arial"/>
                <w:color w:val="000000"/>
                <w:szCs w:val="20"/>
                <w:lang w:eastAsia="zh-CN"/>
              </w:rPr>
              <w:t>Log2 fold change</w:t>
            </w:r>
          </w:p>
        </w:tc>
        <w:tc>
          <w:tcPr>
            <w:tcW w:w="738" w:type="dxa"/>
            <w:shd w:val="clear" w:color="auto" w:fill="auto"/>
            <w:noWrap/>
          </w:tcPr>
          <w:p w14:paraId="19D8CF1C" w14:textId="77777777" w:rsidR="008417A4" w:rsidRPr="00C2631D" w:rsidRDefault="008417A4" w:rsidP="00613C92">
            <w:pPr>
              <w:jc w:val="center"/>
              <w:rPr>
                <w:rFonts w:cs="Arial"/>
                <w:szCs w:val="20"/>
              </w:rPr>
            </w:pPr>
            <w:r w:rsidRPr="00A41075">
              <w:rPr>
                <w:rFonts w:eastAsia="Times New Roman" w:cs="Arial"/>
                <w:color w:val="000000"/>
                <w:szCs w:val="20"/>
                <w:lang w:eastAsia="zh-CN"/>
              </w:rPr>
              <w:t>P value</w:t>
            </w:r>
          </w:p>
        </w:tc>
      </w:tr>
      <w:tr w:rsidR="008417A4" w:rsidRPr="00C2631D" w14:paraId="44781BCD" w14:textId="77777777" w:rsidTr="00613C92">
        <w:trPr>
          <w:trHeight w:val="20"/>
        </w:trPr>
        <w:tc>
          <w:tcPr>
            <w:tcW w:w="1818" w:type="dxa"/>
            <w:shd w:val="clear" w:color="auto" w:fill="auto"/>
            <w:noWrap/>
            <w:vAlign w:val="bottom"/>
            <w:hideMark/>
          </w:tcPr>
          <w:p w14:paraId="4398B8D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MBURv2_160244</w:t>
            </w:r>
          </w:p>
        </w:tc>
        <w:tc>
          <w:tcPr>
            <w:tcW w:w="900" w:type="dxa"/>
            <w:shd w:val="clear" w:color="auto" w:fill="auto"/>
            <w:noWrap/>
            <w:vAlign w:val="bottom"/>
            <w:hideMark/>
          </w:tcPr>
          <w:p w14:paraId="54F7A3A9"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rpe</w:t>
            </w:r>
            <w:proofErr w:type="spellEnd"/>
          </w:p>
        </w:tc>
        <w:tc>
          <w:tcPr>
            <w:tcW w:w="6660" w:type="dxa"/>
            <w:shd w:val="clear" w:color="auto" w:fill="auto"/>
            <w:noWrap/>
            <w:vAlign w:val="bottom"/>
            <w:hideMark/>
          </w:tcPr>
          <w:p w14:paraId="3B4E73E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D-ribulose-5-phosphate 3-epimerase</w:t>
            </w:r>
          </w:p>
        </w:tc>
        <w:tc>
          <w:tcPr>
            <w:tcW w:w="1350" w:type="dxa"/>
            <w:shd w:val="clear" w:color="auto" w:fill="auto"/>
            <w:noWrap/>
            <w:vAlign w:val="center"/>
            <w:hideMark/>
          </w:tcPr>
          <w:p w14:paraId="4BC0E870" w14:textId="77777777" w:rsidR="008417A4" w:rsidRPr="00C2631D" w:rsidRDefault="008417A4" w:rsidP="00613C92">
            <w:pPr>
              <w:jc w:val="center"/>
              <w:rPr>
                <w:rFonts w:eastAsia="Times New Roman" w:cs="Arial"/>
                <w:color w:val="000000"/>
                <w:szCs w:val="20"/>
                <w:lang w:eastAsia="zh-CN"/>
              </w:rPr>
            </w:pPr>
            <w:r w:rsidRPr="00C2631D">
              <w:rPr>
                <w:rFonts w:cs="Arial"/>
                <w:szCs w:val="20"/>
              </w:rPr>
              <w:t>1.25</w:t>
            </w:r>
          </w:p>
        </w:tc>
        <w:tc>
          <w:tcPr>
            <w:tcW w:w="1710" w:type="dxa"/>
            <w:shd w:val="clear" w:color="auto" w:fill="auto"/>
            <w:noWrap/>
            <w:vAlign w:val="center"/>
            <w:hideMark/>
          </w:tcPr>
          <w:p w14:paraId="42A1FF22" w14:textId="77777777" w:rsidR="008417A4" w:rsidRPr="00C2631D" w:rsidRDefault="008417A4" w:rsidP="00D40990">
            <w:pPr>
              <w:spacing w:line="240" w:lineRule="auto"/>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5BC58B26"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797A754" w14:textId="77777777" w:rsidTr="00613C92">
        <w:trPr>
          <w:trHeight w:val="20"/>
        </w:trPr>
        <w:tc>
          <w:tcPr>
            <w:tcW w:w="1818" w:type="dxa"/>
            <w:shd w:val="clear" w:color="auto" w:fill="auto"/>
            <w:noWrap/>
            <w:vAlign w:val="bottom"/>
            <w:hideMark/>
          </w:tcPr>
          <w:p w14:paraId="4ECF6FF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MBURv2_210071</w:t>
            </w:r>
          </w:p>
        </w:tc>
        <w:tc>
          <w:tcPr>
            <w:tcW w:w="900" w:type="dxa"/>
            <w:shd w:val="clear" w:color="auto" w:fill="auto"/>
            <w:noWrap/>
            <w:vAlign w:val="bottom"/>
            <w:hideMark/>
          </w:tcPr>
          <w:p w14:paraId="0708726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oadB</w:t>
            </w:r>
            <w:proofErr w:type="spellEnd"/>
          </w:p>
        </w:tc>
        <w:tc>
          <w:tcPr>
            <w:tcW w:w="6660" w:type="dxa"/>
            <w:shd w:val="clear" w:color="auto" w:fill="auto"/>
            <w:noWrap/>
            <w:vAlign w:val="bottom"/>
            <w:hideMark/>
          </w:tcPr>
          <w:p w14:paraId="6A19174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putative oxaloacetate decarboxylase beta chain</w:t>
            </w:r>
          </w:p>
        </w:tc>
        <w:tc>
          <w:tcPr>
            <w:tcW w:w="1350" w:type="dxa"/>
            <w:shd w:val="clear" w:color="auto" w:fill="auto"/>
            <w:noWrap/>
            <w:vAlign w:val="center"/>
            <w:hideMark/>
          </w:tcPr>
          <w:p w14:paraId="5F9E09E7" w14:textId="77777777" w:rsidR="008417A4" w:rsidRPr="00C2631D" w:rsidRDefault="008417A4" w:rsidP="00613C92">
            <w:pPr>
              <w:jc w:val="center"/>
              <w:rPr>
                <w:rFonts w:eastAsia="Times New Roman" w:cs="Arial"/>
                <w:color w:val="000000"/>
                <w:szCs w:val="20"/>
                <w:lang w:eastAsia="zh-CN"/>
              </w:rPr>
            </w:pPr>
            <w:r w:rsidRPr="00C2631D">
              <w:rPr>
                <w:rFonts w:cs="Arial"/>
                <w:szCs w:val="20"/>
              </w:rPr>
              <w:t>1.37</w:t>
            </w:r>
          </w:p>
        </w:tc>
        <w:tc>
          <w:tcPr>
            <w:tcW w:w="1710" w:type="dxa"/>
            <w:shd w:val="clear" w:color="auto" w:fill="auto"/>
            <w:noWrap/>
            <w:vAlign w:val="center"/>
            <w:hideMark/>
          </w:tcPr>
          <w:p w14:paraId="4CEED555" w14:textId="77777777" w:rsidR="008417A4" w:rsidRPr="00C2631D" w:rsidRDefault="008417A4" w:rsidP="00D40990">
            <w:pPr>
              <w:spacing w:line="240" w:lineRule="auto"/>
              <w:jc w:val="center"/>
              <w:rPr>
                <w:rFonts w:eastAsia="Times New Roman" w:cs="Arial"/>
                <w:color w:val="000000"/>
                <w:szCs w:val="20"/>
                <w:lang w:eastAsia="zh-CN"/>
              </w:rPr>
            </w:pPr>
            <w:r>
              <w:rPr>
                <w:rFonts w:cs="Arial"/>
                <w:szCs w:val="20"/>
              </w:rPr>
              <w:t>C3-C4 interconversion</w:t>
            </w:r>
          </w:p>
        </w:tc>
        <w:tc>
          <w:tcPr>
            <w:tcW w:w="738" w:type="dxa"/>
            <w:shd w:val="clear" w:color="auto" w:fill="auto"/>
            <w:noWrap/>
            <w:vAlign w:val="center"/>
            <w:hideMark/>
          </w:tcPr>
          <w:p w14:paraId="017B05B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155887F9" w14:textId="77777777" w:rsidTr="00613C92">
        <w:trPr>
          <w:trHeight w:val="20"/>
        </w:trPr>
        <w:tc>
          <w:tcPr>
            <w:tcW w:w="1818" w:type="dxa"/>
            <w:shd w:val="clear" w:color="auto" w:fill="auto"/>
            <w:noWrap/>
            <w:vAlign w:val="bottom"/>
            <w:hideMark/>
          </w:tcPr>
          <w:p w14:paraId="3FFB3DE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MBURv2_130012</w:t>
            </w:r>
          </w:p>
        </w:tc>
        <w:tc>
          <w:tcPr>
            <w:tcW w:w="900" w:type="dxa"/>
            <w:shd w:val="clear" w:color="auto" w:fill="auto"/>
            <w:noWrap/>
            <w:vAlign w:val="bottom"/>
            <w:hideMark/>
          </w:tcPr>
          <w:p w14:paraId="2482739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pdhB</w:t>
            </w:r>
            <w:proofErr w:type="spellEnd"/>
          </w:p>
        </w:tc>
        <w:tc>
          <w:tcPr>
            <w:tcW w:w="6660" w:type="dxa"/>
            <w:shd w:val="clear" w:color="auto" w:fill="auto"/>
            <w:noWrap/>
            <w:vAlign w:val="bottom"/>
            <w:hideMark/>
          </w:tcPr>
          <w:p w14:paraId="3B98B222" w14:textId="77777777" w:rsidR="008417A4" w:rsidRPr="00C2631D" w:rsidRDefault="008417A4" w:rsidP="00D40990">
            <w:pPr>
              <w:spacing w:line="240" w:lineRule="auto"/>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 xml:space="preserve">yruvate dehydrogenase E2 component; </w:t>
            </w:r>
            <w:proofErr w:type="spellStart"/>
            <w:r w:rsidRPr="00C2631D">
              <w:rPr>
                <w:rFonts w:eastAsia="Times New Roman" w:cs="Arial"/>
                <w:color w:val="000000"/>
                <w:szCs w:val="20"/>
                <w:lang w:eastAsia="zh-CN"/>
              </w:rPr>
              <w:t>dihydrolipoamide</w:t>
            </w:r>
            <w:proofErr w:type="spellEnd"/>
            <w:r w:rsidRPr="00C2631D">
              <w:rPr>
                <w:rFonts w:eastAsia="Times New Roman" w:cs="Arial"/>
                <w:color w:val="000000"/>
                <w:szCs w:val="20"/>
                <w:lang w:eastAsia="zh-CN"/>
              </w:rPr>
              <w:t xml:space="preserve"> acetyltransferase</w:t>
            </w:r>
          </w:p>
        </w:tc>
        <w:tc>
          <w:tcPr>
            <w:tcW w:w="1350" w:type="dxa"/>
            <w:shd w:val="clear" w:color="auto" w:fill="auto"/>
            <w:noWrap/>
            <w:vAlign w:val="center"/>
            <w:hideMark/>
          </w:tcPr>
          <w:p w14:paraId="6BF6931F"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1.41</w:t>
            </w:r>
          </w:p>
        </w:tc>
        <w:tc>
          <w:tcPr>
            <w:tcW w:w="1710" w:type="dxa"/>
            <w:shd w:val="clear" w:color="auto" w:fill="auto"/>
            <w:noWrap/>
            <w:vAlign w:val="center"/>
            <w:hideMark/>
          </w:tcPr>
          <w:p w14:paraId="6D77051E" w14:textId="77777777" w:rsidR="008417A4" w:rsidRPr="00C2631D" w:rsidRDefault="008417A4" w:rsidP="00D40990">
            <w:pPr>
              <w:spacing w:line="240" w:lineRule="auto"/>
              <w:jc w:val="center"/>
              <w:rPr>
                <w:rFonts w:eastAsia="Times New Roman" w:cs="Arial"/>
                <w:color w:val="000000"/>
                <w:szCs w:val="20"/>
                <w:lang w:eastAsia="zh-CN"/>
              </w:rPr>
            </w:pPr>
            <w:r>
              <w:rPr>
                <w:rFonts w:eastAsia="Times New Roman" w:cs="Arial"/>
                <w:color w:val="000000"/>
                <w:szCs w:val="20"/>
                <w:lang w:eastAsia="zh-CN"/>
              </w:rPr>
              <w:t>pyruvate metabolism</w:t>
            </w:r>
          </w:p>
        </w:tc>
        <w:tc>
          <w:tcPr>
            <w:tcW w:w="738" w:type="dxa"/>
            <w:shd w:val="clear" w:color="auto" w:fill="auto"/>
            <w:noWrap/>
            <w:vAlign w:val="center"/>
            <w:hideMark/>
          </w:tcPr>
          <w:p w14:paraId="0A0C4FA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0.04</w:t>
            </w:r>
          </w:p>
        </w:tc>
      </w:tr>
      <w:tr w:rsidR="008417A4" w:rsidRPr="00C2631D" w14:paraId="548785D8" w14:textId="77777777" w:rsidTr="00613C92">
        <w:trPr>
          <w:trHeight w:val="20"/>
        </w:trPr>
        <w:tc>
          <w:tcPr>
            <w:tcW w:w="1818" w:type="dxa"/>
            <w:shd w:val="clear" w:color="auto" w:fill="auto"/>
            <w:noWrap/>
            <w:vAlign w:val="bottom"/>
            <w:hideMark/>
          </w:tcPr>
          <w:p w14:paraId="006507D2"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MBURv2_130389</w:t>
            </w:r>
          </w:p>
        </w:tc>
        <w:tc>
          <w:tcPr>
            <w:tcW w:w="900" w:type="dxa"/>
            <w:shd w:val="clear" w:color="auto" w:fill="auto"/>
            <w:noWrap/>
            <w:vAlign w:val="bottom"/>
            <w:hideMark/>
          </w:tcPr>
          <w:p w14:paraId="3EE9A4C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w:t>
            </w:r>
            <w:proofErr w:type="spellEnd"/>
          </w:p>
        </w:tc>
        <w:tc>
          <w:tcPr>
            <w:tcW w:w="6660" w:type="dxa"/>
            <w:shd w:val="clear" w:color="auto" w:fill="auto"/>
            <w:noWrap/>
            <w:vAlign w:val="bottom"/>
            <w:hideMark/>
          </w:tcPr>
          <w:p w14:paraId="24636DE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succinyl</w:t>
            </w:r>
            <w:proofErr w:type="spellEnd"/>
            <w:r w:rsidRPr="00C2631D">
              <w:rPr>
                <w:rFonts w:eastAsia="Times New Roman" w:cs="Arial"/>
                <w:color w:val="000000"/>
                <w:szCs w:val="20"/>
                <w:lang w:eastAsia="zh-CN"/>
              </w:rPr>
              <w:t xml:space="preserve">-CoA </w:t>
            </w:r>
            <w:proofErr w:type="spellStart"/>
            <w:r w:rsidRPr="00C2631D">
              <w:rPr>
                <w:rFonts w:eastAsia="Times New Roman" w:cs="Arial"/>
                <w:color w:val="000000"/>
                <w:szCs w:val="20"/>
                <w:lang w:eastAsia="zh-CN"/>
              </w:rPr>
              <w:t>synthetase</w:t>
            </w:r>
            <w:proofErr w:type="spellEnd"/>
            <w:r w:rsidRPr="00C2631D">
              <w:rPr>
                <w:rFonts w:eastAsia="Times New Roman" w:cs="Arial"/>
                <w:color w:val="000000"/>
                <w:szCs w:val="20"/>
                <w:lang w:eastAsia="zh-CN"/>
              </w:rPr>
              <w:t>, beta subunit</w:t>
            </w:r>
          </w:p>
        </w:tc>
        <w:tc>
          <w:tcPr>
            <w:tcW w:w="1350" w:type="dxa"/>
            <w:shd w:val="clear" w:color="auto" w:fill="auto"/>
            <w:noWrap/>
            <w:vAlign w:val="center"/>
            <w:hideMark/>
          </w:tcPr>
          <w:p w14:paraId="157C8965"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1.46</w:t>
            </w:r>
          </w:p>
        </w:tc>
        <w:tc>
          <w:tcPr>
            <w:tcW w:w="1710" w:type="dxa"/>
            <w:shd w:val="clear" w:color="auto" w:fill="auto"/>
            <w:noWrap/>
            <w:vAlign w:val="center"/>
            <w:hideMark/>
          </w:tcPr>
          <w:p w14:paraId="65AFA3EF"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1E30E3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A8C144C" w14:textId="77777777" w:rsidTr="00613C92">
        <w:trPr>
          <w:trHeight w:val="20"/>
        </w:trPr>
        <w:tc>
          <w:tcPr>
            <w:tcW w:w="1818" w:type="dxa"/>
            <w:shd w:val="clear" w:color="auto" w:fill="auto"/>
            <w:noWrap/>
            <w:vAlign w:val="bottom"/>
            <w:hideMark/>
          </w:tcPr>
          <w:p w14:paraId="6E26832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MBURv2_130008</w:t>
            </w:r>
          </w:p>
        </w:tc>
        <w:tc>
          <w:tcPr>
            <w:tcW w:w="900" w:type="dxa"/>
            <w:shd w:val="clear" w:color="auto" w:fill="auto"/>
            <w:noWrap/>
            <w:vAlign w:val="bottom"/>
            <w:hideMark/>
          </w:tcPr>
          <w:p w14:paraId="5682B7F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edd</w:t>
            </w:r>
          </w:p>
        </w:tc>
        <w:tc>
          <w:tcPr>
            <w:tcW w:w="6660" w:type="dxa"/>
            <w:shd w:val="clear" w:color="auto" w:fill="auto"/>
            <w:noWrap/>
            <w:vAlign w:val="bottom"/>
            <w:hideMark/>
          </w:tcPr>
          <w:p w14:paraId="6FD8C3D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6-phosphogluconate dehydratase</w:t>
            </w:r>
          </w:p>
        </w:tc>
        <w:tc>
          <w:tcPr>
            <w:tcW w:w="1350" w:type="dxa"/>
            <w:shd w:val="clear" w:color="auto" w:fill="auto"/>
            <w:noWrap/>
            <w:vAlign w:val="center"/>
            <w:hideMark/>
          </w:tcPr>
          <w:p w14:paraId="69DEF184" w14:textId="77777777" w:rsidR="008417A4" w:rsidRPr="00C2631D" w:rsidRDefault="008417A4" w:rsidP="00613C92">
            <w:pPr>
              <w:jc w:val="center"/>
              <w:rPr>
                <w:rFonts w:eastAsia="Times New Roman" w:cs="Arial"/>
                <w:color w:val="000000"/>
                <w:szCs w:val="20"/>
                <w:lang w:eastAsia="zh-CN"/>
              </w:rPr>
            </w:pPr>
            <w:r w:rsidRPr="00C2631D">
              <w:rPr>
                <w:rFonts w:cs="Arial"/>
                <w:szCs w:val="20"/>
              </w:rPr>
              <w:t>1.49</w:t>
            </w:r>
          </w:p>
        </w:tc>
        <w:tc>
          <w:tcPr>
            <w:tcW w:w="1710" w:type="dxa"/>
            <w:shd w:val="clear" w:color="auto" w:fill="auto"/>
            <w:noWrap/>
            <w:vAlign w:val="center"/>
            <w:hideMark/>
          </w:tcPr>
          <w:p w14:paraId="28E434F0" w14:textId="77777777" w:rsidR="008417A4" w:rsidRPr="00C2631D" w:rsidRDefault="008417A4" w:rsidP="00613C92">
            <w:pPr>
              <w:jc w:val="center"/>
              <w:rPr>
                <w:rFonts w:eastAsia="Times New Roman" w:cs="Arial"/>
                <w:color w:val="000000"/>
                <w:szCs w:val="20"/>
                <w:lang w:eastAsia="zh-CN"/>
              </w:rPr>
            </w:pPr>
            <w:r>
              <w:rPr>
                <w:rFonts w:cs="Arial"/>
                <w:szCs w:val="20"/>
              </w:rPr>
              <w:t>ED pathway</w:t>
            </w:r>
          </w:p>
        </w:tc>
        <w:tc>
          <w:tcPr>
            <w:tcW w:w="738" w:type="dxa"/>
            <w:shd w:val="clear" w:color="auto" w:fill="auto"/>
            <w:noWrap/>
            <w:vAlign w:val="center"/>
            <w:hideMark/>
          </w:tcPr>
          <w:p w14:paraId="55CFA8D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0.03</w:t>
            </w:r>
          </w:p>
        </w:tc>
      </w:tr>
      <w:tr w:rsidR="008417A4" w:rsidRPr="00C2631D" w14:paraId="6BB234C7" w14:textId="77777777" w:rsidTr="00613C92">
        <w:trPr>
          <w:trHeight w:val="20"/>
        </w:trPr>
        <w:tc>
          <w:tcPr>
            <w:tcW w:w="1818" w:type="dxa"/>
            <w:shd w:val="clear" w:color="auto" w:fill="auto"/>
            <w:noWrap/>
          </w:tcPr>
          <w:p w14:paraId="0AF36E32" w14:textId="77777777" w:rsidR="008417A4" w:rsidRPr="00C2631D" w:rsidRDefault="008417A4" w:rsidP="00613C92">
            <w:pPr>
              <w:jc w:val="both"/>
              <w:rPr>
                <w:rFonts w:eastAsia="Times New Roman" w:cs="Arial"/>
                <w:color w:val="000000"/>
                <w:szCs w:val="20"/>
                <w:lang w:eastAsia="zh-CN"/>
              </w:rPr>
            </w:pPr>
            <w:r w:rsidRPr="00BF06DF">
              <w:rPr>
                <w:rFonts w:eastAsia="Times New Roman" w:cs="Arial"/>
                <w:color w:val="000000"/>
                <w:szCs w:val="20"/>
                <w:lang w:eastAsia="zh-CN"/>
              </w:rPr>
              <w:t>MBURv2_130009</w:t>
            </w:r>
          </w:p>
        </w:tc>
        <w:tc>
          <w:tcPr>
            <w:tcW w:w="900" w:type="dxa"/>
            <w:shd w:val="clear" w:color="auto" w:fill="auto"/>
            <w:noWrap/>
          </w:tcPr>
          <w:p w14:paraId="37D72BB0" w14:textId="77777777" w:rsidR="008417A4" w:rsidRPr="00C2631D" w:rsidRDefault="008417A4" w:rsidP="00613C92">
            <w:pPr>
              <w:jc w:val="both"/>
              <w:rPr>
                <w:rFonts w:eastAsia="Times New Roman" w:cs="Arial"/>
                <w:color w:val="000000"/>
                <w:szCs w:val="20"/>
                <w:lang w:eastAsia="zh-CN"/>
              </w:rPr>
            </w:pPr>
            <w:proofErr w:type="spellStart"/>
            <w:r w:rsidRPr="00BF06DF">
              <w:rPr>
                <w:rFonts w:eastAsia="Times New Roman" w:cs="Arial"/>
                <w:color w:val="000000"/>
                <w:szCs w:val="20"/>
                <w:lang w:eastAsia="zh-CN"/>
              </w:rPr>
              <w:t>eda</w:t>
            </w:r>
            <w:proofErr w:type="spellEnd"/>
          </w:p>
        </w:tc>
        <w:tc>
          <w:tcPr>
            <w:tcW w:w="6660" w:type="dxa"/>
            <w:shd w:val="clear" w:color="auto" w:fill="auto"/>
            <w:noWrap/>
          </w:tcPr>
          <w:p w14:paraId="54B3C944" w14:textId="6260AF09" w:rsidR="008417A4" w:rsidRPr="00C2631D" w:rsidRDefault="008417A4" w:rsidP="00D40990">
            <w:pPr>
              <w:spacing w:line="240" w:lineRule="auto"/>
              <w:jc w:val="both"/>
              <w:rPr>
                <w:rFonts w:eastAsia="Times New Roman" w:cs="Arial"/>
                <w:color w:val="000000"/>
                <w:szCs w:val="20"/>
                <w:lang w:eastAsia="zh-CN"/>
              </w:rPr>
            </w:pPr>
            <w:r w:rsidRPr="00BF06DF">
              <w:rPr>
                <w:rFonts w:eastAsia="Times New Roman" w:cs="Arial"/>
                <w:color w:val="000000"/>
                <w:szCs w:val="20"/>
                <w:lang w:eastAsia="zh-CN"/>
              </w:rPr>
              <w:t>multifunctional 2-keto-3-deoxygluconate 6-phosphate aldolase and 2-keto-4-hydroxyglutarate aldolase and oxaloacetate decarboxyla</w:t>
            </w:r>
            <w:r w:rsidR="00D40990">
              <w:rPr>
                <w:rFonts w:eastAsia="Times New Roman" w:cs="Arial"/>
                <w:color w:val="000000"/>
                <w:szCs w:val="20"/>
                <w:lang w:eastAsia="zh-CN"/>
              </w:rPr>
              <w:t>se</w:t>
            </w:r>
          </w:p>
        </w:tc>
        <w:tc>
          <w:tcPr>
            <w:tcW w:w="1350" w:type="dxa"/>
            <w:shd w:val="clear" w:color="auto" w:fill="auto"/>
            <w:noWrap/>
          </w:tcPr>
          <w:p w14:paraId="103D16BD" w14:textId="77777777" w:rsidR="008417A4" w:rsidRPr="00BF06DF" w:rsidRDefault="008417A4" w:rsidP="00613C92">
            <w:pPr>
              <w:jc w:val="center"/>
              <w:rPr>
                <w:rFonts w:eastAsia="Times New Roman" w:cs="Arial"/>
                <w:color w:val="000000"/>
                <w:szCs w:val="20"/>
                <w:lang w:eastAsia="zh-CN"/>
              </w:rPr>
            </w:pPr>
            <w:r>
              <w:rPr>
                <w:rFonts w:eastAsia="Times New Roman" w:cs="Arial"/>
                <w:color w:val="000000"/>
                <w:szCs w:val="20"/>
                <w:lang w:eastAsia="zh-CN"/>
              </w:rPr>
              <w:t>1.30</w:t>
            </w:r>
          </w:p>
        </w:tc>
        <w:tc>
          <w:tcPr>
            <w:tcW w:w="1710" w:type="dxa"/>
            <w:shd w:val="clear" w:color="auto" w:fill="auto"/>
            <w:noWrap/>
          </w:tcPr>
          <w:p w14:paraId="129E0CC1" w14:textId="77777777" w:rsidR="008417A4" w:rsidRPr="00BF06DF" w:rsidRDefault="008417A4" w:rsidP="00613C92">
            <w:pPr>
              <w:jc w:val="center"/>
              <w:rPr>
                <w:rFonts w:eastAsia="Times New Roman" w:cs="Arial"/>
                <w:color w:val="000000"/>
                <w:szCs w:val="20"/>
                <w:lang w:eastAsia="zh-CN"/>
              </w:rPr>
            </w:pPr>
            <w:r>
              <w:rPr>
                <w:rFonts w:eastAsia="Times New Roman" w:cs="Arial"/>
                <w:color w:val="000000"/>
                <w:szCs w:val="20"/>
                <w:lang w:eastAsia="zh-CN"/>
              </w:rPr>
              <w:t>ED pathway</w:t>
            </w:r>
          </w:p>
        </w:tc>
        <w:tc>
          <w:tcPr>
            <w:tcW w:w="738" w:type="dxa"/>
            <w:shd w:val="clear" w:color="auto" w:fill="auto"/>
            <w:noWrap/>
          </w:tcPr>
          <w:p w14:paraId="545C1583" w14:textId="77777777" w:rsidR="008417A4" w:rsidRPr="00BF06DF" w:rsidRDefault="008417A4" w:rsidP="00613C92">
            <w:pPr>
              <w:jc w:val="center"/>
              <w:rPr>
                <w:rFonts w:eastAsia="Times New Roman" w:cs="Arial"/>
                <w:color w:val="000000"/>
                <w:szCs w:val="20"/>
                <w:lang w:eastAsia="zh-CN"/>
              </w:rPr>
            </w:pPr>
            <w:r w:rsidRPr="00BF06DF">
              <w:rPr>
                <w:rFonts w:eastAsia="Times New Roman" w:cs="Arial"/>
                <w:color w:val="000000"/>
                <w:szCs w:val="20"/>
                <w:lang w:eastAsia="zh-CN"/>
              </w:rPr>
              <w:t>0.0</w:t>
            </w:r>
            <w:r>
              <w:rPr>
                <w:rFonts w:eastAsia="Times New Roman" w:cs="Arial"/>
                <w:color w:val="000000"/>
                <w:szCs w:val="20"/>
                <w:lang w:eastAsia="zh-CN"/>
              </w:rPr>
              <w:t>5</w:t>
            </w:r>
          </w:p>
        </w:tc>
      </w:tr>
      <w:tr w:rsidR="008417A4" w:rsidRPr="00C2631D" w14:paraId="0E9F3F59" w14:textId="77777777" w:rsidTr="00613C92">
        <w:trPr>
          <w:trHeight w:val="20"/>
        </w:trPr>
        <w:tc>
          <w:tcPr>
            <w:tcW w:w="1818" w:type="dxa"/>
            <w:shd w:val="clear" w:color="auto" w:fill="auto"/>
            <w:noWrap/>
            <w:vAlign w:val="bottom"/>
            <w:hideMark/>
          </w:tcPr>
          <w:p w14:paraId="2E9FAF9A"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MBURv2_130011</w:t>
            </w:r>
          </w:p>
        </w:tc>
        <w:tc>
          <w:tcPr>
            <w:tcW w:w="900" w:type="dxa"/>
            <w:shd w:val="clear" w:color="auto" w:fill="auto"/>
            <w:noWrap/>
            <w:vAlign w:val="bottom"/>
            <w:hideMark/>
          </w:tcPr>
          <w:p w14:paraId="3F2083C8"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aceE</w:t>
            </w:r>
            <w:proofErr w:type="spellEnd"/>
          </w:p>
        </w:tc>
        <w:tc>
          <w:tcPr>
            <w:tcW w:w="6660" w:type="dxa"/>
            <w:shd w:val="clear" w:color="auto" w:fill="auto"/>
            <w:noWrap/>
            <w:vAlign w:val="bottom"/>
            <w:hideMark/>
          </w:tcPr>
          <w:p w14:paraId="5D6C6B84"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pyruvate dehydrogenase, decarboxylase component E1, thiamin-binding</w:t>
            </w:r>
          </w:p>
        </w:tc>
        <w:tc>
          <w:tcPr>
            <w:tcW w:w="1350" w:type="dxa"/>
            <w:shd w:val="clear" w:color="auto" w:fill="auto"/>
            <w:noWrap/>
            <w:vAlign w:val="center"/>
            <w:hideMark/>
          </w:tcPr>
          <w:p w14:paraId="23659B52" w14:textId="77777777" w:rsidR="008417A4" w:rsidRPr="00C2631D" w:rsidRDefault="008417A4" w:rsidP="00613C92">
            <w:pPr>
              <w:jc w:val="center"/>
              <w:rPr>
                <w:rFonts w:eastAsia="Times New Roman" w:cs="Arial"/>
                <w:color w:val="000000"/>
                <w:szCs w:val="20"/>
                <w:lang w:eastAsia="zh-CN"/>
              </w:rPr>
            </w:pPr>
            <w:r w:rsidRPr="00C2631D">
              <w:rPr>
                <w:rFonts w:cs="Arial"/>
                <w:szCs w:val="20"/>
              </w:rPr>
              <w:t>1.51</w:t>
            </w:r>
          </w:p>
        </w:tc>
        <w:tc>
          <w:tcPr>
            <w:tcW w:w="1710" w:type="dxa"/>
            <w:shd w:val="clear" w:color="auto" w:fill="auto"/>
            <w:noWrap/>
            <w:vAlign w:val="center"/>
            <w:hideMark/>
          </w:tcPr>
          <w:p w14:paraId="0C044FA4" w14:textId="77777777" w:rsidR="008417A4" w:rsidRPr="00C2631D" w:rsidRDefault="008417A4" w:rsidP="006E322E">
            <w:pPr>
              <w:spacing w:line="240" w:lineRule="auto"/>
              <w:jc w:val="center"/>
              <w:rPr>
                <w:rFonts w:eastAsia="Times New Roman" w:cs="Arial"/>
                <w:color w:val="000000"/>
                <w:szCs w:val="20"/>
                <w:lang w:eastAsia="zh-CN"/>
              </w:rPr>
            </w:pPr>
            <w:r>
              <w:rPr>
                <w:rFonts w:eastAsia="Times New Roman" w:cs="Arial"/>
                <w:color w:val="000000"/>
                <w:szCs w:val="20"/>
                <w:lang w:eastAsia="zh-CN"/>
              </w:rPr>
              <w:t>pyruvate metabolism</w:t>
            </w:r>
          </w:p>
        </w:tc>
        <w:tc>
          <w:tcPr>
            <w:tcW w:w="738" w:type="dxa"/>
            <w:shd w:val="clear" w:color="auto" w:fill="auto"/>
            <w:noWrap/>
            <w:vAlign w:val="center"/>
            <w:hideMark/>
          </w:tcPr>
          <w:p w14:paraId="1C6FF88F"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050EE347" w14:textId="77777777" w:rsidTr="00613C92">
        <w:trPr>
          <w:trHeight w:val="20"/>
        </w:trPr>
        <w:tc>
          <w:tcPr>
            <w:tcW w:w="1818" w:type="dxa"/>
            <w:shd w:val="clear" w:color="auto" w:fill="auto"/>
            <w:noWrap/>
            <w:vAlign w:val="bottom"/>
          </w:tcPr>
          <w:p w14:paraId="0E4DF20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MBURv2_130313</w:t>
            </w:r>
          </w:p>
        </w:tc>
        <w:tc>
          <w:tcPr>
            <w:tcW w:w="900" w:type="dxa"/>
            <w:shd w:val="clear" w:color="auto" w:fill="auto"/>
            <w:noWrap/>
            <w:vAlign w:val="bottom"/>
          </w:tcPr>
          <w:p w14:paraId="5F4BC9D1"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glyA</w:t>
            </w:r>
            <w:proofErr w:type="spellEnd"/>
          </w:p>
        </w:tc>
        <w:tc>
          <w:tcPr>
            <w:tcW w:w="6660" w:type="dxa"/>
            <w:shd w:val="clear" w:color="auto" w:fill="auto"/>
            <w:noWrap/>
            <w:vAlign w:val="bottom"/>
          </w:tcPr>
          <w:p w14:paraId="798A42BF"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 xml:space="preserve">serine </w:t>
            </w:r>
            <w:proofErr w:type="spellStart"/>
            <w:r w:rsidRPr="00C2631D">
              <w:rPr>
                <w:rFonts w:eastAsia="Times New Roman" w:cs="Arial"/>
                <w:color w:val="000000"/>
                <w:szCs w:val="20"/>
                <w:lang w:eastAsia="zh-CN"/>
              </w:rPr>
              <w:t>hydroxymethyltransferase</w:t>
            </w:r>
            <w:proofErr w:type="spellEnd"/>
          </w:p>
        </w:tc>
        <w:tc>
          <w:tcPr>
            <w:tcW w:w="1350" w:type="dxa"/>
            <w:shd w:val="clear" w:color="auto" w:fill="auto"/>
            <w:noWrap/>
            <w:vAlign w:val="center"/>
          </w:tcPr>
          <w:p w14:paraId="482F81D6" w14:textId="77777777" w:rsidR="008417A4" w:rsidRPr="00C2631D" w:rsidRDefault="008417A4" w:rsidP="00613C92">
            <w:pPr>
              <w:jc w:val="center"/>
              <w:rPr>
                <w:rFonts w:cs="Arial"/>
                <w:szCs w:val="20"/>
              </w:rPr>
            </w:pPr>
            <w:r w:rsidRPr="00C2631D">
              <w:rPr>
                <w:rFonts w:cs="Arial"/>
                <w:szCs w:val="20"/>
              </w:rPr>
              <w:t>1.59</w:t>
            </w:r>
          </w:p>
        </w:tc>
        <w:tc>
          <w:tcPr>
            <w:tcW w:w="1710" w:type="dxa"/>
            <w:shd w:val="clear" w:color="auto" w:fill="auto"/>
            <w:noWrap/>
            <w:vAlign w:val="center"/>
          </w:tcPr>
          <w:p w14:paraId="6194D086" w14:textId="77777777" w:rsidR="008417A4" w:rsidRPr="00C2631D" w:rsidRDefault="008417A4" w:rsidP="00613C92">
            <w:pPr>
              <w:jc w:val="center"/>
              <w:rPr>
                <w:rFonts w:cs="Arial"/>
                <w:szCs w:val="20"/>
              </w:rPr>
            </w:pPr>
            <w:r>
              <w:rPr>
                <w:rFonts w:cs="Arial"/>
                <w:szCs w:val="20"/>
              </w:rPr>
              <w:t>serine cycle</w:t>
            </w:r>
          </w:p>
        </w:tc>
        <w:tc>
          <w:tcPr>
            <w:tcW w:w="738" w:type="dxa"/>
            <w:shd w:val="clear" w:color="auto" w:fill="auto"/>
            <w:noWrap/>
            <w:vAlign w:val="center"/>
          </w:tcPr>
          <w:p w14:paraId="25108018" w14:textId="77777777" w:rsidR="008417A4" w:rsidRPr="00C2631D" w:rsidRDefault="008417A4" w:rsidP="00613C92">
            <w:pPr>
              <w:jc w:val="center"/>
              <w:rPr>
                <w:rFonts w:cs="Arial"/>
                <w:szCs w:val="20"/>
              </w:rPr>
            </w:pPr>
            <w:r w:rsidRPr="00C2631D">
              <w:rPr>
                <w:rFonts w:cs="Arial"/>
                <w:szCs w:val="20"/>
              </w:rPr>
              <w:t>0.00</w:t>
            </w:r>
          </w:p>
        </w:tc>
      </w:tr>
      <w:tr w:rsidR="008417A4" w:rsidRPr="00C2631D" w14:paraId="3F0667D3" w14:textId="77777777" w:rsidTr="00613C92">
        <w:trPr>
          <w:trHeight w:val="20"/>
        </w:trPr>
        <w:tc>
          <w:tcPr>
            <w:tcW w:w="1818" w:type="dxa"/>
            <w:shd w:val="clear" w:color="auto" w:fill="auto"/>
            <w:noWrap/>
            <w:vAlign w:val="bottom"/>
            <w:hideMark/>
          </w:tcPr>
          <w:p w14:paraId="2731C401"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lastRenderedPageBreak/>
              <w:t>MBURv2_130401</w:t>
            </w:r>
          </w:p>
        </w:tc>
        <w:tc>
          <w:tcPr>
            <w:tcW w:w="900" w:type="dxa"/>
            <w:shd w:val="clear" w:color="auto" w:fill="auto"/>
            <w:noWrap/>
            <w:vAlign w:val="bottom"/>
            <w:hideMark/>
          </w:tcPr>
          <w:p w14:paraId="3B393075"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pfp</w:t>
            </w:r>
            <w:proofErr w:type="spellEnd"/>
          </w:p>
        </w:tc>
        <w:tc>
          <w:tcPr>
            <w:tcW w:w="6660" w:type="dxa"/>
            <w:shd w:val="clear" w:color="auto" w:fill="auto"/>
            <w:noWrap/>
            <w:vAlign w:val="bottom"/>
            <w:hideMark/>
          </w:tcPr>
          <w:p w14:paraId="1C04C708"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p</w:t>
            </w:r>
            <w:r w:rsidRPr="00C2631D">
              <w:rPr>
                <w:rFonts w:eastAsia="Times New Roman" w:cs="Arial"/>
                <w:color w:val="000000"/>
                <w:szCs w:val="20"/>
                <w:lang w:eastAsia="zh-CN"/>
              </w:rPr>
              <w:t>yrophosphate--fructose 6-phosphate 1-phosphotransferase</w:t>
            </w:r>
          </w:p>
        </w:tc>
        <w:tc>
          <w:tcPr>
            <w:tcW w:w="1350" w:type="dxa"/>
            <w:shd w:val="clear" w:color="auto" w:fill="auto"/>
            <w:noWrap/>
            <w:vAlign w:val="center"/>
            <w:hideMark/>
          </w:tcPr>
          <w:p w14:paraId="7E543F2A" w14:textId="77777777" w:rsidR="008417A4" w:rsidRPr="00C2631D" w:rsidRDefault="008417A4" w:rsidP="00613C92">
            <w:pPr>
              <w:jc w:val="center"/>
              <w:rPr>
                <w:rFonts w:eastAsia="Times New Roman" w:cs="Arial"/>
                <w:color w:val="000000"/>
                <w:szCs w:val="20"/>
                <w:lang w:eastAsia="zh-CN"/>
              </w:rPr>
            </w:pPr>
            <w:r w:rsidRPr="00C2631D">
              <w:rPr>
                <w:rFonts w:cs="Arial"/>
                <w:szCs w:val="20"/>
              </w:rPr>
              <w:t>1.68</w:t>
            </w:r>
          </w:p>
        </w:tc>
        <w:tc>
          <w:tcPr>
            <w:tcW w:w="1710" w:type="dxa"/>
            <w:shd w:val="clear" w:color="auto" w:fill="auto"/>
            <w:noWrap/>
            <w:vAlign w:val="center"/>
            <w:hideMark/>
          </w:tcPr>
          <w:p w14:paraId="0108367B"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331EC8B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164AC433" w14:textId="77777777" w:rsidTr="00613C92">
        <w:trPr>
          <w:trHeight w:val="20"/>
        </w:trPr>
        <w:tc>
          <w:tcPr>
            <w:tcW w:w="1818" w:type="dxa"/>
            <w:shd w:val="clear" w:color="auto" w:fill="auto"/>
            <w:noWrap/>
            <w:vAlign w:val="bottom"/>
            <w:hideMark/>
          </w:tcPr>
          <w:p w14:paraId="73C9E51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MBURv2_210131</w:t>
            </w:r>
          </w:p>
        </w:tc>
        <w:tc>
          <w:tcPr>
            <w:tcW w:w="900" w:type="dxa"/>
            <w:shd w:val="clear" w:color="auto" w:fill="auto"/>
            <w:noWrap/>
            <w:vAlign w:val="bottom"/>
            <w:hideMark/>
          </w:tcPr>
          <w:p w14:paraId="2366F7B4"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pgk</w:t>
            </w:r>
            <w:proofErr w:type="spellEnd"/>
          </w:p>
        </w:tc>
        <w:tc>
          <w:tcPr>
            <w:tcW w:w="6660" w:type="dxa"/>
            <w:shd w:val="clear" w:color="auto" w:fill="auto"/>
            <w:noWrap/>
            <w:vAlign w:val="bottom"/>
            <w:hideMark/>
          </w:tcPr>
          <w:p w14:paraId="4039856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phosphoglycerate kinase</w:t>
            </w:r>
          </w:p>
        </w:tc>
        <w:tc>
          <w:tcPr>
            <w:tcW w:w="1350" w:type="dxa"/>
            <w:shd w:val="clear" w:color="auto" w:fill="auto"/>
            <w:noWrap/>
            <w:vAlign w:val="center"/>
            <w:hideMark/>
          </w:tcPr>
          <w:p w14:paraId="79BF0E5D" w14:textId="77777777" w:rsidR="008417A4" w:rsidRPr="00C2631D" w:rsidRDefault="008417A4" w:rsidP="00613C92">
            <w:pPr>
              <w:jc w:val="center"/>
              <w:rPr>
                <w:rFonts w:eastAsia="Times New Roman" w:cs="Arial"/>
                <w:color w:val="000000"/>
                <w:szCs w:val="20"/>
                <w:lang w:eastAsia="zh-CN"/>
              </w:rPr>
            </w:pPr>
            <w:r w:rsidRPr="00C2631D">
              <w:rPr>
                <w:rFonts w:cs="Arial"/>
                <w:szCs w:val="20"/>
              </w:rPr>
              <w:t>1.68</w:t>
            </w:r>
          </w:p>
        </w:tc>
        <w:tc>
          <w:tcPr>
            <w:tcW w:w="1710" w:type="dxa"/>
            <w:shd w:val="clear" w:color="auto" w:fill="auto"/>
            <w:noWrap/>
            <w:vAlign w:val="center"/>
            <w:hideMark/>
          </w:tcPr>
          <w:p w14:paraId="3196F91A"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07DF22E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25B8FD3D" w14:textId="77777777" w:rsidTr="00613C92">
        <w:trPr>
          <w:trHeight w:val="20"/>
        </w:trPr>
        <w:tc>
          <w:tcPr>
            <w:tcW w:w="1818" w:type="dxa"/>
            <w:shd w:val="clear" w:color="auto" w:fill="auto"/>
            <w:noWrap/>
            <w:vAlign w:val="bottom"/>
            <w:hideMark/>
          </w:tcPr>
          <w:p w14:paraId="4D55888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MBURv2_20405</w:t>
            </w:r>
          </w:p>
        </w:tc>
        <w:tc>
          <w:tcPr>
            <w:tcW w:w="900" w:type="dxa"/>
            <w:shd w:val="clear" w:color="auto" w:fill="auto"/>
            <w:noWrap/>
            <w:vAlign w:val="bottom"/>
            <w:hideMark/>
          </w:tcPr>
          <w:p w14:paraId="656499F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eno</w:t>
            </w:r>
            <w:proofErr w:type="spellEnd"/>
          </w:p>
        </w:tc>
        <w:tc>
          <w:tcPr>
            <w:tcW w:w="6660" w:type="dxa"/>
            <w:shd w:val="clear" w:color="auto" w:fill="auto"/>
            <w:noWrap/>
            <w:vAlign w:val="bottom"/>
            <w:hideMark/>
          </w:tcPr>
          <w:p w14:paraId="5F742FB0"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enolase</w:t>
            </w:r>
          </w:p>
        </w:tc>
        <w:tc>
          <w:tcPr>
            <w:tcW w:w="1350" w:type="dxa"/>
            <w:shd w:val="clear" w:color="auto" w:fill="auto"/>
            <w:noWrap/>
            <w:vAlign w:val="center"/>
            <w:hideMark/>
          </w:tcPr>
          <w:p w14:paraId="0756564C" w14:textId="77777777" w:rsidR="008417A4" w:rsidRPr="00C2631D" w:rsidRDefault="008417A4" w:rsidP="00613C92">
            <w:pPr>
              <w:jc w:val="center"/>
              <w:rPr>
                <w:rFonts w:eastAsia="Times New Roman" w:cs="Arial"/>
                <w:color w:val="000000"/>
                <w:szCs w:val="20"/>
                <w:lang w:eastAsia="zh-CN"/>
              </w:rPr>
            </w:pPr>
            <w:r w:rsidRPr="00C2631D">
              <w:rPr>
                <w:rFonts w:cs="Arial"/>
                <w:szCs w:val="20"/>
              </w:rPr>
              <w:t>1.87</w:t>
            </w:r>
          </w:p>
        </w:tc>
        <w:tc>
          <w:tcPr>
            <w:tcW w:w="1710" w:type="dxa"/>
            <w:shd w:val="clear" w:color="auto" w:fill="auto"/>
            <w:noWrap/>
            <w:vAlign w:val="center"/>
            <w:hideMark/>
          </w:tcPr>
          <w:p w14:paraId="16394F8B"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shd w:val="clear" w:color="auto" w:fill="auto"/>
            <w:noWrap/>
            <w:vAlign w:val="center"/>
            <w:hideMark/>
          </w:tcPr>
          <w:p w14:paraId="2FAD483C"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138AD53E" w14:textId="77777777" w:rsidTr="00613C92">
        <w:trPr>
          <w:trHeight w:val="20"/>
        </w:trPr>
        <w:tc>
          <w:tcPr>
            <w:tcW w:w="1818" w:type="dxa"/>
            <w:shd w:val="clear" w:color="auto" w:fill="auto"/>
            <w:noWrap/>
            <w:vAlign w:val="bottom"/>
            <w:hideMark/>
          </w:tcPr>
          <w:p w14:paraId="44D7E606"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MBURv2_160304</w:t>
            </w:r>
          </w:p>
        </w:tc>
        <w:tc>
          <w:tcPr>
            <w:tcW w:w="900" w:type="dxa"/>
            <w:shd w:val="clear" w:color="auto" w:fill="auto"/>
            <w:noWrap/>
            <w:vAlign w:val="bottom"/>
            <w:hideMark/>
          </w:tcPr>
          <w:p w14:paraId="29A05E5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08508B4D"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14FCABF8"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1.91</w:t>
            </w:r>
          </w:p>
        </w:tc>
        <w:tc>
          <w:tcPr>
            <w:tcW w:w="1710" w:type="dxa"/>
            <w:shd w:val="clear" w:color="auto" w:fill="auto"/>
            <w:noWrap/>
            <w:vAlign w:val="center"/>
            <w:hideMark/>
          </w:tcPr>
          <w:p w14:paraId="3C5DF5E7"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7BAF6A38"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4BA191DB" w14:textId="77777777" w:rsidTr="00613C92">
        <w:trPr>
          <w:trHeight w:val="20"/>
        </w:trPr>
        <w:tc>
          <w:tcPr>
            <w:tcW w:w="1818" w:type="dxa"/>
            <w:shd w:val="clear" w:color="auto" w:fill="auto"/>
            <w:noWrap/>
            <w:vAlign w:val="bottom"/>
            <w:hideMark/>
          </w:tcPr>
          <w:p w14:paraId="5023586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MBURv2_130302</w:t>
            </w:r>
          </w:p>
        </w:tc>
        <w:tc>
          <w:tcPr>
            <w:tcW w:w="900" w:type="dxa"/>
            <w:shd w:val="clear" w:color="auto" w:fill="auto"/>
            <w:noWrap/>
            <w:vAlign w:val="bottom"/>
            <w:hideMark/>
          </w:tcPr>
          <w:p w14:paraId="7703600D"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sgaA</w:t>
            </w:r>
            <w:proofErr w:type="spellEnd"/>
          </w:p>
        </w:tc>
        <w:tc>
          <w:tcPr>
            <w:tcW w:w="6660" w:type="dxa"/>
            <w:shd w:val="clear" w:color="auto" w:fill="auto"/>
            <w:noWrap/>
            <w:vAlign w:val="bottom"/>
            <w:hideMark/>
          </w:tcPr>
          <w:p w14:paraId="5788BD7F" w14:textId="77777777" w:rsidR="008417A4" w:rsidRPr="00C2631D" w:rsidRDefault="008417A4" w:rsidP="00613C92">
            <w:pPr>
              <w:jc w:val="both"/>
              <w:rPr>
                <w:rFonts w:eastAsia="Times New Roman" w:cs="Arial"/>
                <w:color w:val="000000"/>
                <w:szCs w:val="20"/>
                <w:lang w:eastAsia="zh-CN"/>
              </w:rPr>
            </w:pPr>
            <w:r>
              <w:rPr>
                <w:rFonts w:eastAsia="Times New Roman" w:cs="Arial"/>
                <w:color w:val="000000"/>
                <w:szCs w:val="20"/>
                <w:lang w:eastAsia="zh-CN"/>
              </w:rPr>
              <w:t>s</w:t>
            </w:r>
            <w:r w:rsidRPr="00C2631D">
              <w:rPr>
                <w:rFonts w:eastAsia="Times New Roman" w:cs="Arial"/>
                <w:color w:val="000000"/>
                <w:szCs w:val="20"/>
                <w:lang w:eastAsia="zh-CN"/>
              </w:rPr>
              <w:t>erine--</w:t>
            </w:r>
            <w:proofErr w:type="spellStart"/>
            <w:r w:rsidRPr="00C2631D">
              <w:rPr>
                <w:rFonts w:eastAsia="Times New Roman" w:cs="Arial"/>
                <w:color w:val="000000"/>
                <w:szCs w:val="20"/>
                <w:lang w:eastAsia="zh-CN"/>
              </w:rPr>
              <w:t>glyoxylate</w:t>
            </w:r>
            <w:proofErr w:type="spellEnd"/>
            <w:r w:rsidRPr="00C2631D">
              <w:rPr>
                <w:rFonts w:eastAsia="Times New Roman" w:cs="Arial"/>
                <w:color w:val="000000"/>
                <w:szCs w:val="20"/>
                <w:lang w:eastAsia="zh-CN"/>
              </w:rPr>
              <w:t xml:space="preserve"> aminotransferase</w:t>
            </w:r>
          </w:p>
        </w:tc>
        <w:tc>
          <w:tcPr>
            <w:tcW w:w="1350" w:type="dxa"/>
            <w:shd w:val="clear" w:color="auto" w:fill="auto"/>
            <w:noWrap/>
            <w:vAlign w:val="center"/>
            <w:hideMark/>
          </w:tcPr>
          <w:p w14:paraId="33DA84D5"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1.93</w:t>
            </w:r>
          </w:p>
        </w:tc>
        <w:tc>
          <w:tcPr>
            <w:tcW w:w="1710" w:type="dxa"/>
            <w:shd w:val="clear" w:color="auto" w:fill="auto"/>
            <w:noWrap/>
            <w:vAlign w:val="center"/>
            <w:hideMark/>
          </w:tcPr>
          <w:p w14:paraId="6126B518" w14:textId="77777777" w:rsidR="008417A4" w:rsidRPr="00C2631D" w:rsidRDefault="008417A4" w:rsidP="00613C92">
            <w:pPr>
              <w:jc w:val="center"/>
              <w:rPr>
                <w:rFonts w:eastAsia="Times New Roman" w:cs="Arial"/>
                <w:color w:val="000000"/>
                <w:szCs w:val="20"/>
                <w:lang w:eastAsia="zh-CN"/>
              </w:rPr>
            </w:pPr>
            <w:r>
              <w:rPr>
                <w:rFonts w:cs="Arial"/>
                <w:szCs w:val="20"/>
              </w:rPr>
              <w:t>serine cycle</w:t>
            </w:r>
          </w:p>
        </w:tc>
        <w:tc>
          <w:tcPr>
            <w:tcW w:w="738" w:type="dxa"/>
            <w:shd w:val="clear" w:color="auto" w:fill="auto"/>
            <w:noWrap/>
            <w:vAlign w:val="center"/>
            <w:hideMark/>
          </w:tcPr>
          <w:p w14:paraId="24FE5221"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3F2F16DF" w14:textId="77777777" w:rsidTr="00613C92">
        <w:trPr>
          <w:trHeight w:val="20"/>
        </w:trPr>
        <w:tc>
          <w:tcPr>
            <w:tcW w:w="1818" w:type="dxa"/>
            <w:shd w:val="clear" w:color="auto" w:fill="auto"/>
            <w:noWrap/>
            <w:vAlign w:val="bottom"/>
            <w:hideMark/>
          </w:tcPr>
          <w:p w14:paraId="10655E8C"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MBURv2_160312</w:t>
            </w:r>
          </w:p>
        </w:tc>
        <w:tc>
          <w:tcPr>
            <w:tcW w:w="900" w:type="dxa"/>
            <w:shd w:val="clear" w:color="auto" w:fill="auto"/>
            <w:noWrap/>
            <w:vAlign w:val="bottom"/>
            <w:hideMark/>
          </w:tcPr>
          <w:p w14:paraId="1BE8C820"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4C522DFE"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07BB5639"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1.94</w:t>
            </w:r>
          </w:p>
        </w:tc>
        <w:tc>
          <w:tcPr>
            <w:tcW w:w="1710" w:type="dxa"/>
            <w:shd w:val="clear" w:color="auto" w:fill="auto"/>
            <w:noWrap/>
            <w:vAlign w:val="center"/>
            <w:hideMark/>
          </w:tcPr>
          <w:p w14:paraId="38E7803B"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242F21C4"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6984014C" w14:textId="77777777" w:rsidTr="00613C92">
        <w:trPr>
          <w:trHeight w:val="20"/>
        </w:trPr>
        <w:tc>
          <w:tcPr>
            <w:tcW w:w="1818" w:type="dxa"/>
            <w:shd w:val="clear" w:color="auto" w:fill="auto"/>
            <w:noWrap/>
            <w:vAlign w:val="bottom"/>
            <w:hideMark/>
          </w:tcPr>
          <w:p w14:paraId="0C8D4B79"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MBURv2_160308</w:t>
            </w:r>
          </w:p>
        </w:tc>
        <w:tc>
          <w:tcPr>
            <w:tcW w:w="900" w:type="dxa"/>
            <w:shd w:val="clear" w:color="auto" w:fill="auto"/>
            <w:noWrap/>
            <w:vAlign w:val="bottom"/>
            <w:hideMark/>
          </w:tcPr>
          <w:p w14:paraId="239507FF"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rmpA</w:t>
            </w:r>
            <w:proofErr w:type="spellEnd"/>
          </w:p>
        </w:tc>
        <w:tc>
          <w:tcPr>
            <w:tcW w:w="6660" w:type="dxa"/>
            <w:shd w:val="clear" w:color="auto" w:fill="auto"/>
            <w:noWrap/>
            <w:vAlign w:val="bottom"/>
            <w:hideMark/>
          </w:tcPr>
          <w:p w14:paraId="27608D77"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3-hexulose-6-phosphate synthase</w:t>
            </w:r>
          </w:p>
        </w:tc>
        <w:tc>
          <w:tcPr>
            <w:tcW w:w="1350" w:type="dxa"/>
            <w:shd w:val="clear" w:color="auto" w:fill="auto"/>
            <w:noWrap/>
            <w:vAlign w:val="center"/>
            <w:hideMark/>
          </w:tcPr>
          <w:p w14:paraId="3E1FE12D" w14:textId="77777777" w:rsidR="008417A4" w:rsidRPr="00C2631D" w:rsidRDefault="008417A4" w:rsidP="00613C92">
            <w:pPr>
              <w:jc w:val="center"/>
              <w:rPr>
                <w:rFonts w:eastAsia="Times New Roman" w:cs="Arial"/>
                <w:color w:val="000000"/>
                <w:szCs w:val="20"/>
                <w:lang w:eastAsia="zh-CN"/>
              </w:rPr>
            </w:pPr>
            <w:r w:rsidRPr="00C2631D">
              <w:rPr>
                <w:rFonts w:cs="Arial"/>
                <w:szCs w:val="20"/>
              </w:rPr>
              <w:t>1.94</w:t>
            </w:r>
          </w:p>
        </w:tc>
        <w:tc>
          <w:tcPr>
            <w:tcW w:w="1710" w:type="dxa"/>
            <w:shd w:val="clear" w:color="auto" w:fill="auto"/>
            <w:noWrap/>
            <w:vAlign w:val="center"/>
            <w:hideMark/>
          </w:tcPr>
          <w:p w14:paraId="680E581B" w14:textId="77777777" w:rsidR="008417A4" w:rsidRPr="00C2631D" w:rsidRDefault="008417A4" w:rsidP="00613C92">
            <w:pPr>
              <w:jc w:val="center"/>
              <w:rPr>
                <w:rFonts w:eastAsia="Times New Roman" w:cs="Arial"/>
                <w:color w:val="000000"/>
                <w:szCs w:val="20"/>
                <w:lang w:eastAsia="zh-CN"/>
              </w:rPr>
            </w:pPr>
            <w:proofErr w:type="spellStart"/>
            <w:r>
              <w:rPr>
                <w:rFonts w:cs="Arial"/>
                <w:szCs w:val="20"/>
              </w:rPr>
              <w:t>RuMP</w:t>
            </w:r>
            <w:proofErr w:type="spellEnd"/>
            <w:r>
              <w:rPr>
                <w:rFonts w:cs="Arial"/>
                <w:szCs w:val="20"/>
              </w:rPr>
              <w:t xml:space="preserve"> cycle</w:t>
            </w:r>
          </w:p>
        </w:tc>
        <w:tc>
          <w:tcPr>
            <w:tcW w:w="738" w:type="dxa"/>
            <w:shd w:val="clear" w:color="auto" w:fill="auto"/>
            <w:noWrap/>
            <w:vAlign w:val="center"/>
            <w:hideMark/>
          </w:tcPr>
          <w:p w14:paraId="0956FF12"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r w:rsidR="008417A4" w:rsidRPr="00C2631D" w14:paraId="333E93A8" w14:textId="77777777" w:rsidTr="00613C92">
        <w:trPr>
          <w:trHeight w:val="20"/>
        </w:trPr>
        <w:tc>
          <w:tcPr>
            <w:tcW w:w="1818" w:type="dxa"/>
            <w:shd w:val="clear" w:color="auto" w:fill="auto"/>
            <w:noWrap/>
            <w:vAlign w:val="bottom"/>
            <w:hideMark/>
          </w:tcPr>
          <w:p w14:paraId="08329D73"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MBURv2_130299</w:t>
            </w:r>
          </w:p>
        </w:tc>
        <w:tc>
          <w:tcPr>
            <w:tcW w:w="900" w:type="dxa"/>
            <w:shd w:val="clear" w:color="auto" w:fill="auto"/>
            <w:noWrap/>
            <w:vAlign w:val="bottom"/>
            <w:hideMark/>
          </w:tcPr>
          <w:p w14:paraId="18CEFA47"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w:t>
            </w:r>
            <w:proofErr w:type="spellEnd"/>
          </w:p>
        </w:tc>
        <w:tc>
          <w:tcPr>
            <w:tcW w:w="6660" w:type="dxa"/>
            <w:shd w:val="clear" w:color="auto" w:fill="auto"/>
            <w:noWrap/>
            <w:vAlign w:val="bottom"/>
            <w:hideMark/>
          </w:tcPr>
          <w:p w14:paraId="576443CB"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succinyl</w:t>
            </w:r>
            <w:proofErr w:type="spellEnd"/>
            <w:r w:rsidRPr="00C2631D">
              <w:rPr>
                <w:rFonts w:eastAsia="Times New Roman" w:cs="Arial"/>
                <w:color w:val="000000"/>
                <w:szCs w:val="20"/>
                <w:lang w:eastAsia="zh-CN"/>
              </w:rPr>
              <w:t xml:space="preserve">-CoA </w:t>
            </w:r>
            <w:proofErr w:type="spellStart"/>
            <w:r w:rsidRPr="00C2631D">
              <w:rPr>
                <w:rFonts w:eastAsia="Times New Roman" w:cs="Arial"/>
                <w:color w:val="000000"/>
                <w:szCs w:val="20"/>
                <w:lang w:eastAsia="zh-CN"/>
              </w:rPr>
              <w:t>synthetase</w:t>
            </w:r>
            <w:proofErr w:type="spellEnd"/>
            <w:r w:rsidRPr="00C2631D">
              <w:rPr>
                <w:rFonts w:eastAsia="Times New Roman" w:cs="Arial"/>
                <w:color w:val="000000"/>
                <w:szCs w:val="20"/>
                <w:lang w:eastAsia="zh-CN"/>
              </w:rPr>
              <w:t>, beta subunit</w:t>
            </w:r>
          </w:p>
        </w:tc>
        <w:tc>
          <w:tcPr>
            <w:tcW w:w="1350" w:type="dxa"/>
            <w:shd w:val="clear" w:color="auto" w:fill="auto"/>
            <w:noWrap/>
            <w:vAlign w:val="center"/>
            <w:hideMark/>
          </w:tcPr>
          <w:p w14:paraId="3C899FF5" w14:textId="77777777" w:rsidR="008417A4" w:rsidRPr="00C2631D" w:rsidRDefault="008417A4" w:rsidP="00613C92">
            <w:pPr>
              <w:jc w:val="center"/>
              <w:rPr>
                <w:rFonts w:eastAsia="Times New Roman" w:cs="Arial"/>
                <w:color w:val="000000"/>
                <w:szCs w:val="20"/>
                <w:lang w:eastAsia="zh-CN"/>
              </w:rPr>
            </w:pPr>
            <w:r w:rsidRPr="00C2631D">
              <w:rPr>
                <w:rFonts w:cs="Arial"/>
                <w:szCs w:val="20"/>
              </w:rPr>
              <w:t>2.05</w:t>
            </w:r>
          </w:p>
        </w:tc>
        <w:tc>
          <w:tcPr>
            <w:tcW w:w="1710" w:type="dxa"/>
            <w:shd w:val="clear" w:color="auto" w:fill="auto"/>
            <w:noWrap/>
            <w:vAlign w:val="center"/>
            <w:hideMark/>
          </w:tcPr>
          <w:p w14:paraId="06CA5259" w14:textId="77777777" w:rsidR="008417A4" w:rsidRPr="00C2631D" w:rsidRDefault="008417A4" w:rsidP="00613C92">
            <w:pPr>
              <w:jc w:val="center"/>
              <w:rPr>
                <w:rFonts w:eastAsia="Times New Roman" w:cs="Arial"/>
                <w:color w:val="000000"/>
                <w:szCs w:val="20"/>
                <w:lang w:eastAsia="zh-CN"/>
              </w:rPr>
            </w:pPr>
            <w:r>
              <w:rPr>
                <w:rFonts w:cs="Arial"/>
                <w:szCs w:val="20"/>
              </w:rPr>
              <w:t>TCA cycle</w:t>
            </w:r>
          </w:p>
        </w:tc>
        <w:tc>
          <w:tcPr>
            <w:tcW w:w="738" w:type="dxa"/>
            <w:shd w:val="clear" w:color="auto" w:fill="auto"/>
            <w:noWrap/>
            <w:vAlign w:val="center"/>
            <w:hideMark/>
          </w:tcPr>
          <w:p w14:paraId="1AC5D9BB"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0.01</w:t>
            </w:r>
          </w:p>
        </w:tc>
      </w:tr>
      <w:tr w:rsidR="008417A4" w:rsidRPr="00C2631D" w14:paraId="5C51B9E3" w14:textId="77777777" w:rsidTr="00613C92">
        <w:trPr>
          <w:trHeight w:val="20"/>
        </w:trPr>
        <w:tc>
          <w:tcPr>
            <w:tcW w:w="1818" w:type="dxa"/>
            <w:shd w:val="clear" w:color="auto" w:fill="auto"/>
            <w:noWrap/>
            <w:vAlign w:val="bottom"/>
            <w:hideMark/>
          </w:tcPr>
          <w:p w14:paraId="02B35AC5"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MBURv2_50413</w:t>
            </w:r>
          </w:p>
        </w:tc>
        <w:tc>
          <w:tcPr>
            <w:tcW w:w="900" w:type="dxa"/>
            <w:shd w:val="clear" w:color="auto" w:fill="auto"/>
            <w:noWrap/>
            <w:vAlign w:val="bottom"/>
            <w:hideMark/>
          </w:tcPr>
          <w:p w14:paraId="35ADD6AA" w14:textId="77777777" w:rsidR="008417A4" w:rsidRPr="00C2631D" w:rsidRDefault="008417A4" w:rsidP="00613C92">
            <w:pPr>
              <w:jc w:val="both"/>
              <w:rPr>
                <w:rFonts w:eastAsia="Times New Roman" w:cs="Arial"/>
                <w:color w:val="000000"/>
                <w:szCs w:val="20"/>
                <w:lang w:eastAsia="zh-CN"/>
              </w:rPr>
            </w:pPr>
            <w:proofErr w:type="spellStart"/>
            <w:r w:rsidRPr="00C2631D">
              <w:rPr>
                <w:rFonts w:eastAsia="Times New Roman" w:cs="Arial"/>
                <w:color w:val="000000"/>
                <w:szCs w:val="20"/>
                <w:lang w:eastAsia="zh-CN"/>
              </w:rPr>
              <w:t>gpmI</w:t>
            </w:r>
            <w:proofErr w:type="spellEnd"/>
          </w:p>
        </w:tc>
        <w:tc>
          <w:tcPr>
            <w:tcW w:w="6660" w:type="dxa"/>
            <w:shd w:val="clear" w:color="auto" w:fill="auto"/>
            <w:noWrap/>
            <w:vAlign w:val="bottom"/>
            <w:hideMark/>
          </w:tcPr>
          <w:p w14:paraId="6910F9D8" w14:textId="77777777" w:rsidR="008417A4" w:rsidRPr="00C2631D" w:rsidRDefault="008417A4" w:rsidP="00613C92">
            <w:pPr>
              <w:jc w:val="both"/>
              <w:rPr>
                <w:rFonts w:eastAsia="Times New Roman" w:cs="Arial"/>
                <w:color w:val="000000"/>
                <w:szCs w:val="20"/>
                <w:lang w:eastAsia="zh-CN"/>
              </w:rPr>
            </w:pPr>
            <w:r w:rsidRPr="00C2631D">
              <w:rPr>
                <w:rFonts w:eastAsia="Times New Roman" w:cs="Arial"/>
                <w:color w:val="000000"/>
                <w:szCs w:val="20"/>
                <w:lang w:eastAsia="zh-CN"/>
              </w:rPr>
              <w:t>2,3-bisphosphoglycerate-independent phosphoglycerate mutase</w:t>
            </w:r>
          </w:p>
        </w:tc>
        <w:tc>
          <w:tcPr>
            <w:tcW w:w="1350" w:type="dxa"/>
            <w:tcBorders>
              <w:bottom w:val="single" w:sz="4" w:space="0" w:color="auto"/>
            </w:tcBorders>
            <w:shd w:val="clear" w:color="auto" w:fill="auto"/>
            <w:noWrap/>
            <w:vAlign w:val="center"/>
            <w:hideMark/>
          </w:tcPr>
          <w:p w14:paraId="4B4DCC41" w14:textId="77777777" w:rsidR="008417A4" w:rsidRPr="00C2631D" w:rsidRDefault="008417A4" w:rsidP="00613C92">
            <w:pPr>
              <w:jc w:val="center"/>
              <w:rPr>
                <w:rFonts w:eastAsia="Times New Roman" w:cs="Arial"/>
                <w:color w:val="000000"/>
                <w:szCs w:val="20"/>
                <w:lang w:eastAsia="zh-CN"/>
              </w:rPr>
            </w:pPr>
            <w:r w:rsidRPr="00C2631D">
              <w:rPr>
                <w:rFonts w:cs="Arial"/>
                <w:szCs w:val="20"/>
              </w:rPr>
              <w:t>2.82</w:t>
            </w:r>
          </w:p>
        </w:tc>
        <w:tc>
          <w:tcPr>
            <w:tcW w:w="1710" w:type="dxa"/>
            <w:tcBorders>
              <w:bottom w:val="single" w:sz="4" w:space="0" w:color="auto"/>
            </w:tcBorders>
            <w:shd w:val="clear" w:color="auto" w:fill="auto"/>
            <w:noWrap/>
            <w:vAlign w:val="center"/>
            <w:hideMark/>
          </w:tcPr>
          <w:p w14:paraId="02A1ABF7" w14:textId="77777777" w:rsidR="008417A4" w:rsidRPr="00C2631D" w:rsidRDefault="008417A4" w:rsidP="00613C92">
            <w:pPr>
              <w:jc w:val="center"/>
              <w:rPr>
                <w:rFonts w:eastAsia="Times New Roman" w:cs="Arial"/>
                <w:color w:val="000000"/>
                <w:szCs w:val="20"/>
                <w:lang w:eastAsia="zh-CN"/>
              </w:rPr>
            </w:pPr>
            <w:r>
              <w:rPr>
                <w:rFonts w:cs="Arial"/>
                <w:szCs w:val="20"/>
              </w:rPr>
              <w:t>EMP pathway</w:t>
            </w:r>
          </w:p>
        </w:tc>
        <w:tc>
          <w:tcPr>
            <w:tcW w:w="738" w:type="dxa"/>
            <w:tcBorders>
              <w:bottom w:val="single" w:sz="4" w:space="0" w:color="auto"/>
            </w:tcBorders>
            <w:shd w:val="clear" w:color="auto" w:fill="auto"/>
            <w:noWrap/>
            <w:vAlign w:val="center"/>
            <w:hideMark/>
          </w:tcPr>
          <w:p w14:paraId="0F4EC7C0" w14:textId="77777777" w:rsidR="008417A4" w:rsidRPr="00C2631D" w:rsidRDefault="008417A4" w:rsidP="00613C92">
            <w:pPr>
              <w:jc w:val="center"/>
              <w:rPr>
                <w:rFonts w:eastAsia="Times New Roman" w:cs="Arial"/>
                <w:color w:val="000000"/>
                <w:szCs w:val="20"/>
                <w:lang w:eastAsia="zh-CN"/>
              </w:rPr>
            </w:pPr>
            <w:r w:rsidRPr="00C2631D">
              <w:rPr>
                <w:rFonts w:cs="Arial"/>
                <w:szCs w:val="20"/>
              </w:rPr>
              <w:t>0.00</w:t>
            </w:r>
          </w:p>
        </w:tc>
      </w:tr>
    </w:tbl>
    <w:p w14:paraId="46551F98" w14:textId="77777777" w:rsidR="008417A4" w:rsidRDefault="008417A4" w:rsidP="008417A4">
      <w:pPr>
        <w:pStyle w:val="BodyText"/>
      </w:pPr>
    </w:p>
    <w:p w14:paraId="4AA9D3CC" w14:textId="77777777" w:rsidR="008417A4" w:rsidRDefault="008417A4" w:rsidP="008417A4">
      <w:r>
        <w:br w:type="page"/>
      </w:r>
    </w:p>
    <w:p w14:paraId="702F212F" w14:textId="77777777" w:rsidR="008417A4" w:rsidRPr="005A1A31" w:rsidRDefault="008417A4" w:rsidP="008417A4">
      <w:pPr>
        <w:pStyle w:val="BodyText"/>
        <w:sectPr w:rsidR="008417A4" w:rsidRPr="005A1A31" w:rsidSect="00613C92">
          <w:pgSz w:w="15840" w:h="12240" w:orient="landscape"/>
          <w:pgMar w:top="1440" w:right="1440" w:bottom="1440" w:left="1440" w:header="720" w:footer="720" w:gutter="0"/>
          <w:cols w:space="720"/>
          <w:docGrid w:linePitch="326"/>
        </w:sectPr>
      </w:pPr>
    </w:p>
    <w:p w14:paraId="5B18ED60" w14:textId="77777777" w:rsidR="008417A4" w:rsidRPr="00466B82" w:rsidRDefault="008417A4" w:rsidP="008417A4">
      <w:pPr>
        <w:pStyle w:val="BodyText"/>
      </w:pPr>
    </w:p>
    <w:p w14:paraId="272D9FA8" w14:textId="77777777" w:rsidR="008417A4" w:rsidRPr="00732287" w:rsidRDefault="008417A4" w:rsidP="00732287">
      <w:pPr>
        <w:pStyle w:val="Heading2"/>
      </w:pPr>
      <w:bookmarkStart w:id="119" w:name="_Toc468311761"/>
      <w:r w:rsidRPr="00732287">
        <w:t>Supplemental materials</w:t>
      </w:r>
      <w:bookmarkEnd w:id="119"/>
    </w:p>
    <w:p w14:paraId="1C52C8AD" w14:textId="73A24E8E" w:rsidR="008417A4" w:rsidRDefault="008417A4" w:rsidP="008417A4">
      <w:pPr>
        <w:pStyle w:val="BodyText"/>
        <w:rPr>
          <w:bCs/>
        </w:rPr>
      </w:pPr>
      <w:r w:rsidRPr="00996A2D">
        <w:t>Table S</w:t>
      </w:r>
      <w:r w:rsidR="005C5F5A">
        <w:t>4_</w:t>
      </w:r>
      <w:r w:rsidRPr="00996A2D">
        <w:t xml:space="preserve">1. MIDs for intermediate metabolites of </w:t>
      </w:r>
      <w:r w:rsidRPr="00996A2D">
        <w:rPr>
          <w:bCs/>
          <w:i/>
        </w:rPr>
        <w:t>M. buryatense</w:t>
      </w:r>
      <w:r w:rsidRPr="00996A2D">
        <w:rPr>
          <w:bCs/>
        </w:rPr>
        <w:t xml:space="preserve"> 5GB1 grown on methanol</w:t>
      </w:r>
    </w:p>
    <w:p w14:paraId="2EE943C1" w14:textId="34AC80CB" w:rsidR="008417A4" w:rsidRDefault="008417A4" w:rsidP="008417A4">
      <w:pPr>
        <w:pStyle w:val="BodyText"/>
        <w:rPr>
          <w:bCs/>
        </w:rPr>
      </w:pPr>
      <w:r>
        <w:rPr>
          <w:bCs/>
        </w:rPr>
        <w:t>Table S</w:t>
      </w:r>
      <w:r w:rsidR="005C5F5A">
        <w:rPr>
          <w:bCs/>
        </w:rPr>
        <w:t>4_</w:t>
      </w:r>
      <w:r>
        <w:rPr>
          <w:bCs/>
        </w:rPr>
        <w:t>2. Strains used in this study</w:t>
      </w:r>
    </w:p>
    <w:p w14:paraId="45D911B7" w14:textId="58D5B21A" w:rsidR="008417A4" w:rsidRDefault="008417A4" w:rsidP="008417A4">
      <w:pPr>
        <w:pStyle w:val="BodyText"/>
      </w:pPr>
      <w:r>
        <w:rPr>
          <w:bCs/>
        </w:rPr>
        <w:t>Table S</w:t>
      </w:r>
      <w:r w:rsidR="005C5F5A">
        <w:rPr>
          <w:bCs/>
        </w:rPr>
        <w:t>4_</w:t>
      </w:r>
      <w:r>
        <w:rPr>
          <w:bCs/>
        </w:rPr>
        <w:t xml:space="preserve">3. </w:t>
      </w:r>
      <w:r>
        <w:t xml:space="preserve">Sequence of primers used in this study </w:t>
      </w:r>
    </w:p>
    <w:p w14:paraId="338961B6" w14:textId="191E7ECB" w:rsidR="008417A4" w:rsidRDefault="008417A4" w:rsidP="008417A4">
      <w:pPr>
        <w:pStyle w:val="BodyText"/>
      </w:pPr>
      <w:r>
        <w:rPr>
          <w:bCs/>
        </w:rPr>
        <w:t>Table S4</w:t>
      </w:r>
      <w:r w:rsidR="005C5F5A">
        <w:rPr>
          <w:bCs/>
        </w:rPr>
        <w:t>_4</w:t>
      </w:r>
      <w:r>
        <w:rPr>
          <w:bCs/>
        </w:rPr>
        <w:t xml:space="preserve">. </w:t>
      </w:r>
      <w:r>
        <w:t xml:space="preserve">Multiple reaction monitoring (MRM) for intermediate metabolites </w:t>
      </w:r>
    </w:p>
    <w:p w14:paraId="387660DA" w14:textId="4ABF7EBC" w:rsidR="008417A4" w:rsidRDefault="008417A4" w:rsidP="008417A4">
      <w:pPr>
        <w:pStyle w:val="BodyText"/>
      </w:pPr>
      <w:r>
        <w:t xml:space="preserve">Supplemental file </w:t>
      </w:r>
      <w:r w:rsidR="00A17557">
        <w:t>4_</w:t>
      </w:r>
      <w:r>
        <w:t>1: updated genome-scale model for methanol growth in SBML format</w:t>
      </w:r>
    </w:p>
    <w:p w14:paraId="2E8BBEEE" w14:textId="5CC67048" w:rsidR="008417A4" w:rsidRPr="00996A2D" w:rsidRDefault="008417A4" w:rsidP="008417A4">
      <w:pPr>
        <w:pStyle w:val="BodyText"/>
      </w:pPr>
      <w:r>
        <w:t xml:space="preserve">Supplemental file </w:t>
      </w:r>
      <w:r w:rsidR="00A17557">
        <w:t>4_</w:t>
      </w:r>
      <w:r>
        <w:t>2: python scripts used (1.</w:t>
      </w:r>
      <w:r w:rsidR="004E362F">
        <w:t xml:space="preserve"> </w:t>
      </w:r>
      <w:r>
        <w:t>constrain the model with flux ratios, 2. Robustness analysis) in this study</w:t>
      </w:r>
    </w:p>
    <w:p w14:paraId="585B0487" w14:textId="548CA5C9" w:rsidR="00D34E8B" w:rsidRPr="00F461D1" w:rsidRDefault="00D34E8B" w:rsidP="00D34E8B">
      <w:pPr>
        <w:widowControl w:val="0"/>
        <w:autoSpaceDE w:val="0"/>
        <w:autoSpaceDN w:val="0"/>
        <w:adjustRightInd w:val="0"/>
        <w:ind w:left="640" w:hanging="640"/>
      </w:pPr>
    </w:p>
    <w:p w14:paraId="4ECC82A6" w14:textId="0186F41E" w:rsidR="00EF7E54" w:rsidRPr="000D5F05" w:rsidRDefault="00EF7E54" w:rsidP="00D34E8B">
      <w:pPr>
        <w:pStyle w:val="Heading2"/>
        <w:rPr>
          <w:rFonts w:cs="Arial"/>
          <w:szCs w:val="20"/>
        </w:rPr>
      </w:pPr>
    </w:p>
    <w:p w14:paraId="571CFA81" w14:textId="77777777" w:rsidR="00EF7E54" w:rsidRPr="000D5F05" w:rsidRDefault="00EF7E54" w:rsidP="00EF7E54">
      <w:pPr>
        <w:pStyle w:val="ListParagraph"/>
        <w:rPr>
          <w:rFonts w:cs="Arial"/>
          <w:szCs w:val="20"/>
        </w:rPr>
      </w:pPr>
    </w:p>
    <w:p w14:paraId="0889A6F8" w14:textId="77777777" w:rsidR="009A23B8" w:rsidRPr="000D5F05" w:rsidRDefault="009A23B8" w:rsidP="009A23B8">
      <w:pPr>
        <w:rPr>
          <w:rFonts w:cs="Arial"/>
          <w:szCs w:val="20"/>
        </w:rPr>
      </w:pPr>
    </w:p>
    <w:p w14:paraId="605B39F6" w14:textId="77777777" w:rsidR="00FA50F5" w:rsidRDefault="00FA50F5">
      <w:pPr>
        <w:spacing w:line="240" w:lineRule="auto"/>
        <w:rPr>
          <w:rFonts w:eastAsiaTheme="majorEastAsia" w:cstheme="majorBidi"/>
          <w:b/>
          <w:bCs/>
          <w:sz w:val="28"/>
          <w:szCs w:val="32"/>
        </w:rPr>
      </w:pPr>
      <w:bookmarkStart w:id="120" w:name="_Toc301521572"/>
      <w:bookmarkStart w:id="121" w:name="_Toc429992566"/>
      <w:r>
        <w:br w:type="page"/>
      </w:r>
    </w:p>
    <w:p w14:paraId="4A47E08E" w14:textId="04E8FFCC" w:rsidR="00FA50F5" w:rsidRDefault="00FA50F5" w:rsidP="00732287">
      <w:pPr>
        <w:pStyle w:val="Heading1"/>
      </w:pPr>
      <w:bookmarkStart w:id="122" w:name="_Toc468311762"/>
      <w:r w:rsidRPr="003B340E">
        <w:lastRenderedPageBreak/>
        <w:t>Chapter</w:t>
      </w:r>
      <w:r w:rsidR="00EB6FF8">
        <w:t xml:space="preserve"> 5:</w:t>
      </w:r>
      <w:r w:rsidRPr="00384DCD">
        <w:t xml:space="preserve"> Summar</w:t>
      </w:r>
      <w:bookmarkEnd w:id="120"/>
      <w:bookmarkEnd w:id="121"/>
      <w:r w:rsidRPr="00384DCD">
        <w:t>y and future directions</w:t>
      </w:r>
      <w:bookmarkEnd w:id="122"/>
    </w:p>
    <w:p w14:paraId="427E8CF7" w14:textId="77777777" w:rsidR="00FA50F5" w:rsidRDefault="00FA50F5" w:rsidP="00FA50F5">
      <w:pPr>
        <w:pStyle w:val="Heading2"/>
      </w:pPr>
      <w:bookmarkStart w:id="123" w:name="_Toc468311763"/>
      <w:r>
        <w:t>Summary</w:t>
      </w:r>
      <w:bookmarkEnd w:id="123"/>
    </w:p>
    <w:p w14:paraId="0BF2B05B" w14:textId="77777777" w:rsidR="00FA50F5" w:rsidRDefault="00FA50F5" w:rsidP="00FA50F5">
      <w:r>
        <w:t xml:space="preserve">In the first project, I have successfully applied steady state flux analysis on a methanol utilizing bacterium, </w:t>
      </w:r>
      <w:r>
        <w:rPr>
          <w:i/>
        </w:rPr>
        <w:t xml:space="preserve">Methylobacterium </w:t>
      </w:r>
      <w:proofErr w:type="spellStart"/>
      <w:r>
        <w:rPr>
          <w:i/>
        </w:rPr>
        <w:t>extorquens</w:t>
      </w:r>
      <w:proofErr w:type="spellEnd"/>
      <w:r>
        <w:rPr>
          <w:i/>
        </w:rPr>
        <w:t xml:space="preserve"> </w:t>
      </w:r>
      <w:r>
        <w:t>AM1 to investigate the trade-off between growth rate and biomass yield found in two laboratory variants of this bacterium. This analysis has identified the source of the trade-off, involving changes in the routes taken for C3-C4 inter-conversion, which was validated by mutant analysis. These results were surprising, because some of these reactions have been previously thought to be side reactions, without major importance to core parameters such as growth rate and yield. Only by combining the approaches used here, was it possible to dissect the importance of these reactions.</w:t>
      </w:r>
    </w:p>
    <w:p w14:paraId="7864579D" w14:textId="77777777" w:rsidR="00FA50F5" w:rsidRDefault="00FA50F5" w:rsidP="00FA50F5">
      <w:r>
        <w:t xml:space="preserve">In the second project, I have established an analytical method for measuring intracellular metabolite pools in </w:t>
      </w:r>
      <w:proofErr w:type="spellStart"/>
      <w:r w:rsidRPr="00C95FC8">
        <w:rPr>
          <w:i/>
        </w:rPr>
        <w:t>Methylomicrobium</w:t>
      </w:r>
      <w:proofErr w:type="spellEnd"/>
      <w:r w:rsidRPr="00C95FC8">
        <w:rPr>
          <w:i/>
        </w:rPr>
        <w:t xml:space="preserve"> buryatense</w:t>
      </w:r>
      <w:r>
        <w:t xml:space="preserve"> 5GB1 as well as measuring </w:t>
      </w:r>
      <w:proofErr w:type="spellStart"/>
      <w:r>
        <w:t>isotopomer</w:t>
      </w:r>
      <w:proofErr w:type="spellEnd"/>
      <w:r>
        <w:t xml:space="preserve"> distribution among intracellular metabolites, which lays the foundation of </w:t>
      </w:r>
      <w:r w:rsidRPr="00333E1D">
        <w:rPr>
          <w:vertAlign w:val="superscript"/>
        </w:rPr>
        <w:t>13</w:t>
      </w:r>
      <w:r>
        <w:t xml:space="preserve">C metabolic flux analysis. I showed that a complete oxidative TCA cycle operates during growth on methane, in direct contrast to the literature of several decades. This finding significantly changes our understanding of the metabolic network during growth on methane, with regard to flux through specific pathways and the source of NADH. I also found a systematic metabolism shift occurred in </w:t>
      </w:r>
      <w:r w:rsidRPr="00C95FC8">
        <w:rPr>
          <w:i/>
        </w:rPr>
        <w:t>M. buryatense</w:t>
      </w:r>
      <w:r>
        <w:t xml:space="preserve"> </w:t>
      </w:r>
      <w:r w:rsidRPr="00CB2125">
        <w:t>5GB1</w:t>
      </w:r>
      <w:r>
        <w:t xml:space="preserve"> growth on methanol compared to growth on methane. This was also very surprising, as it has been assumed that growth on methanol is similar to growth on methane. Taken together, these new results have provided major new insights into methylotrophic metabolic networks and how they function. Again, by combining approaches I was able to dissect roles and directly measure fluxes, uncovering the misunderstandings of past work, which was carried out before metabolic flux analysis and metabolomics were possible. </w:t>
      </w:r>
    </w:p>
    <w:p w14:paraId="3C8229F5" w14:textId="77777777" w:rsidR="00FA50F5" w:rsidRPr="00C95FC8" w:rsidRDefault="00FA50F5" w:rsidP="00FA50F5">
      <w:pPr>
        <w:pStyle w:val="BodyText"/>
      </w:pPr>
      <w:r>
        <w:t xml:space="preserve">Another important result of this study is that the special network topology as well as C1 input of the network brought limitations as well as challenges for implementation of metabolic flux analysis. To address these challenges, I have used multiple strategies (such as mutant analysis </w:t>
      </w:r>
      <w:r>
        <w:lastRenderedPageBreak/>
        <w:t xml:space="preserve">coupled with </w:t>
      </w:r>
      <w:r w:rsidRPr="00AD07CF">
        <w:rPr>
          <w:vertAlign w:val="superscript"/>
        </w:rPr>
        <w:t>13</w:t>
      </w:r>
      <w:r>
        <w:t xml:space="preserve">C tracer analysis, as well as genome scale model coupled with </w:t>
      </w:r>
      <w:r w:rsidRPr="00AD07CF">
        <w:rPr>
          <w:vertAlign w:val="superscript"/>
        </w:rPr>
        <w:t>13</w:t>
      </w:r>
      <w:r>
        <w:t>C flux ratio) as complementary approaches to metabolic flux analysis, which has led to a better understanding of the network, and has led to more accurate predictions.</w:t>
      </w:r>
    </w:p>
    <w:p w14:paraId="68906282" w14:textId="77777777" w:rsidR="00FA50F5" w:rsidRDefault="00FA50F5" w:rsidP="00FA50F5">
      <w:pPr>
        <w:pStyle w:val="BodyText"/>
      </w:pPr>
      <w:r>
        <w:t>To sum up, several cases are shown in this dissertation using the approaches of metabolic flux analysis as well as metabolomics to investigate cell behavior at the level of ‘end products’ in central dogma (metabolites as well as fluxes). These cases have demonstrated the usefulness of these two approaches in terms of measuring intracellular metabolism, which could further provide critical information for understanding cell physiology as well as guide strain optimization process in the design – build – test iterations in metabolic engineering.</w:t>
      </w:r>
    </w:p>
    <w:p w14:paraId="06201283" w14:textId="77777777" w:rsidR="00FA50F5" w:rsidRDefault="00FA50F5" w:rsidP="00FA50F5">
      <w:pPr>
        <w:pStyle w:val="Heading2"/>
      </w:pPr>
      <w:bookmarkStart w:id="124" w:name="_Toc468311764"/>
      <w:r>
        <w:t>Future directions</w:t>
      </w:r>
      <w:bookmarkEnd w:id="124"/>
    </w:p>
    <w:p w14:paraId="1772D3AE" w14:textId="77777777" w:rsidR="00FA50F5" w:rsidRPr="00C95FC8" w:rsidRDefault="00FA50F5" w:rsidP="00FA50F5">
      <w:r>
        <w:t xml:space="preserve">The overall impact of this work is for both methods development (metabolite and </w:t>
      </w:r>
      <w:r w:rsidRPr="009C6E78">
        <w:rPr>
          <w:vertAlign w:val="superscript"/>
        </w:rPr>
        <w:t>13</w:t>
      </w:r>
      <w:r>
        <w:t xml:space="preserve">C flux analysis and FBA analysis) and for uncovering fundamental information regarding flux through metabolic pathways in two different bacteria that use one-carbon compounds.  My dissertation will lay the groundwork for future metabolic engineering of these industrially-promising </w:t>
      </w:r>
      <w:proofErr w:type="spellStart"/>
      <w:r>
        <w:t>methylotrophs</w:t>
      </w:r>
      <w:proofErr w:type="spellEnd"/>
      <w:r>
        <w:t>, by delineating how carbon is partitioned across multiple branch points within the metabolic networks of these bacteria, under different growth conditions.</w:t>
      </w:r>
    </w:p>
    <w:p w14:paraId="2B2F7482" w14:textId="77777777" w:rsidR="00FA50F5" w:rsidRDefault="00FA50F5" w:rsidP="00FA50F5">
      <w:r>
        <w:t xml:space="preserve">To date, most successful engineered strains for valuable chemicals or fuel production which could be economically feasible are in sugar-based systems, which will always suffer from the dilemma of competing food with energy or chemicals. With increasing interest in using C1 substrates (either methane or methanol) for valuable chemical production via </w:t>
      </w:r>
      <w:proofErr w:type="spellStart"/>
      <w:r>
        <w:t>methylotrophs</w:t>
      </w:r>
      <w:proofErr w:type="spellEnd"/>
      <w:r>
        <w:t xml:space="preserve">, the basic understanding for C1 model organism is a crucial step in the metabolic engineering process. For methane-based biotechnology, </w:t>
      </w:r>
      <w:r w:rsidRPr="008C0FE0">
        <w:rPr>
          <w:i/>
        </w:rPr>
        <w:t>M. bury</w:t>
      </w:r>
      <w:r>
        <w:rPr>
          <w:i/>
        </w:rPr>
        <w:t>a</w:t>
      </w:r>
      <w:r w:rsidRPr="008C0FE0">
        <w:rPr>
          <w:i/>
        </w:rPr>
        <w:t>t</w:t>
      </w:r>
      <w:r>
        <w:rPr>
          <w:i/>
        </w:rPr>
        <w:t>e</w:t>
      </w:r>
      <w:r w:rsidRPr="008C0FE0">
        <w:rPr>
          <w:i/>
        </w:rPr>
        <w:t>nse</w:t>
      </w:r>
      <w:r>
        <w:t xml:space="preserve"> 5GB1 is both a model system for basic research on </w:t>
      </w:r>
      <w:proofErr w:type="spellStart"/>
      <w:r>
        <w:t>methanotrophy</w:t>
      </w:r>
      <w:proofErr w:type="spellEnd"/>
      <w:r>
        <w:t xml:space="preserve"> as well as an industrial-promising candidate for bio-conversion of methane into valuable chemicals. With the increasing understanding of central carbon metabolism as well as ‘omics’ data, it is possible to expand the scope of valuable products that could be over-produced by </w:t>
      </w:r>
      <w:r>
        <w:rPr>
          <w:i/>
        </w:rPr>
        <w:t xml:space="preserve">M. buryatense </w:t>
      </w:r>
      <w:r>
        <w:t xml:space="preserve">5GB1. Based on the surprising new finding of a </w:t>
      </w:r>
      <w:r>
        <w:lastRenderedPageBreak/>
        <w:t xml:space="preserve">complete TCA cycle, it is possible that the current network is capable of accepting drop-in modules from other biological systems designed for </w:t>
      </w:r>
      <w:r>
        <w:rPr>
          <w:i/>
        </w:rPr>
        <w:t>E. coli</w:t>
      </w:r>
      <w:r>
        <w:t>, for instance. One other direction we are following right now is the ‘</w:t>
      </w:r>
      <w:proofErr w:type="spellStart"/>
      <w:r>
        <w:t>pseudofermentation</w:t>
      </w:r>
      <w:proofErr w:type="spellEnd"/>
      <w:r>
        <w:t xml:space="preserve"> process’ of conversion of C1 substrates to carboxylic acids under O</w:t>
      </w:r>
      <w:r w:rsidRPr="00B66094">
        <w:rPr>
          <w:vertAlign w:val="subscript"/>
        </w:rPr>
        <w:t>2</w:t>
      </w:r>
      <w:r>
        <w:t xml:space="preserve"> limitation. With the help of the updated genome-scale model and baseline performance data from bioreactors, we can quickly move forward in our understanding of how central metabolism operates under this ‘</w:t>
      </w:r>
      <w:proofErr w:type="spellStart"/>
      <w:r>
        <w:t>pseudofermentation</w:t>
      </w:r>
      <w:proofErr w:type="spellEnd"/>
      <w:r>
        <w:t xml:space="preserve"> process’.</w:t>
      </w:r>
    </w:p>
    <w:p w14:paraId="08E3BB07" w14:textId="498D5D01" w:rsidR="00DC59BD" w:rsidRPr="00FA50F5" w:rsidRDefault="00FA50F5" w:rsidP="00DC59BD">
      <w:r>
        <w:t xml:space="preserve">One key approach that needs to be developed in the C1 system regarding the </w:t>
      </w:r>
      <w:proofErr w:type="spellStart"/>
      <w:r>
        <w:t>RuMP</w:t>
      </w:r>
      <w:proofErr w:type="spellEnd"/>
      <w:r>
        <w:t xml:space="preserve"> cycle is kinetic flux labeling profiling. This is the only solution for quantitating the flux via the core </w:t>
      </w:r>
      <w:proofErr w:type="spellStart"/>
      <w:r>
        <w:t>RuMP</w:t>
      </w:r>
      <w:proofErr w:type="spellEnd"/>
      <w:r>
        <w:t xml:space="preserve"> pathway, and between the EMP and ED pathways. As shown in the later study of </w:t>
      </w:r>
      <w:r>
        <w:rPr>
          <w:i/>
        </w:rPr>
        <w:t xml:space="preserve">M. </w:t>
      </w:r>
      <w:proofErr w:type="spellStart"/>
      <w:r>
        <w:rPr>
          <w:i/>
        </w:rPr>
        <w:t>extorquens</w:t>
      </w:r>
      <w:proofErr w:type="spellEnd"/>
      <w:r>
        <w:rPr>
          <w:i/>
        </w:rPr>
        <w:t xml:space="preserve"> </w:t>
      </w:r>
      <w:r>
        <w:t>5GB1 with the genome-scale model, the sensitivity analysis of the flux ratio between EMP/ED actually has two stages, in one of which it correlates positively with biomass flux, and beyond that it will not affect the biomass flux. Once the ratio of EMP and ED fluxes are quantitated through kinetic flux profiling, this will provide additional constraints on the model, which will lead to a better description of the WT flux distribution in the genome-scale model. In the design-build-test cycle, metabolic flux analysis as well as targeted metabolomics play</w:t>
      </w:r>
      <w:r w:rsidR="00591B91">
        <w:t>s</w:t>
      </w:r>
      <w:r>
        <w:t xml:space="preserve"> important roles in the test step, which further guides the direction of design in a rational way. The cases presented here are the first steps towards the goal of metabolic engineering the strains for valuable chemical production. The baseline of WT is extremely important in the sense of both understanding the model organisms as well as the design capacity of each organism. As we move forward, the power of the tools used here as well as the baseline knowledge will become essential to further progress in this important area.</w:t>
      </w:r>
    </w:p>
    <w:p w14:paraId="238ABD8F" w14:textId="512DA1A9" w:rsidR="00DC59BD" w:rsidRDefault="00840096" w:rsidP="00840096">
      <w:pPr>
        <w:pStyle w:val="Heading1"/>
      </w:pPr>
      <w:bookmarkStart w:id="125" w:name="_Toc468311765"/>
      <w:r>
        <w:t>Bibliography</w:t>
      </w:r>
      <w:bookmarkEnd w:id="125"/>
    </w:p>
    <w:p w14:paraId="29181F0F" w14:textId="6807E5D7" w:rsidR="008C0508" w:rsidRPr="008C0508" w:rsidRDefault="00CF7D99" w:rsidP="008C0508">
      <w:pPr>
        <w:widowControl w:val="0"/>
        <w:autoSpaceDE w:val="0"/>
        <w:autoSpaceDN w:val="0"/>
        <w:adjustRightInd w:val="0"/>
        <w:rPr>
          <w:rFonts w:cs="Arial"/>
          <w:noProof/>
        </w:rPr>
      </w:pPr>
      <w:r>
        <w:fldChar w:fldCharType="begin" w:fldLock="1"/>
      </w:r>
      <w:r>
        <w:instrText xml:space="preserve">ADDIN Mendeley Bibliography CSL_BIBLIOGRAPHY </w:instrText>
      </w:r>
      <w:r>
        <w:fldChar w:fldCharType="separate"/>
      </w:r>
      <w:r w:rsidR="008C0508" w:rsidRPr="008C0508">
        <w:rPr>
          <w:rFonts w:cs="Arial"/>
          <w:noProof/>
        </w:rPr>
        <w:t xml:space="preserve">1. </w:t>
      </w:r>
      <w:r w:rsidR="008C0508" w:rsidRPr="008C0508">
        <w:rPr>
          <w:rFonts w:cs="Arial"/>
          <w:i/>
          <w:iCs/>
          <w:noProof/>
        </w:rPr>
        <w:t>The Biochemistry of Methylotrophs - Anthony,C</w:t>
      </w:r>
      <w:r w:rsidR="008C0508" w:rsidRPr="008C0508">
        <w:rPr>
          <w:rFonts w:cs="Arial"/>
          <w:noProof/>
        </w:rPr>
        <w:t>. 1983.</w:t>
      </w:r>
    </w:p>
    <w:p w14:paraId="1D6C3F7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 Chistoserdova L, Lidstrom ME: </w:t>
      </w:r>
      <w:r w:rsidRPr="008C0508">
        <w:rPr>
          <w:rFonts w:cs="Arial"/>
          <w:i/>
          <w:iCs/>
          <w:noProof/>
        </w:rPr>
        <w:t>Aerobic Methylotrophic Prokaryotes</w:t>
      </w:r>
      <w:r w:rsidRPr="008C0508">
        <w:rPr>
          <w:rFonts w:cs="Arial"/>
          <w:noProof/>
        </w:rPr>
        <w:t>. Berlin, Heidelberg: Springer Berlin Heidelberg; 2013.</w:t>
      </w:r>
    </w:p>
    <w:p w14:paraId="5CCAA6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 Chistoserdova L, Kalyuzhnaya MG, Lidstrom ME: </w:t>
      </w:r>
      <w:r w:rsidRPr="008C0508">
        <w:rPr>
          <w:rFonts w:cs="Arial"/>
          <w:b/>
          <w:bCs/>
          <w:noProof/>
        </w:rPr>
        <w:t xml:space="preserve">The expanding world of methylotrophic </w:t>
      </w:r>
      <w:r w:rsidRPr="008C0508">
        <w:rPr>
          <w:rFonts w:cs="Arial"/>
          <w:b/>
          <w:bCs/>
          <w:noProof/>
        </w:rPr>
        <w:lastRenderedPageBreak/>
        <w:t>metabolism.</w:t>
      </w:r>
      <w:r w:rsidRPr="008C0508">
        <w:rPr>
          <w:rFonts w:cs="Arial"/>
          <w:noProof/>
        </w:rPr>
        <w:t xml:space="preserve"> </w:t>
      </w:r>
      <w:r w:rsidRPr="008C0508">
        <w:rPr>
          <w:rFonts w:cs="Arial"/>
          <w:i/>
          <w:iCs/>
          <w:noProof/>
        </w:rPr>
        <w:t>Annu Rev Microbiol</w:t>
      </w:r>
      <w:r w:rsidRPr="008C0508">
        <w:rPr>
          <w:rFonts w:cs="Arial"/>
          <w:noProof/>
        </w:rPr>
        <w:t xml:space="preserve"> 2009, </w:t>
      </w:r>
      <w:r w:rsidRPr="008C0508">
        <w:rPr>
          <w:rFonts w:cs="Arial"/>
          <w:b/>
          <w:bCs/>
          <w:noProof/>
        </w:rPr>
        <w:t>63</w:t>
      </w:r>
      <w:r w:rsidRPr="008C0508">
        <w:rPr>
          <w:rFonts w:cs="Arial"/>
          <w:noProof/>
        </w:rPr>
        <w:t>:477–99.</w:t>
      </w:r>
    </w:p>
    <w:p w14:paraId="655C65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 Kalyuzhnaya M, Puri AW, Lidstrom ME: </w:t>
      </w:r>
      <w:r w:rsidRPr="008C0508">
        <w:rPr>
          <w:rFonts w:cs="Arial"/>
          <w:b/>
          <w:bCs/>
          <w:noProof/>
        </w:rPr>
        <w:t>Metabolic engineering in methanotrophic bacteria.</w:t>
      </w:r>
      <w:r w:rsidRPr="008C0508">
        <w:rPr>
          <w:rFonts w:cs="Arial"/>
          <w:noProof/>
        </w:rPr>
        <w:t xml:space="preserve"> </w:t>
      </w:r>
      <w:r w:rsidRPr="008C0508">
        <w:rPr>
          <w:rFonts w:cs="Arial"/>
          <w:i/>
          <w:iCs/>
          <w:noProof/>
        </w:rPr>
        <w:t>Metab Eng</w:t>
      </w:r>
      <w:r w:rsidRPr="008C0508">
        <w:rPr>
          <w:rFonts w:cs="Arial"/>
          <w:noProof/>
        </w:rPr>
        <w:t xml:space="preserve"> 2015, </w:t>
      </w:r>
      <w:r w:rsidRPr="008C0508">
        <w:rPr>
          <w:rFonts w:cs="Arial"/>
          <w:b/>
          <w:bCs/>
          <w:noProof/>
        </w:rPr>
        <w:t>29</w:t>
      </w:r>
      <w:r w:rsidRPr="008C0508">
        <w:rPr>
          <w:rFonts w:cs="Arial"/>
          <w:noProof/>
        </w:rPr>
        <w:t>:142–152.</w:t>
      </w:r>
    </w:p>
    <w:p w14:paraId="249E3AF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 Lan EI, Liao JC: </w:t>
      </w:r>
      <w:r w:rsidRPr="008C0508">
        <w:rPr>
          <w:rFonts w:cs="Arial"/>
          <w:b/>
          <w:bCs/>
          <w:noProof/>
        </w:rPr>
        <w:t>Microbial synthesis of n-butanol, isobutanol, and other higher alcohols from diverse resources.</w:t>
      </w:r>
      <w:r w:rsidRPr="008C0508">
        <w:rPr>
          <w:rFonts w:cs="Arial"/>
          <w:noProof/>
        </w:rPr>
        <w:t xml:space="preserve"> </w:t>
      </w:r>
      <w:r w:rsidRPr="008C0508">
        <w:rPr>
          <w:rFonts w:cs="Arial"/>
          <w:i/>
          <w:iCs/>
          <w:noProof/>
        </w:rPr>
        <w:t>Bioresour Technol</w:t>
      </w:r>
      <w:r w:rsidRPr="008C0508">
        <w:rPr>
          <w:rFonts w:cs="Arial"/>
          <w:noProof/>
        </w:rPr>
        <w:t xml:space="preserve"> 2013, </w:t>
      </w:r>
      <w:r w:rsidRPr="008C0508">
        <w:rPr>
          <w:rFonts w:cs="Arial"/>
          <w:b/>
          <w:bCs/>
          <w:noProof/>
        </w:rPr>
        <w:t>135</w:t>
      </w:r>
      <w:r w:rsidRPr="008C0508">
        <w:rPr>
          <w:rFonts w:cs="Arial"/>
          <w:noProof/>
        </w:rPr>
        <w:t>:339–49.</w:t>
      </w:r>
    </w:p>
    <w:p w14:paraId="6549880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 Gronenberg LS, Marcheschi RJ, Liao JC: </w:t>
      </w:r>
      <w:r w:rsidRPr="008C0508">
        <w:rPr>
          <w:rFonts w:cs="Arial"/>
          <w:b/>
          <w:bCs/>
          <w:noProof/>
        </w:rPr>
        <w:t>Next generation biofuel engineering in prokaryotes.</w:t>
      </w:r>
      <w:r w:rsidRPr="008C0508">
        <w:rPr>
          <w:rFonts w:cs="Arial"/>
          <w:noProof/>
        </w:rPr>
        <w:t xml:space="preserve"> </w:t>
      </w:r>
      <w:r w:rsidRPr="008C0508">
        <w:rPr>
          <w:rFonts w:cs="Arial"/>
          <w:i/>
          <w:iCs/>
          <w:noProof/>
        </w:rPr>
        <w:t>Curr Opin Chem Biol</w:t>
      </w:r>
      <w:r w:rsidRPr="008C0508">
        <w:rPr>
          <w:rFonts w:cs="Arial"/>
          <w:noProof/>
        </w:rPr>
        <w:t xml:space="preserve"> 2013, </w:t>
      </w:r>
      <w:r w:rsidRPr="008C0508">
        <w:rPr>
          <w:rFonts w:cs="Arial"/>
          <w:b/>
          <w:bCs/>
          <w:noProof/>
        </w:rPr>
        <w:t>17</w:t>
      </w:r>
      <w:r w:rsidRPr="008C0508">
        <w:rPr>
          <w:rFonts w:cs="Arial"/>
          <w:noProof/>
        </w:rPr>
        <w:t>:462–71.</w:t>
      </w:r>
    </w:p>
    <w:p w14:paraId="50F51E8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 Nielsen J, Fussenegger M, Keasling J, Lee SY, Liao JC, Prather K, Palsson B: </w:t>
      </w:r>
      <w:r w:rsidRPr="008C0508">
        <w:rPr>
          <w:rFonts w:cs="Arial"/>
          <w:b/>
          <w:bCs/>
          <w:noProof/>
        </w:rPr>
        <w:t>Engineering synergy in biotechnology.</w:t>
      </w:r>
      <w:r w:rsidRPr="008C0508">
        <w:rPr>
          <w:rFonts w:cs="Arial"/>
          <w:noProof/>
        </w:rPr>
        <w:t xml:space="preserve"> </w:t>
      </w:r>
      <w:r w:rsidRPr="008C0508">
        <w:rPr>
          <w:rFonts w:cs="Arial"/>
          <w:i/>
          <w:iCs/>
          <w:noProof/>
        </w:rPr>
        <w:t>Nat Chem Biol</w:t>
      </w:r>
      <w:r w:rsidRPr="008C0508">
        <w:rPr>
          <w:rFonts w:cs="Arial"/>
          <w:noProof/>
        </w:rPr>
        <w:t xml:space="preserve"> 2014, </w:t>
      </w:r>
      <w:r w:rsidRPr="008C0508">
        <w:rPr>
          <w:rFonts w:cs="Arial"/>
          <w:b/>
          <w:bCs/>
          <w:noProof/>
        </w:rPr>
        <w:t>10</w:t>
      </w:r>
      <w:r w:rsidRPr="008C0508">
        <w:rPr>
          <w:rFonts w:cs="Arial"/>
          <w:noProof/>
        </w:rPr>
        <w:t>:319–22.</w:t>
      </w:r>
    </w:p>
    <w:p w14:paraId="66A1300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 Kalscheuer R, Stölting T, Steinbüchel A: </w:t>
      </w:r>
      <w:r w:rsidRPr="008C0508">
        <w:rPr>
          <w:rFonts w:cs="Arial"/>
          <w:b/>
          <w:bCs/>
          <w:noProof/>
        </w:rPr>
        <w:t>Microdiesel: Escherichia coli engineered for fuel production.</w:t>
      </w:r>
      <w:r w:rsidRPr="008C0508">
        <w:rPr>
          <w:rFonts w:cs="Arial"/>
          <w:noProof/>
        </w:rPr>
        <w:t xml:space="preserve"> </w:t>
      </w:r>
      <w:r w:rsidRPr="008C0508">
        <w:rPr>
          <w:rFonts w:cs="Arial"/>
          <w:i/>
          <w:iCs/>
          <w:noProof/>
        </w:rPr>
        <w:t>Microbiology</w:t>
      </w:r>
      <w:r w:rsidRPr="008C0508">
        <w:rPr>
          <w:rFonts w:cs="Arial"/>
          <w:noProof/>
        </w:rPr>
        <w:t xml:space="preserve"> 2006, </w:t>
      </w:r>
      <w:r w:rsidRPr="008C0508">
        <w:rPr>
          <w:rFonts w:cs="Arial"/>
          <w:b/>
          <w:bCs/>
          <w:noProof/>
        </w:rPr>
        <w:t>152</w:t>
      </w:r>
      <w:r w:rsidRPr="008C0508">
        <w:rPr>
          <w:rFonts w:cs="Arial"/>
          <w:noProof/>
        </w:rPr>
        <w:t>(Pt 9):2529–36.</w:t>
      </w:r>
    </w:p>
    <w:p w14:paraId="50BB861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9. Wackett LP: </w:t>
      </w:r>
      <w:r w:rsidRPr="008C0508">
        <w:rPr>
          <w:rFonts w:cs="Arial"/>
          <w:b/>
          <w:bCs/>
          <w:noProof/>
        </w:rPr>
        <w:t>Biomass to fuels via microbial transformations.</w:t>
      </w:r>
      <w:r w:rsidRPr="008C0508">
        <w:rPr>
          <w:rFonts w:cs="Arial"/>
          <w:noProof/>
        </w:rPr>
        <w:t xml:space="preserve"> </w:t>
      </w:r>
      <w:r w:rsidRPr="008C0508">
        <w:rPr>
          <w:rFonts w:cs="Arial"/>
          <w:i/>
          <w:iCs/>
          <w:noProof/>
        </w:rPr>
        <w:t>Curr Opin Chem Biol</w:t>
      </w:r>
      <w:r w:rsidRPr="008C0508">
        <w:rPr>
          <w:rFonts w:cs="Arial"/>
          <w:noProof/>
        </w:rPr>
        <w:t xml:space="preserve"> 2008, </w:t>
      </w:r>
      <w:r w:rsidRPr="008C0508">
        <w:rPr>
          <w:rFonts w:cs="Arial"/>
          <w:b/>
          <w:bCs/>
          <w:noProof/>
        </w:rPr>
        <w:t>12</w:t>
      </w:r>
      <w:r w:rsidRPr="008C0508">
        <w:rPr>
          <w:rFonts w:cs="Arial"/>
          <w:noProof/>
        </w:rPr>
        <w:t>:187–93.</w:t>
      </w:r>
    </w:p>
    <w:p w14:paraId="4513A6C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10. Haynes CA, Gonzalez R: </w:t>
      </w:r>
      <w:r w:rsidRPr="008C0508">
        <w:rPr>
          <w:rFonts w:cs="Arial"/>
          <w:b/>
          <w:bCs/>
          <w:noProof/>
        </w:rPr>
        <w:t>Rethinking biological activation of methane and conversion to liquid fuels.</w:t>
      </w:r>
      <w:r w:rsidRPr="008C0508">
        <w:rPr>
          <w:rFonts w:cs="Arial"/>
          <w:noProof/>
        </w:rPr>
        <w:t xml:space="preserve"> </w:t>
      </w:r>
      <w:r w:rsidRPr="008C0508">
        <w:rPr>
          <w:rFonts w:cs="Arial"/>
          <w:i/>
          <w:iCs/>
          <w:noProof/>
        </w:rPr>
        <w:t>Nat Chem Biol</w:t>
      </w:r>
      <w:r w:rsidRPr="008C0508">
        <w:rPr>
          <w:rFonts w:cs="Arial"/>
          <w:noProof/>
        </w:rPr>
        <w:t xml:space="preserve"> 2014, </w:t>
      </w:r>
      <w:r w:rsidRPr="008C0508">
        <w:rPr>
          <w:rFonts w:cs="Arial"/>
          <w:b/>
          <w:bCs/>
          <w:noProof/>
        </w:rPr>
        <w:t>10</w:t>
      </w:r>
      <w:r w:rsidRPr="008C0508">
        <w:rPr>
          <w:rFonts w:cs="Arial"/>
          <w:noProof/>
        </w:rPr>
        <w:t>:331–9.</w:t>
      </w:r>
    </w:p>
    <w:p w14:paraId="1DF2D1C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11. Kalyuzhnaya MG, Yang S, Rozova ON, Smalley NE, Clubb J, Lamb  a, Gowda G a N, Raftery D, Fu Y, Bringel F, Vuilleumier S, Beck D a C, Trotsenko Y a, Khmelenina VN, Lidstrom ME: </w:t>
      </w:r>
      <w:r w:rsidRPr="008C0508">
        <w:rPr>
          <w:rFonts w:cs="Arial"/>
          <w:b/>
          <w:bCs/>
          <w:noProof/>
        </w:rPr>
        <w:t>Highly efficient methane biocatalysis revealed in a methanotrophic bacterium.</w:t>
      </w:r>
      <w:r w:rsidRPr="008C0508">
        <w:rPr>
          <w:rFonts w:cs="Arial"/>
          <w:noProof/>
        </w:rPr>
        <w:t xml:space="preserve"> </w:t>
      </w:r>
      <w:r w:rsidRPr="008C0508">
        <w:rPr>
          <w:rFonts w:cs="Arial"/>
          <w:i/>
          <w:iCs/>
          <w:noProof/>
        </w:rPr>
        <w:t>Nat Commun</w:t>
      </w:r>
      <w:r w:rsidRPr="008C0508">
        <w:rPr>
          <w:rFonts w:cs="Arial"/>
          <w:noProof/>
        </w:rPr>
        <w:t xml:space="preserve"> 2013, </w:t>
      </w:r>
      <w:r w:rsidRPr="008C0508">
        <w:rPr>
          <w:rFonts w:cs="Arial"/>
          <w:b/>
          <w:bCs/>
          <w:noProof/>
        </w:rPr>
        <w:t>4</w:t>
      </w:r>
      <w:r w:rsidRPr="008C0508">
        <w:rPr>
          <w:rFonts w:cs="Arial"/>
          <w:noProof/>
        </w:rPr>
        <w:t>(May):2785.</w:t>
      </w:r>
    </w:p>
    <w:p w14:paraId="076687D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12. Conrado RJ, Gonzalez R: </w:t>
      </w:r>
      <w:r w:rsidRPr="008C0508">
        <w:rPr>
          <w:rFonts w:cs="Arial"/>
          <w:b/>
          <w:bCs/>
          <w:noProof/>
        </w:rPr>
        <w:t>Chemistry. Envisioning the bioconversion of methane to liquid fuels.</w:t>
      </w:r>
      <w:r w:rsidRPr="008C0508">
        <w:rPr>
          <w:rFonts w:cs="Arial"/>
          <w:noProof/>
        </w:rPr>
        <w:t xml:space="preserve"> </w:t>
      </w:r>
      <w:r w:rsidRPr="008C0508">
        <w:rPr>
          <w:rFonts w:cs="Arial"/>
          <w:i/>
          <w:iCs/>
          <w:noProof/>
        </w:rPr>
        <w:t>Science</w:t>
      </w:r>
      <w:r w:rsidRPr="008C0508">
        <w:rPr>
          <w:rFonts w:cs="Arial"/>
          <w:noProof/>
        </w:rPr>
        <w:t xml:space="preserve"> 2014, </w:t>
      </w:r>
      <w:r w:rsidRPr="008C0508">
        <w:rPr>
          <w:rFonts w:cs="Arial"/>
          <w:b/>
          <w:bCs/>
          <w:noProof/>
        </w:rPr>
        <w:t>343</w:t>
      </w:r>
      <w:r w:rsidRPr="008C0508">
        <w:rPr>
          <w:rFonts w:cs="Arial"/>
          <w:noProof/>
        </w:rPr>
        <w:t>:621–3.</w:t>
      </w:r>
    </w:p>
    <w:p w14:paraId="03757CE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13. Cameron DC: </w:t>
      </w:r>
      <w:r w:rsidRPr="008C0508">
        <w:rPr>
          <w:rFonts w:cs="Arial"/>
          <w:b/>
          <w:bCs/>
          <w:noProof/>
        </w:rPr>
        <w:t>Methane as a Feedstock for Bio-based Processes An Industrial and Venture Perspective</w:t>
      </w:r>
      <w:r w:rsidRPr="008C0508">
        <w:rPr>
          <w:rFonts w:cs="Arial"/>
          <w:noProof/>
        </w:rPr>
        <w:t>. 2012.</w:t>
      </w:r>
    </w:p>
    <w:p w14:paraId="4D4555D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14. Schrader J, Schilling M, Holtmann D, Sell D, Filho MV, Marx A, Vorholt J a: </w:t>
      </w:r>
      <w:r w:rsidRPr="008C0508">
        <w:rPr>
          <w:rFonts w:cs="Arial"/>
          <w:b/>
          <w:bCs/>
          <w:noProof/>
        </w:rPr>
        <w:t>Methanol-based industrial biotechnology: current status and future perspectives of methylotrophic bacteria.</w:t>
      </w:r>
      <w:r w:rsidRPr="008C0508">
        <w:rPr>
          <w:rFonts w:cs="Arial"/>
          <w:noProof/>
        </w:rPr>
        <w:t xml:space="preserve"> </w:t>
      </w:r>
      <w:r w:rsidRPr="008C0508">
        <w:rPr>
          <w:rFonts w:cs="Arial"/>
          <w:i/>
          <w:iCs/>
          <w:noProof/>
        </w:rPr>
        <w:t>Trends Biotechnol</w:t>
      </w:r>
      <w:r w:rsidRPr="008C0508">
        <w:rPr>
          <w:rFonts w:cs="Arial"/>
          <w:noProof/>
        </w:rPr>
        <w:t xml:space="preserve"> 2009, </w:t>
      </w:r>
      <w:r w:rsidRPr="008C0508">
        <w:rPr>
          <w:rFonts w:cs="Arial"/>
          <w:b/>
          <w:bCs/>
          <w:noProof/>
        </w:rPr>
        <w:t>27</w:t>
      </w:r>
      <w:r w:rsidRPr="008C0508">
        <w:rPr>
          <w:rFonts w:cs="Arial"/>
          <w:noProof/>
        </w:rPr>
        <w:t>:107–15.</w:t>
      </w:r>
    </w:p>
    <w:p w14:paraId="77FA6A6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15. Semrau JD: </w:t>
      </w:r>
      <w:r w:rsidRPr="008C0508">
        <w:rPr>
          <w:rFonts w:cs="Arial"/>
          <w:b/>
          <w:bCs/>
          <w:noProof/>
        </w:rPr>
        <w:t>Bioremediation via Methanotrophy: Overview of Recent Findings and Suggestions for Future Research.</w:t>
      </w:r>
      <w:r w:rsidRPr="008C0508">
        <w:rPr>
          <w:rFonts w:cs="Arial"/>
          <w:noProof/>
        </w:rPr>
        <w:t xml:space="preserve"> </w:t>
      </w:r>
      <w:r w:rsidRPr="008C0508">
        <w:rPr>
          <w:rFonts w:cs="Arial"/>
          <w:i/>
          <w:iCs/>
          <w:noProof/>
        </w:rPr>
        <w:t>Front Microbiol</w:t>
      </w:r>
      <w:r w:rsidRPr="008C0508">
        <w:rPr>
          <w:rFonts w:cs="Arial"/>
          <w:noProof/>
        </w:rPr>
        <w:t xml:space="preserve"> 2011, </w:t>
      </w:r>
      <w:r w:rsidRPr="008C0508">
        <w:rPr>
          <w:rFonts w:cs="Arial"/>
          <w:b/>
          <w:bCs/>
          <w:noProof/>
        </w:rPr>
        <w:t>2</w:t>
      </w:r>
      <w:r w:rsidRPr="008C0508">
        <w:rPr>
          <w:rFonts w:cs="Arial"/>
          <w:noProof/>
        </w:rPr>
        <w:t>:209.</w:t>
      </w:r>
    </w:p>
    <w:p w14:paraId="5CD1AB37"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16. Schneider K, Peyraud R, Kiefer P, Christen P, Delmotte N, Massou S, Portais J-C, Vorholt J a: </w:t>
      </w:r>
      <w:r w:rsidRPr="008C0508">
        <w:rPr>
          <w:rFonts w:cs="Arial"/>
          <w:b/>
          <w:bCs/>
          <w:noProof/>
        </w:rPr>
        <w:t>The ethylmalonyl-CoA pathway is used in place of the glyoxylate cycle by Methylobacterium extorquens AM1 during growth on acetate.</w:t>
      </w:r>
      <w:r w:rsidRPr="008C0508">
        <w:rPr>
          <w:rFonts w:cs="Arial"/>
          <w:noProof/>
        </w:rPr>
        <w:t xml:space="preserve"> </w:t>
      </w:r>
      <w:r w:rsidRPr="008C0508">
        <w:rPr>
          <w:rFonts w:cs="Arial"/>
          <w:i/>
          <w:iCs/>
          <w:noProof/>
        </w:rPr>
        <w:t>J Biol Chem</w:t>
      </w:r>
      <w:r w:rsidRPr="008C0508">
        <w:rPr>
          <w:rFonts w:cs="Arial"/>
          <w:noProof/>
        </w:rPr>
        <w:t xml:space="preserve"> 2012, </w:t>
      </w:r>
      <w:r w:rsidRPr="008C0508">
        <w:rPr>
          <w:rFonts w:cs="Arial"/>
          <w:b/>
          <w:bCs/>
          <w:noProof/>
        </w:rPr>
        <w:t>287</w:t>
      </w:r>
      <w:r w:rsidRPr="008C0508">
        <w:rPr>
          <w:rFonts w:cs="Arial"/>
          <w:noProof/>
        </w:rPr>
        <w:t>:757–66.</w:t>
      </w:r>
    </w:p>
    <w:p w14:paraId="72A2521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17. Crowther GJ, Kosály G, Lidstrom ME: </w:t>
      </w:r>
      <w:r w:rsidRPr="008C0508">
        <w:rPr>
          <w:rFonts w:cs="Arial"/>
          <w:b/>
          <w:bCs/>
          <w:noProof/>
        </w:rPr>
        <w:t>Formate as the main branch point for methylotrophic metabolism in Methylobacterium extorquens AM1.</w:t>
      </w:r>
      <w:r w:rsidRPr="008C0508">
        <w:rPr>
          <w:rFonts w:cs="Arial"/>
          <w:noProof/>
        </w:rPr>
        <w:t xml:space="preserve"> </w:t>
      </w:r>
      <w:r w:rsidRPr="008C0508">
        <w:rPr>
          <w:rFonts w:cs="Arial"/>
          <w:i/>
          <w:iCs/>
          <w:noProof/>
        </w:rPr>
        <w:t>J Bacteriol</w:t>
      </w:r>
      <w:r w:rsidRPr="008C0508">
        <w:rPr>
          <w:rFonts w:cs="Arial"/>
          <w:noProof/>
        </w:rPr>
        <w:t xml:space="preserve"> 2008, </w:t>
      </w:r>
      <w:r w:rsidRPr="008C0508">
        <w:rPr>
          <w:rFonts w:cs="Arial"/>
          <w:b/>
          <w:bCs/>
          <w:noProof/>
        </w:rPr>
        <w:t>190</w:t>
      </w:r>
      <w:r w:rsidRPr="008C0508">
        <w:rPr>
          <w:rFonts w:cs="Arial"/>
          <w:noProof/>
        </w:rPr>
        <w:t>:5057–62.</w:t>
      </w:r>
    </w:p>
    <w:p w14:paraId="583438E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18. Chistoserdova L, Chen S-W, Lapidus A, Lidstrom ME: </w:t>
      </w:r>
      <w:r w:rsidRPr="008C0508">
        <w:rPr>
          <w:rFonts w:cs="Arial"/>
          <w:b/>
          <w:bCs/>
          <w:noProof/>
        </w:rPr>
        <w:t>Methylotrophy in Methylobacterium extorquens AM1 from a genomic point of view.</w:t>
      </w:r>
      <w:r w:rsidRPr="008C0508">
        <w:rPr>
          <w:rFonts w:cs="Arial"/>
          <w:noProof/>
        </w:rPr>
        <w:t xml:space="preserve"> </w:t>
      </w:r>
      <w:r w:rsidRPr="008C0508">
        <w:rPr>
          <w:rFonts w:cs="Arial"/>
          <w:i/>
          <w:iCs/>
          <w:noProof/>
        </w:rPr>
        <w:t>J Bacteriol</w:t>
      </w:r>
      <w:r w:rsidRPr="008C0508">
        <w:rPr>
          <w:rFonts w:cs="Arial"/>
          <w:noProof/>
        </w:rPr>
        <w:t xml:space="preserve"> 2003, </w:t>
      </w:r>
      <w:r w:rsidRPr="008C0508">
        <w:rPr>
          <w:rFonts w:cs="Arial"/>
          <w:b/>
          <w:bCs/>
          <w:noProof/>
        </w:rPr>
        <w:t>185</w:t>
      </w:r>
      <w:r w:rsidRPr="008C0508">
        <w:rPr>
          <w:rFonts w:cs="Arial"/>
          <w:noProof/>
        </w:rPr>
        <w:t>:2980–7.</w:t>
      </w:r>
    </w:p>
    <w:p w14:paraId="667731F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19. Vuilleumier S, Chistoserdova L, Lee M-C, Bringel F, Lajus A, Zhou Y, Gourion B, Barbe V, Chang J, Cruveiller S, Dossat C, Gillett W, Gruffaz C, Haugen E, Hourcade E, Levy R, Mangenot S, Muller E, Nadalig T, Pagni M, Penny C, Peyraud R, Robinson DG, Roche D, Rouy Z, Saenampechek C, Salvignol G, Vallenet D, Wu Z, Marx CJ, et al.: </w:t>
      </w:r>
      <w:r w:rsidRPr="008C0508">
        <w:rPr>
          <w:rFonts w:cs="Arial"/>
          <w:b/>
          <w:bCs/>
          <w:noProof/>
        </w:rPr>
        <w:t>Methylobacterium genome sequences: a reference blueprint to investigate microbial metabolism of C1 compounds from natural and industrial sources.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:e5584.</w:t>
      </w:r>
    </w:p>
    <w:p w14:paraId="05C467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20. Marx CJ, Lidstrom ME: </w:t>
      </w:r>
      <w:r w:rsidRPr="008C0508">
        <w:rPr>
          <w:rFonts w:cs="Arial"/>
          <w:b/>
          <w:bCs/>
          <w:noProof/>
        </w:rPr>
        <w:t>Broad-host-range cre-lox system for antibiotic marker recycling in gram-negative bacteria.</w:t>
      </w:r>
      <w:r w:rsidRPr="008C0508">
        <w:rPr>
          <w:rFonts w:cs="Arial"/>
          <w:noProof/>
        </w:rPr>
        <w:t xml:space="preserve"> </w:t>
      </w:r>
      <w:r w:rsidRPr="008C0508">
        <w:rPr>
          <w:rFonts w:cs="Arial"/>
          <w:i/>
          <w:iCs/>
          <w:noProof/>
        </w:rPr>
        <w:t>Biotechniques</w:t>
      </w:r>
      <w:r w:rsidRPr="008C0508">
        <w:rPr>
          <w:rFonts w:cs="Arial"/>
          <w:noProof/>
        </w:rPr>
        <w:t xml:space="preserve"> 2002, </w:t>
      </w:r>
      <w:r w:rsidRPr="008C0508">
        <w:rPr>
          <w:rFonts w:cs="Arial"/>
          <w:b/>
          <w:bCs/>
          <w:noProof/>
        </w:rPr>
        <w:t>33</w:t>
      </w:r>
      <w:r w:rsidRPr="008C0508">
        <w:rPr>
          <w:rFonts w:cs="Arial"/>
          <w:noProof/>
        </w:rPr>
        <w:t>:1062–1067.</w:t>
      </w:r>
    </w:p>
    <w:p w14:paraId="5AC3C87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21. Peyraud R, Schneider K, Kiefer P, Massou S, Vorholt J 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23EE0F5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22. Yang S, Sadilek M, Synovec RE, Lidstrom ME: </w:t>
      </w:r>
      <w:r w:rsidRPr="008C0508">
        <w:rPr>
          <w:rFonts w:cs="Arial"/>
          <w:b/>
          <w:bCs/>
          <w:noProof/>
        </w:rPr>
        <w:t>Liquid chromatography-tandem quadrupole mass spectrometry and comprehensive two-dimensional gas chromatography-time-of-flight mass spectrometry measurement of targeted metabolites of Methylobacterium extorquens AM1 grown on two different carbon sources.</w:t>
      </w:r>
      <w:r w:rsidRPr="008C0508">
        <w:rPr>
          <w:rFonts w:cs="Arial"/>
          <w:noProof/>
        </w:rPr>
        <w:t xml:space="preserve"> </w:t>
      </w:r>
      <w:r w:rsidRPr="008C0508">
        <w:rPr>
          <w:rFonts w:cs="Arial"/>
          <w:i/>
          <w:iCs/>
          <w:noProof/>
        </w:rPr>
        <w:t>J Chromatogr A</w:t>
      </w:r>
      <w:r w:rsidRPr="008C0508">
        <w:rPr>
          <w:rFonts w:cs="Arial"/>
          <w:noProof/>
        </w:rPr>
        <w:t xml:space="preserve"> 2009, </w:t>
      </w:r>
      <w:r w:rsidRPr="008C0508">
        <w:rPr>
          <w:rFonts w:cs="Arial"/>
          <w:b/>
          <w:bCs/>
          <w:noProof/>
        </w:rPr>
        <w:t>1216</w:t>
      </w:r>
      <w:r w:rsidRPr="008C0508">
        <w:rPr>
          <w:rFonts w:cs="Arial"/>
          <w:noProof/>
        </w:rPr>
        <w:t>:3280–9.</w:t>
      </w:r>
    </w:p>
    <w:p w14:paraId="7ED03AF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23. Hu B, Lidstrom ME: </w:t>
      </w:r>
      <w:r w:rsidRPr="008C0508">
        <w:rPr>
          <w:rFonts w:cs="Arial"/>
          <w:b/>
          <w:bCs/>
          <w:noProof/>
        </w:rPr>
        <w:t>Metabolic engineering of Methylobacterium extorquens AM1 for 1-butanol production.</w:t>
      </w:r>
      <w:r w:rsidRPr="008C0508">
        <w:rPr>
          <w:rFonts w:cs="Arial"/>
          <w:noProof/>
        </w:rPr>
        <w:t xml:space="preserve"> </w:t>
      </w:r>
      <w:r w:rsidRPr="008C0508">
        <w:rPr>
          <w:rFonts w:cs="Arial"/>
          <w:i/>
          <w:iCs/>
          <w:noProof/>
        </w:rPr>
        <w:t>Biotechnol Biofuels</w:t>
      </w:r>
      <w:r w:rsidRPr="008C0508">
        <w:rPr>
          <w:rFonts w:cs="Arial"/>
          <w:noProof/>
        </w:rPr>
        <w:t xml:space="preserve"> 2014, </w:t>
      </w:r>
      <w:r w:rsidRPr="008C0508">
        <w:rPr>
          <w:rFonts w:cs="Arial"/>
          <w:b/>
          <w:bCs/>
          <w:noProof/>
        </w:rPr>
        <w:t>7</w:t>
      </w:r>
      <w:r w:rsidRPr="008C0508">
        <w:rPr>
          <w:rFonts w:cs="Arial"/>
          <w:noProof/>
        </w:rPr>
        <w:t>:156.</w:t>
      </w:r>
    </w:p>
    <w:p w14:paraId="15735AA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24. Helling RB: </w:t>
      </w:r>
      <w:r w:rsidRPr="008C0508">
        <w:rPr>
          <w:rFonts w:cs="Arial"/>
          <w:b/>
          <w:bCs/>
          <w:noProof/>
        </w:rPr>
        <w:t xml:space="preserve">Speed versus efficiency in microbial growth and the role of parallel </w:t>
      </w:r>
      <w:r w:rsidRPr="008C0508">
        <w:rPr>
          <w:rFonts w:cs="Arial"/>
          <w:b/>
          <w:bCs/>
          <w:noProof/>
        </w:rPr>
        <w:lastRenderedPageBreak/>
        <w:t>pathways.</w:t>
      </w:r>
      <w:r w:rsidRPr="008C0508">
        <w:rPr>
          <w:rFonts w:cs="Arial"/>
          <w:noProof/>
        </w:rPr>
        <w:t xml:space="preserve"> </w:t>
      </w:r>
      <w:r w:rsidRPr="008C0508">
        <w:rPr>
          <w:rFonts w:cs="Arial"/>
          <w:i/>
          <w:iCs/>
          <w:noProof/>
        </w:rPr>
        <w:t>J Bacteriol</w:t>
      </w:r>
      <w:r w:rsidRPr="008C0508">
        <w:rPr>
          <w:rFonts w:cs="Arial"/>
          <w:noProof/>
        </w:rPr>
        <w:t xml:space="preserve"> 2002, </w:t>
      </w:r>
      <w:r w:rsidRPr="008C0508">
        <w:rPr>
          <w:rFonts w:cs="Arial"/>
          <w:b/>
          <w:bCs/>
          <w:noProof/>
        </w:rPr>
        <w:t>184</w:t>
      </w:r>
      <w:r w:rsidRPr="008C0508">
        <w:rPr>
          <w:rFonts w:cs="Arial"/>
          <w:noProof/>
        </w:rPr>
        <w:t>:1041–5.</w:t>
      </w:r>
    </w:p>
    <w:p w14:paraId="05692CE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25. Novak M, Pfeiffer T, Lenski RE, Sauer U, Bonhoeffer S: </w:t>
      </w:r>
      <w:r w:rsidRPr="008C0508">
        <w:rPr>
          <w:rFonts w:cs="Arial"/>
          <w:b/>
          <w:bCs/>
          <w:noProof/>
        </w:rPr>
        <w:t>Experimental tests for an evolutionary trade-off between growth rate and yield in E. coli.</w:t>
      </w:r>
      <w:r w:rsidRPr="008C0508">
        <w:rPr>
          <w:rFonts w:cs="Arial"/>
          <w:noProof/>
        </w:rPr>
        <w:t xml:space="preserve"> </w:t>
      </w:r>
      <w:r w:rsidRPr="008C0508">
        <w:rPr>
          <w:rFonts w:cs="Arial"/>
          <w:i/>
          <w:iCs/>
          <w:noProof/>
        </w:rPr>
        <w:t>Am Nat</w:t>
      </w:r>
      <w:r w:rsidRPr="008C0508">
        <w:rPr>
          <w:rFonts w:cs="Arial"/>
          <w:noProof/>
        </w:rPr>
        <w:t xml:space="preserve"> 2006, </w:t>
      </w:r>
      <w:r w:rsidRPr="008C0508">
        <w:rPr>
          <w:rFonts w:cs="Arial"/>
          <w:b/>
          <w:bCs/>
          <w:noProof/>
        </w:rPr>
        <w:t>168</w:t>
      </w:r>
      <w:r w:rsidRPr="008C0508">
        <w:rPr>
          <w:rFonts w:cs="Arial"/>
          <w:noProof/>
        </w:rPr>
        <w:t>:242–51.</w:t>
      </w:r>
    </w:p>
    <w:p w14:paraId="2EEC864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26. Skovran E, Crowther GJ, Guo X, Yang S, Lidstrom ME: </w:t>
      </w:r>
      <w:r w:rsidRPr="008C0508">
        <w:rPr>
          <w:rFonts w:cs="Arial"/>
          <w:b/>
          <w:bCs/>
          <w:noProof/>
        </w:rPr>
        <w:t>A systems biology approach uncovers cellular strategies used by Methylobacterium extorquens AM1 during the switch from multi- to single-carbon growth.</w:t>
      </w:r>
      <w:r w:rsidRPr="008C0508">
        <w:rPr>
          <w:rFonts w:cs="Arial"/>
          <w:noProof/>
        </w:rPr>
        <w:t xml:space="preserve"> </w:t>
      </w:r>
      <w:r w:rsidRPr="008C0508">
        <w:rPr>
          <w:rFonts w:cs="Arial"/>
          <w:i/>
          <w:iCs/>
          <w:noProof/>
        </w:rPr>
        <w:t>PLoS One</w:t>
      </w:r>
      <w:r w:rsidRPr="008C0508">
        <w:rPr>
          <w:rFonts w:cs="Arial"/>
          <w:noProof/>
        </w:rPr>
        <w:t xml:space="preserve"> 2010, </w:t>
      </w:r>
      <w:r w:rsidRPr="008C0508">
        <w:rPr>
          <w:rFonts w:cs="Arial"/>
          <w:b/>
          <w:bCs/>
          <w:noProof/>
        </w:rPr>
        <w:t>5</w:t>
      </w:r>
      <w:r w:rsidRPr="008C0508">
        <w:rPr>
          <w:rFonts w:cs="Arial"/>
          <w:noProof/>
        </w:rPr>
        <w:t>:e14091.</w:t>
      </w:r>
    </w:p>
    <w:p w14:paraId="42E7AB3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27. Puri AW, Owen S, Chu F, Chavkin T, Beck D a. C, Kalyuzhnaya MG, Lidstrom ME: </w:t>
      </w:r>
      <w:r w:rsidRPr="008C0508">
        <w:rPr>
          <w:rFonts w:cs="Arial"/>
          <w:b/>
          <w:bCs/>
          <w:noProof/>
        </w:rPr>
        <w:t>Genetic Tools for the Industrially Promising Methanotroph Methylomicrobium buryatense</w:t>
      </w:r>
      <w:r w:rsidRPr="008C0508">
        <w:rPr>
          <w:rFonts w:cs="Arial"/>
          <w:noProof/>
        </w:rPr>
        <w:t xml:space="preserve">. </w:t>
      </w:r>
      <w:r w:rsidRPr="008C0508">
        <w:rPr>
          <w:rFonts w:cs="Arial"/>
          <w:i/>
          <w:iCs/>
          <w:noProof/>
        </w:rPr>
        <w:t>Appl Environ Microbiol</w:t>
      </w:r>
      <w:r w:rsidRPr="008C0508">
        <w:rPr>
          <w:rFonts w:cs="Arial"/>
          <w:noProof/>
        </w:rPr>
        <w:t xml:space="preserve"> 2015, </w:t>
      </w:r>
      <w:r w:rsidRPr="008C0508">
        <w:rPr>
          <w:rFonts w:cs="Arial"/>
          <w:b/>
          <w:bCs/>
          <w:noProof/>
        </w:rPr>
        <w:t>81</w:t>
      </w:r>
      <w:r w:rsidRPr="008C0508">
        <w:rPr>
          <w:rFonts w:cs="Arial"/>
          <w:noProof/>
        </w:rPr>
        <w:t>:1775–1781.</w:t>
      </w:r>
    </w:p>
    <w:p w14:paraId="4C9FD53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28. Khmelenina VN, Beck DAC, Munk C, Davenport K, Daligault H, Erkkila T, Goodwin L, Gu W, Lo C-C, Scholz M, Teshima H, Xu Y, Chain P, Bringel F, Vuilleumier S, Dispirito A, Dunfield P, Jetten MSM, Klotz MG, Knief C, Murrell JC, Op den Camp HJM, Sakai Y, Semrau J, Svenning M, Stein LY, Trotsenko YA, Kalyuzhnaya MG: </w:t>
      </w:r>
      <w:r w:rsidRPr="008C0508">
        <w:rPr>
          <w:rFonts w:cs="Arial"/>
          <w:b/>
          <w:bCs/>
          <w:noProof/>
        </w:rPr>
        <w:t>Draft Genome Sequence of Methylomicrobium buryatense Strain 5G, a Haloalkaline-Tolerant Methanotrophic Bacterium.</w:t>
      </w:r>
      <w:r w:rsidRPr="008C0508">
        <w:rPr>
          <w:rFonts w:cs="Arial"/>
          <w:noProof/>
        </w:rPr>
        <w:t xml:space="preserve"> </w:t>
      </w:r>
      <w:r w:rsidRPr="008C0508">
        <w:rPr>
          <w:rFonts w:cs="Arial"/>
          <w:i/>
          <w:iCs/>
          <w:noProof/>
        </w:rPr>
        <w:t>Genome Announc</w:t>
      </w:r>
      <w:r w:rsidRPr="008C0508">
        <w:rPr>
          <w:rFonts w:cs="Arial"/>
          <w:noProof/>
        </w:rPr>
        <w:t xml:space="preserve"> 2013, </w:t>
      </w:r>
      <w:r w:rsidRPr="008C0508">
        <w:rPr>
          <w:rFonts w:cs="Arial"/>
          <w:b/>
          <w:bCs/>
          <w:noProof/>
        </w:rPr>
        <w:t>1</w:t>
      </w:r>
      <w:r w:rsidRPr="008C0508">
        <w:rPr>
          <w:rFonts w:cs="Arial"/>
          <w:noProof/>
        </w:rPr>
        <w:t>:e00053–13.</w:t>
      </w:r>
    </w:p>
    <w:p w14:paraId="2AC2707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29. Chen X, Alonso AP, Allen DK, Reed JL, Shachar-Hill Y: </w:t>
      </w:r>
      <w:r w:rsidRPr="008C0508">
        <w:rPr>
          <w:rFonts w:cs="Arial"/>
          <w:b/>
          <w:bCs/>
          <w:noProof/>
        </w:rPr>
        <w:t>Synergy between 13C-metabolic flux analysis and flux balance analysis for understanding metabolic adaption to anaerobiosis in E. coli</w:t>
      </w:r>
      <w:r w:rsidRPr="008C0508">
        <w:rPr>
          <w:rFonts w:cs="Arial"/>
          <w:noProof/>
        </w:rPr>
        <w:t xml:space="preserve">. </w:t>
      </w:r>
      <w:r w:rsidRPr="008C0508">
        <w:rPr>
          <w:rFonts w:cs="Arial"/>
          <w:i/>
          <w:iCs/>
          <w:noProof/>
        </w:rPr>
        <w:t>Metab Eng</w:t>
      </w:r>
      <w:r w:rsidRPr="008C0508">
        <w:rPr>
          <w:rFonts w:cs="Arial"/>
          <w:noProof/>
        </w:rPr>
        <w:t xml:space="preserve"> 2011, </w:t>
      </w:r>
      <w:r w:rsidRPr="008C0508">
        <w:rPr>
          <w:rFonts w:cs="Arial"/>
          <w:b/>
          <w:bCs/>
          <w:noProof/>
        </w:rPr>
        <w:t>13</w:t>
      </w:r>
      <w:r w:rsidRPr="008C0508">
        <w:rPr>
          <w:rFonts w:cs="Arial"/>
          <w:noProof/>
        </w:rPr>
        <w:t>:38–48.</w:t>
      </w:r>
    </w:p>
    <w:p w14:paraId="0061AA3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30. Wiechert W: </w:t>
      </w:r>
      <w:r w:rsidRPr="008C0508">
        <w:rPr>
          <w:rFonts w:cs="Arial"/>
          <w:b/>
          <w:bCs/>
          <w:noProof/>
        </w:rPr>
        <w:t>13C metabolic flux analysis.</w:t>
      </w:r>
      <w:r w:rsidRPr="008C0508">
        <w:rPr>
          <w:rFonts w:cs="Arial"/>
          <w:noProof/>
        </w:rPr>
        <w:t xml:space="preserve"> </w:t>
      </w:r>
      <w:r w:rsidRPr="008C0508">
        <w:rPr>
          <w:rFonts w:cs="Arial"/>
          <w:i/>
          <w:iCs/>
          <w:noProof/>
        </w:rPr>
        <w:t>Metab Eng</w:t>
      </w:r>
      <w:r w:rsidRPr="008C0508">
        <w:rPr>
          <w:rFonts w:cs="Arial"/>
          <w:noProof/>
        </w:rPr>
        <w:t xml:space="preserve"> 2001, </w:t>
      </w:r>
      <w:r w:rsidRPr="008C0508">
        <w:rPr>
          <w:rFonts w:cs="Arial"/>
          <w:b/>
          <w:bCs/>
          <w:noProof/>
        </w:rPr>
        <w:t>3</w:t>
      </w:r>
      <w:r w:rsidRPr="008C0508">
        <w:rPr>
          <w:rFonts w:cs="Arial"/>
          <w:noProof/>
        </w:rPr>
        <w:t>:195–206.</w:t>
      </w:r>
    </w:p>
    <w:p w14:paraId="3DCC257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31. Wittmann C: </w:t>
      </w:r>
      <w:r w:rsidRPr="008C0508">
        <w:rPr>
          <w:rFonts w:cs="Arial"/>
          <w:b/>
          <w:bCs/>
          <w:noProof/>
        </w:rPr>
        <w:t>Fluxome analysis using GC-MS.</w:t>
      </w:r>
      <w:r w:rsidRPr="008C0508">
        <w:rPr>
          <w:rFonts w:cs="Arial"/>
          <w:noProof/>
        </w:rPr>
        <w:t xml:space="preserve"> </w:t>
      </w:r>
      <w:r w:rsidRPr="008C0508">
        <w:rPr>
          <w:rFonts w:cs="Arial"/>
          <w:i/>
          <w:iCs/>
          <w:noProof/>
        </w:rPr>
        <w:t>Microb Cell Fact</w:t>
      </w:r>
      <w:r w:rsidRPr="008C0508">
        <w:rPr>
          <w:rFonts w:cs="Arial"/>
          <w:noProof/>
        </w:rPr>
        <w:t xml:space="preserve"> 2007, </w:t>
      </w:r>
      <w:r w:rsidRPr="008C0508">
        <w:rPr>
          <w:rFonts w:cs="Arial"/>
          <w:b/>
          <w:bCs/>
          <w:noProof/>
        </w:rPr>
        <w:t>6</w:t>
      </w:r>
      <w:r w:rsidRPr="008C0508">
        <w:rPr>
          <w:rFonts w:cs="Arial"/>
          <w:noProof/>
        </w:rPr>
        <w:t>:6.</w:t>
      </w:r>
    </w:p>
    <w:p w14:paraId="5BC75C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32. Zamboni N, Fendt S-M, Rühl M, Sauer U: </w:t>
      </w:r>
      <w:r w:rsidRPr="008C0508">
        <w:rPr>
          <w:rFonts w:cs="Arial"/>
          <w:b/>
          <w:bCs/>
          <w:noProof/>
        </w:rPr>
        <w:t>(13)C-based metabolic flux analysis.</w:t>
      </w:r>
      <w:r w:rsidRPr="008C0508">
        <w:rPr>
          <w:rFonts w:cs="Arial"/>
          <w:noProof/>
        </w:rPr>
        <w:t xml:space="preserve"> </w:t>
      </w:r>
      <w:r w:rsidRPr="008C0508">
        <w:rPr>
          <w:rFonts w:cs="Arial"/>
          <w:i/>
          <w:iCs/>
          <w:noProof/>
        </w:rPr>
        <w:t>Nat Protoc</w:t>
      </w:r>
      <w:r w:rsidRPr="008C0508">
        <w:rPr>
          <w:rFonts w:cs="Arial"/>
          <w:noProof/>
        </w:rPr>
        <w:t xml:space="preserve"> 2009, </w:t>
      </w:r>
      <w:r w:rsidRPr="008C0508">
        <w:rPr>
          <w:rFonts w:cs="Arial"/>
          <w:b/>
          <w:bCs/>
          <w:noProof/>
        </w:rPr>
        <w:t>4</w:t>
      </w:r>
      <w:r w:rsidRPr="008C0508">
        <w:rPr>
          <w:rFonts w:cs="Arial"/>
          <w:noProof/>
        </w:rPr>
        <w:t>:878–92.</w:t>
      </w:r>
    </w:p>
    <w:p w14:paraId="0A2E70B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33. Antoniewicz MR, Kelleher JK, Stephanopoulos G: </w:t>
      </w:r>
      <w:r w:rsidRPr="008C0508">
        <w:rPr>
          <w:rFonts w:cs="Arial"/>
          <w:b/>
          <w:bCs/>
          <w:noProof/>
        </w:rPr>
        <w:t>Elementary metabolite units (EMU): a novel framework for modeling isotopic distributions.</w:t>
      </w:r>
      <w:r w:rsidRPr="008C0508">
        <w:rPr>
          <w:rFonts w:cs="Arial"/>
          <w:noProof/>
        </w:rPr>
        <w:t xml:space="preserve"> </w:t>
      </w:r>
      <w:r w:rsidRPr="008C0508">
        <w:rPr>
          <w:rFonts w:cs="Arial"/>
          <w:i/>
          <w:iCs/>
          <w:noProof/>
        </w:rPr>
        <w:t>Metab Eng</w:t>
      </w:r>
      <w:r w:rsidRPr="008C0508">
        <w:rPr>
          <w:rFonts w:cs="Arial"/>
          <w:noProof/>
        </w:rPr>
        <w:t xml:space="preserve"> 2007, </w:t>
      </w:r>
      <w:r w:rsidRPr="008C0508">
        <w:rPr>
          <w:rFonts w:cs="Arial"/>
          <w:b/>
          <w:bCs/>
          <w:noProof/>
        </w:rPr>
        <w:t>9</w:t>
      </w:r>
      <w:r w:rsidRPr="008C0508">
        <w:rPr>
          <w:rFonts w:cs="Arial"/>
          <w:noProof/>
        </w:rPr>
        <w:t>:68–86.</w:t>
      </w:r>
    </w:p>
    <w:p w14:paraId="32A6E0A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34. Quek L-E, Wittmann C, Nielsen LK, Krömer JO: </w:t>
      </w:r>
      <w:r w:rsidRPr="008C0508">
        <w:rPr>
          <w:rFonts w:cs="Arial"/>
          <w:b/>
          <w:bCs/>
          <w:noProof/>
        </w:rPr>
        <w:t>OpenFLUX: efficient modelling software for 13C-based metabolic flux analysis.</w:t>
      </w:r>
      <w:r w:rsidRPr="008C0508">
        <w:rPr>
          <w:rFonts w:cs="Arial"/>
          <w:noProof/>
        </w:rPr>
        <w:t xml:space="preserve"> </w:t>
      </w:r>
      <w:r w:rsidRPr="008C0508">
        <w:rPr>
          <w:rFonts w:cs="Arial"/>
          <w:i/>
          <w:iCs/>
          <w:noProof/>
        </w:rPr>
        <w:t>Microb Cell Fact</w:t>
      </w:r>
      <w:r w:rsidRPr="008C0508">
        <w:rPr>
          <w:rFonts w:cs="Arial"/>
          <w:noProof/>
        </w:rPr>
        <w:t xml:space="preserve"> 2009, </w:t>
      </w:r>
      <w:r w:rsidRPr="008C0508">
        <w:rPr>
          <w:rFonts w:cs="Arial"/>
          <w:b/>
          <w:bCs/>
          <w:noProof/>
        </w:rPr>
        <w:t>8</w:t>
      </w:r>
      <w:r w:rsidRPr="008C0508">
        <w:rPr>
          <w:rFonts w:cs="Arial"/>
          <w:noProof/>
        </w:rPr>
        <w:t>:25.</w:t>
      </w:r>
    </w:p>
    <w:p w14:paraId="4705BED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35. Wiechert W, Möllney M, Petersen S, de Graaf AA: </w:t>
      </w:r>
      <w:r w:rsidRPr="008C0508">
        <w:rPr>
          <w:rFonts w:cs="Arial"/>
          <w:b/>
          <w:bCs/>
          <w:noProof/>
        </w:rPr>
        <w:t>A universal framework for 13C metabolic flux analysis.</w:t>
      </w:r>
      <w:r w:rsidRPr="008C0508">
        <w:rPr>
          <w:rFonts w:cs="Arial"/>
          <w:noProof/>
        </w:rPr>
        <w:t xml:space="preserve"> </w:t>
      </w:r>
      <w:r w:rsidRPr="008C0508">
        <w:rPr>
          <w:rFonts w:cs="Arial"/>
          <w:i/>
          <w:iCs/>
          <w:noProof/>
        </w:rPr>
        <w:t>Metab Eng</w:t>
      </w:r>
      <w:r w:rsidRPr="008C0508">
        <w:rPr>
          <w:rFonts w:cs="Arial"/>
          <w:noProof/>
        </w:rPr>
        <w:t xml:space="preserve"> 2001, </w:t>
      </w:r>
      <w:r w:rsidRPr="008C0508">
        <w:rPr>
          <w:rFonts w:cs="Arial"/>
          <w:b/>
          <w:bCs/>
          <w:noProof/>
        </w:rPr>
        <w:t>3</w:t>
      </w:r>
      <w:r w:rsidRPr="008C0508">
        <w:rPr>
          <w:rFonts w:cs="Arial"/>
          <w:noProof/>
        </w:rPr>
        <w:t>:265–83.</w:t>
      </w:r>
    </w:p>
    <w:p w14:paraId="4276F2DB"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36. Sokol S, Millard P, Portais J-C: </w:t>
      </w:r>
      <w:r w:rsidRPr="008C0508">
        <w:rPr>
          <w:rFonts w:cs="Arial"/>
          <w:b/>
          <w:bCs/>
          <w:noProof/>
        </w:rPr>
        <w:t>influx_s: increasing numerical stability and precision for metabolic flux analysis in isotope labelling experiments.</w:t>
      </w:r>
      <w:r w:rsidRPr="008C0508">
        <w:rPr>
          <w:rFonts w:cs="Arial"/>
          <w:noProof/>
        </w:rPr>
        <w:t xml:space="preserve"> </w:t>
      </w:r>
      <w:r w:rsidRPr="008C0508">
        <w:rPr>
          <w:rFonts w:cs="Arial"/>
          <w:i/>
          <w:iCs/>
          <w:noProof/>
        </w:rPr>
        <w:t>Bioinformatics</w:t>
      </w:r>
      <w:r w:rsidRPr="008C0508">
        <w:rPr>
          <w:rFonts w:cs="Arial"/>
          <w:noProof/>
        </w:rPr>
        <w:t xml:space="preserve"> 2012, </w:t>
      </w:r>
      <w:r w:rsidRPr="008C0508">
        <w:rPr>
          <w:rFonts w:cs="Arial"/>
          <w:b/>
          <w:bCs/>
          <w:noProof/>
        </w:rPr>
        <w:t>28</w:t>
      </w:r>
      <w:r w:rsidRPr="008C0508">
        <w:rPr>
          <w:rFonts w:cs="Arial"/>
          <w:noProof/>
        </w:rPr>
        <w:t>:687–93.</w:t>
      </w:r>
    </w:p>
    <w:p w14:paraId="684F909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37. Hörl M, Schnidder J, Sauer U, Zamboni N: </w:t>
      </w:r>
      <w:r w:rsidRPr="008C0508">
        <w:rPr>
          <w:rFonts w:cs="Arial"/>
          <w:b/>
          <w:bCs/>
          <w:noProof/>
        </w:rPr>
        <w:t>Non-stationary (13)C-metabolic flux ratio analysis.</w:t>
      </w:r>
      <w:r w:rsidRPr="008C0508">
        <w:rPr>
          <w:rFonts w:cs="Arial"/>
          <w:noProof/>
        </w:rPr>
        <w:t xml:space="preserve"> </w:t>
      </w:r>
      <w:r w:rsidRPr="008C0508">
        <w:rPr>
          <w:rFonts w:cs="Arial"/>
          <w:i/>
          <w:iCs/>
          <w:noProof/>
        </w:rPr>
        <w:t>Biotechnol Bioeng</w:t>
      </w:r>
      <w:r w:rsidRPr="008C0508">
        <w:rPr>
          <w:rFonts w:cs="Arial"/>
          <w:noProof/>
        </w:rPr>
        <w:t xml:space="preserve"> 2013, </w:t>
      </w:r>
      <w:r w:rsidRPr="008C0508">
        <w:rPr>
          <w:rFonts w:cs="Arial"/>
          <w:b/>
          <w:bCs/>
          <w:noProof/>
        </w:rPr>
        <w:t>110</w:t>
      </w:r>
      <w:r w:rsidRPr="008C0508">
        <w:rPr>
          <w:rFonts w:cs="Arial"/>
          <w:noProof/>
        </w:rPr>
        <w:t>:3164–76.</w:t>
      </w:r>
    </w:p>
    <w:p w14:paraId="4F6B440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38. Yuan J, Bennett BD, Rabinowitz JD: </w:t>
      </w:r>
      <w:r w:rsidRPr="008C0508">
        <w:rPr>
          <w:rFonts w:cs="Arial"/>
          <w:b/>
          <w:bCs/>
          <w:noProof/>
        </w:rPr>
        <w:t>Kinetic flux profiling for quantitation of cellular metabolic fluxes.</w:t>
      </w:r>
      <w:r w:rsidRPr="008C0508">
        <w:rPr>
          <w:rFonts w:cs="Arial"/>
          <w:noProof/>
        </w:rPr>
        <w:t xml:space="preserve"> </w:t>
      </w:r>
      <w:r w:rsidRPr="008C0508">
        <w:rPr>
          <w:rFonts w:cs="Arial"/>
          <w:i/>
          <w:iCs/>
          <w:noProof/>
        </w:rPr>
        <w:t>Nat Protoc</w:t>
      </w:r>
      <w:r w:rsidRPr="008C0508">
        <w:rPr>
          <w:rFonts w:cs="Arial"/>
          <w:noProof/>
        </w:rPr>
        <w:t xml:space="preserve"> 2008, </w:t>
      </w:r>
      <w:r w:rsidRPr="008C0508">
        <w:rPr>
          <w:rFonts w:cs="Arial"/>
          <w:b/>
          <w:bCs/>
          <w:noProof/>
        </w:rPr>
        <w:t>3</w:t>
      </w:r>
      <w:r w:rsidRPr="008C0508">
        <w:rPr>
          <w:rFonts w:cs="Arial"/>
          <w:noProof/>
        </w:rPr>
        <w:t>:1328–40.</w:t>
      </w:r>
    </w:p>
    <w:p w14:paraId="611CAEF5"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39. Young JD: </w:t>
      </w:r>
      <w:r w:rsidRPr="008C0508">
        <w:rPr>
          <w:rFonts w:cs="Arial"/>
          <w:b/>
          <w:bCs/>
          <w:noProof/>
        </w:rPr>
        <w:t>INCA: a computational platform for isotopically non-stationary metabolic flux analysis.</w:t>
      </w:r>
      <w:r w:rsidRPr="008C0508">
        <w:rPr>
          <w:rFonts w:cs="Arial"/>
          <w:noProof/>
        </w:rPr>
        <w:t xml:space="preserve"> </w:t>
      </w:r>
      <w:r w:rsidRPr="008C0508">
        <w:rPr>
          <w:rFonts w:cs="Arial"/>
          <w:i/>
          <w:iCs/>
          <w:noProof/>
        </w:rPr>
        <w:t>Bioinformatics</w:t>
      </w:r>
      <w:r w:rsidRPr="008C0508">
        <w:rPr>
          <w:rFonts w:cs="Arial"/>
          <w:noProof/>
        </w:rPr>
        <w:t xml:space="preserve"> 2014, </w:t>
      </w:r>
      <w:r w:rsidRPr="008C0508">
        <w:rPr>
          <w:rFonts w:cs="Arial"/>
          <w:b/>
          <w:bCs/>
          <w:noProof/>
        </w:rPr>
        <w:t>30</w:t>
      </w:r>
      <w:r w:rsidRPr="008C0508">
        <w:rPr>
          <w:rFonts w:cs="Arial"/>
          <w:noProof/>
        </w:rPr>
        <w:t>:1333–5.</w:t>
      </w:r>
    </w:p>
    <w:p w14:paraId="2470C99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40. LARGE PJ, PEEL D, QUAYLE JR: </w:t>
      </w:r>
      <w:r w:rsidRPr="008C0508">
        <w:rPr>
          <w:rFonts w:cs="Arial"/>
          <w:b/>
          <w:bCs/>
          <w:noProof/>
        </w:rPr>
        <w:t>Microbial growth on C1 compounds. II. Synthesis of cell constituents by methanol- and formate-grown Pseudomonas AM 1, and methanol-grown Hyphomicrobium vulgare.</w:t>
      </w:r>
      <w:r w:rsidRPr="008C0508">
        <w:rPr>
          <w:rFonts w:cs="Arial"/>
          <w:noProof/>
        </w:rPr>
        <w:t xml:space="preserve"> </w:t>
      </w:r>
      <w:r w:rsidRPr="008C0508">
        <w:rPr>
          <w:rFonts w:cs="Arial"/>
          <w:i/>
          <w:iCs/>
          <w:noProof/>
        </w:rPr>
        <w:t>Biochem J</w:t>
      </w:r>
      <w:r w:rsidRPr="008C0508">
        <w:rPr>
          <w:rFonts w:cs="Arial"/>
          <w:noProof/>
        </w:rPr>
        <w:t xml:space="preserve"> 1961, </w:t>
      </w:r>
      <w:r w:rsidRPr="008C0508">
        <w:rPr>
          <w:rFonts w:cs="Arial"/>
          <w:b/>
          <w:bCs/>
          <w:noProof/>
        </w:rPr>
        <w:t>81</w:t>
      </w:r>
      <w:r w:rsidRPr="008C0508">
        <w:rPr>
          <w:rFonts w:cs="Arial"/>
          <w:noProof/>
        </w:rPr>
        <w:t>:470–80.</w:t>
      </w:r>
    </w:p>
    <w:p w14:paraId="15F3795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41. Marx CJ: </w:t>
      </w:r>
      <w:r w:rsidRPr="008C0508">
        <w:rPr>
          <w:rFonts w:cs="Arial"/>
          <w:b/>
          <w:bCs/>
          <w:noProof/>
        </w:rPr>
        <w:t>Development of a broad-host-range sacB-based vector for unmarked allelic exchange.</w:t>
      </w:r>
      <w:r w:rsidRPr="008C0508">
        <w:rPr>
          <w:rFonts w:cs="Arial"/>
          <w:noProof/>
        </w:rPr>
        <w:t xml:space="preserve"> </w:t>
      </w:r>
      <w:r w:rsidRPr="008C0508">
        <w:rPr>
          <w:rFonts w:cs="Arial"/>
          <w:i/>
          <w:iCs/>
          <w:noProof/>
        </w:rPr>
        <w:t>BMC Res Notes</w:t>
      </w:r>
      <w:r w:rsidRPr="008C0508">
        <w:rPr>
          <w:rFonts w:cs="Arial"/>
          <w:noProof/>
        </w:rPr>
        <w:t xml:space="preserve"> 2008, </w:t>
      </w:r>
      <w:r w:rsidRPr="008C0508">
        <w:rPr>
          <w:rFonts w:cs="Arial"/>
          <w:b/>
          <w:bCs/>
          <w:noProof/>
        </w:rPr>
        <w:t>1</w:t>
      </w:r>
      <w:r w:rsidRPr="008C0508">
        <w:rPr>
          <w:rFonts w:cs="Arial"/>
          <w:noProof/>
        </w:rPr>
        <w:t>:1.</w:t>
      </w:r>
    </w:p>
    <w:p w14:paraId="3883726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42. Chubiz LM, Purswani J, Carroll SM, Marx CJ: </w:t>
      </w:r>
      <w:r w:rsidRPr="008C0508">
        <w:rPr>
          <w:rFonts w:cs="Arial"/>
          <w:b/>
          <w:bCs/>
          <w:noProof/>
        </w:rPr>
        <w:t>A novel pair of inducible expression vectors for use in Methylobacterium extorquens.</w:t>
      </w:r>
      <w:r w:rsidRPr="008C0508">
        <w:rPr>
          <w:rFonts w:cs="Arial"/>
          <w:noProof/>
        </w:rPr>
        <w:t xml:space="preserve"> </w:t>
      </w:r>
      <w:r w:rsidRPr="008C0508">
        <w:rPr>
          <w:rFonts w:cs="Arial"/>
          <w:i/>
          <w:iCs/>
          <w:noProof/>
        </w:rPr>
        <w:t>BMC Res Notes</w:t>
      </w:r>
      <w:r w:rsidRPr="008C0508">
        <w:rPr>
          <w:rFonts w:cs="Arial"/>
          <w:noProof/>
        </w:rPr>
        <w:t xml:space="preserve"> 2013, </w:t>
      </w:r>
      <w:r w:rsidRPr="008C0508">
        <w:rPr>
          <w:rFonts w:cs="Arial"/>
          <w:b/>
          <w:bCs/>
          <w:noProof/>
        </w:rPr>
        <w:t>6</w:t>
      </w:r>
      <w:r w:rsidRPr="008C0508">
        <w:rPr>
          <w:rFonts w:cs="Arial"/>
          <w:noProof/>
        </w:rPr>
        <w:t>:183.</w:t>
      </w:r>
    </w:p>
    <w:p w14:paraId="25C9755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43. Skovran E, Crowther GJ, Guo X, Yang S, Lidstrom ME: </w:t>
      </w:r>
      <w:r w:rsidRPr="008C0508">
        <w:rPr>
          <w:rFonts w:cs="Arial"/>
          <w:b/>
          <w:bCs/>
          <w:noProof/>
        </w:rPr>
        <w:t>A systems biology approach uncovers cellular strategies used by Methylobacterium extorquens AM1 during the switch from multi- to single-carbon growth.</w:t>
      </w:r>
      <w:r w:rsidRPr="008C0508">
        <w:rPr>
          <w:rFonts w:cs="Arial"/>
          <w:noProof/>
        </w:rPr>
        <w:t xml:space="preserve"> </w:t>
      </w:r>
      <w:r w:rsidRPr="008C0508">
        <w:rPr>
          <w:rFonts w:cs="Arial"/>
          <w:i/>
          <w:iCs/>
          <w:noProof/>
        </w:rPr>
        <w:t>PLoS One</w:t>
      </w:r>
      <w:r w:rsidRPr="008C0508">
        <w:rPr>
          <w:rFonts w:cs="Arial"/>
          <w:noProof/>
        </w:rPr>
        <w:t xml:space="preserve"> 2010, </w:t>
      </w:r>
      <w:r w:rsidRPr="008C0508">
        <w:rPr>
          <w:rFonts w:cs="Arial"/>
          <w:b/>
          <w:bCs/>
          <w:noProof/>
        </w:rPr>
        <w:t>5</w:t>
      </w:r>
      <w:r w:rsidRPr="008C0508">
        <w:rPr>
          <w:rFonts w:cs="Arial"/>
          <w:noProof/>
        </w:rPr>
        <w:t>:e14091.</w:t>
      </w:r>
    </w:p>
    <w:p w14:paraId="3CA6ADB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44. Peyraud R, Kiefer P, Christen P, Massou S, Portais J-C, Vorholt J a: </w:t>
      </w:r>
      <w:r w:rsidRPr="008C0508">
        <w:rPr>
          <w:rFonts w:cs="Arial"/>
          <w:b/>
          <w:bCs/>
          <w:noProof/>
        </w:rPr>
        <w:t>Demonstration of the ethylmalonyl-CoA pathway by using 13C metabolomics.</w:t>
      </w:r>
      <w:r w:rsidRPr="008C0508">
        <w:rPr>
          <w:rFonts w:cs="Arial"/>
          <w:noProof/>
        </w:rPr>
        <w:t xml:space="preserve"> </w:t>
      </w:r>
      <w:r w:rsidRPr="008C0508">
        <w:rPr>
          <w:rFonts w:cs="Arial"/>
          <w:i/>
          <w:iCs/>
          <w:noProof/>
        </w:rPr>
        <w:t>Proc Natl Acad Sci U S A</w:t>
      </w:r>
      <w:r w:rsidRPr="008C0508">
        <w:rPr>
          <w:rFonts w:cs="Arial"/>
          <w:noProof/>
        </w:rPr>
        <w:t xml:space="preserve"> 2009, </w:t>
      </w:r>
      <w:r w:rsidRPr="008C0508">
        <w:rPr>
          <w:rFonts w:cs="Arial"/>
          <w:b/>
          <w:bCs/>
          <w:noProof/>
        </w:rPr>
        <w:t>106</w:t>
      </w:r>
      <w:r w:rsidRPr="008C0508">
        <w:rPr>
          <w:rFonts w:cs="Arial"/>
          <w:noProof/>
        </w:rPr>
        <w:t>:4846–51.</w:t>
      </w:r>
    </w:p>
    <w:p w14:paraId="616256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45. Bosch G, Skovran E, Xia Q, Wang T, Taub F, Miller JA, Lidstrom ME, Hackett M: </w:t>
      </w:r>
      <w:r w:rsidRPr="008C0508">
        <w:rPr>
          <w:rFonts w:cs="Arial"/>
          <w:b/>
          <w:bCs/>
          <w:noProof/>
        </w:rPr>
        <w:t>Comprehensive proteomics of Methylobacterium extorquens AM1 metabolism under single carbon and nonmethylotrophic conditions.</w:t>
      </w:r>
      <w:r w:rsidRPr="008C0508">
        <w:rPr>
          <w:rFonts w:cs="Arial"/>
          <w:noProof/>
        </w:rPr>
        <w:t xml:space="preserve"> </w:t>
      </w:r>
      <w:r w:rsidRPr="008C0508">
        <w:rPr>
          <w:rFonts w:cs="Arial"/>
          <w:i/>
          <w:iCs/>
          <w:noProof/>
        </w:rPr>
        <w:t>Proteomics</w:t>
      </w:r>
      <w:r w:rsidRPr="008C0508">
        <w:rPr>
          <w:rFonts w:cs="Arial"/>
          <w:noProof/>
        </w:rPr>
        <w:t xml:space="preserve"> 2008, </w:t>
      </w:r>
      <w:r w:rsidRPr="008C0508">
        <w:rPr>
          <w:rFonts w:cs="Arial"/>
          <w:b/>
          <w:bCs/>
          <w:noProof/>
        </w:rPr>
        <w:t>8</w:t>
      </w:r>
      <w:r w:rsidRPr="008C0508">
        <w:rPr>
          <w:rFonts w:cs="Arial"/>
          <w:noProof/>
        </w:rPr>
        <w:t>:3494–505.</w:t>
      </w:r>
    </w:p>
    <w:p w14:paraId="149DB90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46. Kiefer P, Buchhaupt M, Christen P, Kaup B, Schrader J, Vorholt JA: </w:t>
      </w:r>
      <w:r w:rsidRPr="008C0508">
        <w:rPr>
          <w:rFonts w:cs="Arial"/>
          <w:b/>
          <w:bCs/>
          <w:noProof/>
        </w:rPr>
        <w:t>Metabolite profiling uncovers plasmid-induced cobalt limitation under methylotrophic growth conditions.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:e7831.</w:t>
      </w:r>
    </w:p>
    <w:p w14:paraId="01D1234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47. Orita I, Nishikawa K, Nakamura S, Fukui T: </w:t>
      </w:r>
      <w:r w:rsidRPr="008C0508">
        <w:rPr>
          <w:rFonts w:cs="Arial"/>
          <w:b/>
          <w:bCs/>
          <w:noProof/>
        </w:rPr>
        <w:t xml:space="preserve">Biosynthesis of polyhydroxyalkanoate </w:t>
      </w:r>
      <w:r w:rsidRPr="008C0508">
        <w:rPr>
          <w:rFonts w:cs="Arial"/>
          <w:b/>
          <w:bCs/>
          <w:noProof/>
        </w:rPr>
        <w:lastRenderedPageBreak/>
        <w:t>copolymers from methanol by Methylobacterium extorquens AM1 and the engineered strains under cobalt-deficient conditions.</w:t>
      </w:r>
      <w:r w:rsidRPr="008C0508">
        <w:rPr>
          <w:rFonts w:cs="Arial"/>
          <w:noProof/>
        </w:rPr>
        <w:t xml:space="preserve"> </w:t>
      </w:r>
      <w:r w:rsidRPr="008C0508">
        <w:rPr>
          <w:rFonts w:cs="Arial"/>
          <w:i/>
          <w:iCs/>
          <w:noProof/>
        </w:rPr>
        <w:t>Appl Microbiol Biotechnol</w:t>
      </w:r>
      <w:r w:rsidRPr="008C0508">
        <w:rPr>
          <w:rFonts w:cs="Arial"/>
          <w:noProof/>
        </w:rPr>
        <w:t xml:space="preserve"> 2014, </w:t>
      </w:r>
      <w:r w:rsidRPr="008C0508">
        <w:rPr>
          <w:rFonts w:cs="Arial"/>
          <w:b/>
          <w:bCs/>
          <w:noProof/>
        </w:rPr>
        <w:t>98</w:t>
      </w:r>
      <w:r w:rsidRPr="008C0508">
        <w:rPr>
          <w:rFonts w:cs="Arial"/>
          <w:noProof/>
        </w:rPr>
        <w:t>:3715–25.</w:t>
      </w:r>
    </w:p>
    <w:p w14:paraId="4F4348C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48. Delaney NF, Kaczmarek ME, Ward LM, Swanson PK, Lee M-C, Marx CJ: </w:t>
      </w:r>
      <w:r w:rsidRPr="008C0508">
        <w:rPr>
          <w:rFonts w:cs="Arial"/>
          <w:b/>
          <w:bCs/>
          <w:noProof/>
        </w:rPr>
        <w:t>Development of an optimized medium, strain and high-throughput culturing methods for Methylobacterium extorquens.</w:t>
      </w:r>
      <w:r w:rsidRPr="008C0508">
        <w:rPr>
          <w:rFonts w:cs="Arial"/>
          <w:noProof/>
        </w:rPr>
        <w:t xml:space="preserve"> </w:t>
      </w:r>
      <w:r w:rsidRPr="008C0508">
        <w:rPr>
          <w:rFonts w:cs="Arial"/>
          <w:i/>
          <w:iCs/>
          <w:noProof/>
        </w:rPr>
        <w:t>PLoS One</w:t>
      </w:r>
      <w:r w:rsidRPr="008C0508">
        <w:rPr>
          <w:rFonts w:cs="Arial"/>
          <w:noProof/>
        </w:rPr>
        <w:t xml:space="preserve"> 2013, </w:t>
      </w:r>
      <w:r w:rsidRPr="008C0508">
        <w:rPr>
          <w:rFonts w:cs="Arial"/>
          <w:b/>
          <w:bCs/>
          <w:noProof/>
        </w:rPr>
        <w:t>8</w:t>
      </w:r>
      <w:r w:rsidRPr="008C0508">
        <w:rPr>
          <w:rFonts w:cs="Arial"/>
          <w:noProof/>
        </w:rPr>
        <w:t>:e62957.</w:t>
      </w:r>
    </w:p>
    <w:p w14:paraId="634C39B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49. Chou HH, Berthet J, Marx CJ: </w:t>
      </w:r>
      <w:r w:rsidRPr="008C0508">
        <w:rPr>
          <w:rFonts w:cs="Arial"/>
          <w:b/>
          <w:bCs/>
          <w:noProof/>
        </w:rPr>
        <w:t>Fast growth increases the selective advantage of a mutation arising recurrently during evolution under metal limitation</w:t>
      </w:r>
      <w:r w:rsidRPr="008C0508">
        <w:rPr>
          <w:rFonts w:cs="Arial"/>
          <w:noProof/>
        </w:rPr>
        <w:t xml:space="preserve">. </w:t>
      </w:r>
      <w:r w:rsidRPr="008C0508">
        <w:rPr>
          <w:rFonts w:cs="Arial"/>
          <w:i/>
          <w:iCs/>
          <w:noProof/>
        </w:rPr>
        <w:t>PLoS Genet</w:t>
      </w:r>
      <w:r w:rsidRPr="008C0508">
        <w:rPr>
          <w:rFonts w:cs="Arial"/>
          <w:noProof/>
        </w:rPr>
        <w:t xml:space="preserve"> 2009, </w:t>
      </w:r>
      <w:r w:rsidRPr="008C0508">
        <w:rPr>
          <w:rFonts w:cs="Arial"/>
          <w:b/>
          <w:bCs/>
          <w:noProof/>
        </w:rPr>
        <w:t>5</w:t>
      </w:r>
      <w:r w:rsidRPr="008C0508">
        <w:rPr>
          <w:rFonts w:cs="Arial"/>
          <w:noProof/>
        </w:rPr>
        <w:t>.</w:t>
      </w:r>
    </w:p>
    <w:p w14:paraId="7E4FD5A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50. Carroll SM, Xue KS, Marx CJ: </w:t>
      </w:r>
      <w:r w:rsidRPr="008C0508">
        <w:rPr>
          <w:rFonts w:cs="Arial"/>
          <w:b/>
          <w:bCs/>
          <w:noProof/>
        </w:rPr>
        <w:t>Laboratory divergence of Methylobacterium extorquens AM1 through unintended domestication and past selection for antibiotic resistance.</w:t>
      </w:r>
      <w:r w:rsidRPr="008C0508">
        <w:rPr>
          <w:rFonts w:cs="Arial"/>
          <w:noProof/>
        </w:rPr>
        <w:t xml:space="preserve"> </w:t>
      </w:r>
      <w:r w:rsidRPr="008C0508">
        <w:rPr>
          <w:rFonts w:cs="Arial"/>
          <w:i/>
          <w:iCs/>
          <w:noProof/>
        </w:rPr>
        <w:t>BMC Microbiol</w:t>
      </w:r>
      <w:r w:rsidRPr="008C0508">
        <w:rPr>
          <w:rFonts w:cs="Arial"/>
          <w:noProof/>
        </w:rPr>
        <w:t xml:space="preserve"> 2014, </w:t>
      </w:r>
      <w:r w:rsidRPr="008C0508">
        <w:rPr>
          <w:rFonts w:cs="Arial"/>
          <w:b/>
          <w:bCs/>
          <w:noProof/>
        </w:rPr>
        <w:t>14</w:t>
      </w:r>
      <w:r w:rsidRPr="008C0508">
        <w:rPr>
          <w:rFonts w:cs="Arial"/>
          <w:noProof/>
        </w:rPr>
        <w:t>:2.</w:t>
      </w:r>
    </w:p>
    <w:p w14:paraId="57C4919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51. Peyraud R, Schneider K, Kiefer P, Massou S, Vorholt J 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2B12BFA7"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52. Novak M, Pfeiffer T, Lenski RE, Sauer U, Bonhoeffer S: </w:t>
      </w:r>
      <w:r w:rsidRPr="008C0508">
        <w:rPr>
          <w:rFonts w:cs="Arial"/>
          <w:b/>
          <w:bCs/>
          <w:noProof/>
        </w:rPr>
        <w:t>Experimental tests for an evolutionary trade-off between growth rate and yield in E. coli.</w:t>
      </w:r>
      <w:r w:rsidRPr="008C0508">
        <w:rPr>
          <w:rFonts w:cs="Arial"/>
          <w:noProof/>
        </w:rPr>
        <w:t xml:space="preserve"> </w:t>
      </w:r>
      <w:r w:rsidRPr="008C0508">
        <w:rPr>
          <w:rFonts w:cs="Arial"/>
          <w:i/>
          <w:iCs/>
          <w:noProof/>
        </w:rPr>
        <w:t>Am Nat</w:t>
      </w:r>
      <w:r w:rsidRPr="008C0508">
        <w:rPr>
          <w:rFonts w:cs="Arial"/>
          <w:noProof/>
        </w:rPr>
        <w:t xml:space="preserve"> 2006, </w:t>
      </w:r>
      <w:r w:rsidRPr="008C0508">
        <w:rPr>
          <w:rFonts w:cs="Arial"/>
          <w:b/>
          <w:bCs/>
          <w:noProof/>
        </w:rPr>
        <w:t>168</w:t>
      </w:r>
      <w:r w:rsidRPr="008C0508">
        <w:rPr>
          <w:rFonts w:cs="Arial"/>
          <w:noProof/>
        </w:rPr>
        <w:t>:242–51.</w:t>
      </w:r>
    </w:p>
    <w:p w14:paraId="094F23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53. Russell JB: </w:t>
      </w:r>
      <w:r w:rsidRPr="008C0508">
        <w:rPr>
          <w:rFonts w:cs="Arial"/>
          <w:b/>
          <w:bCs/>
          <w:noProof/>
        </w:rPr>
        <w:t>Energetics of bacterial growth : balance of anabolic and catabolic reactions . Energetics of Bacterial Growth : Balance of Anabolic and Catabolic Reactions</w:t>
      </w:r>
      <w:r w:rsidRPr="008C0508">
        <w:rPr>
          <w:rFonts w:cs="Arial"/>
          <w:noProof/>
        </w:rPr>
        <w:t xml:space="preserve">. 1995, </w:t>
      </w:r>
      <w:r w:rsidRPr="008C0508">
        <w:rPr>
          <w:rFonts w:cs="Arial"/>
          <w:b/>
          <w:bCs/>
          <w:noProof/>
        </w:rPr>
        <w:t>59</w:t>
      </w:r>
      <w:r w:rsidRPr="008C0508">
        <w:rPr>
          <w:rFonts w:cs="Arial"/>
          <w:noProof/>
        </w:rPr>
        <w:t>.</w:t>
      </w:r>
    </w:p>
    <w:p w14:paraId="3C00FBE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54. Wiechert W, de Graaf AA: </w:t>
      </w:r>
      <w:r w:rsidRPr="008C0508">
        <w:rPr>
          <w:rFonts w:cs="Arial"/>
          <w:b/>
          <w:bCs/>
          <w:noProof/>
        </w:rPr>
        <w:t>In vivo stationary flux analysis by 13C labeling experiments.</w:t>
      </w:r>
      <w:r w:rsidRPr="008C0508">
        <w:rPr>
          <w:rFonts w:cs="Arial"/>
          <w:noProof/>
        </w:rPr>
        <w:t xml:space="preserve"> </w:t>
      </w:r>
      <w:r w:rsidRPr="008C0508">
        <w:rPr>
          <w:rFonts w:cs="Arial"/>
          <w:i/>
          <w:iCs/>
          <w:noProof/>
        </w:rPr>
        <w:t>Adv Biochem Eng Biotechnol</w:t>
      </w:r>
      <w:r w:rsidRPr="008C0508">
        <w:rPr>
          <w:rFonts w:cs="Arial"/>
          <w:noProof/>
        </w:rPr>
        <w:t xml:space="preserve"> 1996, </w:t>
      </w:r>
      <w:r w:rsidRPr="008C0508">
        <w:rPr>
          <w:rFonts w:cs="Arial"/>
          <w:b/>
          <w:bCs/>
          <w:noProof/>
        </w:rPr>
        <w:t>54</w:t>
      </w:r>
      <w:r w:rsidRPr="008C0508">
        <w:rPr>
          <w:rFonts w:cs="Arial"/>
          <w:noProof/>
        </w:rPr>
        <w:t>:109–54.</w:t>
      </w:r>
    </w:p>
    <w:p w14:paraId="0CCC6D4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55. Chou H-H, Chiu H-C, Delaney NF, Segrè D, Marx CJ: </w:t>
      </w:r>
      <w:r w:rsidRPr="008C0508">
        <w:rPr>
          <w:rFonts w:cs="Arial"/>
          <w:b/>
          <w:bCs/>
          <w:noProof/>
        </w:rPr>
        <w:t>Diminishing returns epistasis among beneficial mutations decelerates adaptation.</w:t>
      </w:r>
      <w:r w:rsidRPr="008C0508">
        <w:rPr>
          <w:rFonts w:cs="Arial"/>
          <w:noProof/>
        </w:rPr>
        <w:t xml:space="preserve"> </w:t>
      </w:r>
      <w:r w:rsidRPr="008C0508">
        <w:rPr>
          <w:rFonts w:cs="Arial"/>
          <w:i/>
          <w:iCs/>
          <w:noProof/>
        </w:rPr>
        <w:t>Science</w:t>
      </w:r>
      <w:r w:rsidRPr="008C0508">
        <w:rPr>
          <w:rFonts w:cs="Arial"/>
          <w:noProof/>
        </w:rPr>
        <w:t xml:space="preserve"> 2011, </w:t>
      </w:r>
      <w:r w:rsidRPr="008C0508">
        <w:rPr>
          <w:rFonts w:cs="Arial"/>
          <w:b/>
          <w:bCs/>
          <w:noProof/>
        </w:rPr>
        <w:t>332</w:t>
      </w:r>
      <w:r w:rsidRPr="008C0508">
        <w:rPr>
          <w:rFonts w:cs="Arial"/>
          <w:noProof/>
        </w:rPr>
        <w:t>:1190–2.</w:t>
      </w:r>
    </w:p>
    <w:p w14:paraId="1989755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56. Van Dien SJ: </w:t>
      </w:r>
      <w:r w:rsidRPr="008C0508">
        <w:rPr>
          <w:rFonts w:cs="Arial"/>
          <w:b/>
          <w:bCs/>
          <w:noProof/>
        </w:rPr>
        <w:t>Reconstruction of C3 and C4 metabolism in Methylobacterium extorquens AM1 using transposon mutagenesis</w:t>
      </w:r>
      <w:r w:rsidRPr="008C0508">
        <w:rPr>
          <w:rFonts w:cs="Arial"/>
          <w:noProof/>
        </w:rPr>
        <w:t xml:space="preserve">. </w:t>
      </w:r>
      <w:r w:rsidRPr="008C0508">
        <w:rPr>
          <w:rFonts w:cs="Arial"/>
          <w:i/>
          <w:iCs/>
          <w:noProof/>
        </w:rPr>
        <w:t>Microbiology</w:t>
      </w:r>
      <w:r w:rsidRPr="008C0508">
        <w:rPr>
          <w:rFonts w:cs="Arial"/>
          <w:noProof/>
        </w:rPr>
        <w:t xml:space="preserve"> 2003, </w:t>
      </w:r>
      <w:r w:rsidRPr="008C0508">
        <w:rPr>
          <w:rFonts w:cs="Arial"/>
          <w:b/>
          <w:bCs/>
          <w:noProof/>
        </w:rPr>
        <w:t>149</w:t>
      </w:r>
      <w:r w:rsidRPr="008C0508">
        <w:rPr>
          <w:rFonts w:cs="Arial"/>
          <w:noProof/>
        </w:rPr>
        <w:t>:601–609.</w:t>
      </w:r>
    </w:p>
    <w:p w14:paraId="4967730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57. Kiefer P, Buchhaupt M, Christen P, Kaup B, Schrader J, Vorholt JA: </w:t>
      </w:r>
      <w:r w:rsidRPr="008C0508">
        <w:rPr>
          <w:rFonts w:cs="Arial"/>
          <w:b/>
          <w:bCs/>
          <w:noProof/>
        </w:rPr>
        <w:t>Metabolite profiling uncovers plasmid-induced cobalt limitation under methylotrophic growth conditions.</w:t>
      </w:r>
      <w:r w:rsidRPr="008C0508">
        <w:rPr>
          <w:rFonts w:cs="Arial"/>
          <w:noProof/>
        </w:rPr>
        <w:t xml:space="preserve"> </w:t>
      </w:r>
      <w:r w:rsidRPr="008C0508">
        <w:rPr>
          <w:rFonts w:cs="Arial"/>
          <w:i/>
          <w:iCs/>
          <w:noProof/>
        </w:rPr>
        <w:t>PLoS One</w:t>
      </w:r>
      <w:r w:rsidRPr="008C0508">
        <w:rPr>
          <w:rFonts w:cs="Arial"/>
          <w:noProof/>
        </w:rPr>
        <w:t xml:space="preserve"> 2009, </w:t>
      </w:r>
      <w:r w:rsidRPr="008C0508">
        <w:rPr>
          <w:rFonts w:cs="Arial"/>
          <w:b/>
          <w:bCs/>
          <w:noProof/>
        </w:rPr>
        <w:t>4</w:t>
      </w:r>
      <w:r w:rsidRPr="008C0508">
        <w:rPr>
          <w:rFonts w:cs="Arial"/>
          <w:noProof/>
        </w:rPr>
        <w:t>:e7831.</w:t>
      </w:r>
    </w:p>
    <w:p w14:paraId="20B5C1D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58. Okubo Y, Skovran E, Guo X, Sivam D, Lidstrom ME: </w:t>
      </w:r>
      <w:r w:rsidRPr="008C0508">
        <w:rPr>
          <w:rFonts w:cs="Arial"/>
          <w:b/>
          <w:bCs/>
          <w:noProof/>
        </w:rPr>
        <w:t>Implementation of microarrays for Methylobacterium extorquens AM1.</w:t>
      </w:r>
      <w:r w:rsidRPr="008C0508">
        <w:rPr>
          <w:rFonts w:cs="Arial"/>
          <w:noProof/>
        </w:rPr>
        <w:t xml:space="preserve"> </w:t>
      </w:r>
      <w:r w:rsidRPr="008C0508">
        <w:rPr>
          <w:rFonts w:cs="Arial"/>
          <w:i/>
          <w:iCs/>
          <w:noProof/>
        </w:rPr>
        <w:t>OMICS</w:t>
      </w:r>
      <w:r w:rsidRPr="008C0508">
        <w:rPr>
          <w:rFonts w:cs="Arial"/>
          <w:noProof/>
        </w:rPr>
        <w:t xml:space="preserve"> 2007, </w:t>
      </w:r>
      <w:r w:rsidRPr="008C0508">
        <w:rPr>
          <w:rFonts w:cs="Arial"/>
          <w:b/>
          <w:bCs/>
          <w:noProof/>
        </w:rPr>
        <w:t>11</w:t>
      </w:r>
      <w:r w:rsidRPr="008C0508">
        <w:rPr>
          <w:rFonts w:cs="Arial"/>
          <w:noProof/>
        </w:rPr>
        <w:t>:325–40.</w:t>
      </w:r>
    </w:p>
    <w:p w14:paraId="77DB3D0F" w14:textId="77777777" w:rsidR="008C0508" w:rsidRPr="008C0508" w:rsidRDefault="008C0508" w:rsidP="008C0508">
      <w:pPr>
        <w:widowControl w:val="0"/>
        <w:autoSpaceDE w:val="0"/>
        <w:autoSpaceDN w:val="0"/>
        <w:adjustRightInd w:val="0"/>
        <w:rPr>
          <w:rFonts w:cs="Arial"/>
          <w:noProof/>
        </w:rPr>
      </w:pPr>
      <w:r w:rsidRPr="008C0508">
        <w:rPr>
          <w:rFonts w:cs="Arial"/>
          <w:noProof/>
        </w:rPr>
        <w:lastRenderedPageBreak/>
        <w:t xml:space="preserve">59. Chistoserdova L, Lidstrom ME: </w:t>
      </w:r>
      <w:r w:rsidRPr="008C0508">
        <w:rPr>
          <w:rFonts w:cs="Arial"/>
          <w:b/>
          <w:bCs/>
          <w:noProof/>
        </w:rPr>
        <w:t>Identification and mutation of a gene required for glycerate kinase activity from a facultative methylotroph, Methylobacterium extorquens AM1</w:t>
      </w:r>
      <w:r w:rsidRPr="008C0508">
        <w:rPr>
          <w:rFonts w:cs="Arial"/>
          <w:noProof/>
        </w:rPr>
        <w:t xml:space="preserve">. </w:t>
      </w:r>
      <w:r w:rsidRPr="008C0508">
        <w:rPr>
          <w:rFonts w:cs="Arial"/>
          <w:i/>
          <w:iCs/>
          <w:noProof/>
        </w:rPr>
        <w:t>J Bacteriol</w:t>
      </w:r>
      <w:r w:rsidRPr="008C0508">
        <w:rPr>
          <w:rFonts w:cs="Arial"/>
          <w:noProof/>
        </w:rPr>
        <w:t xml:space="preserve"> 1997, </w:t>
      </w:r>
      <w:r w:rsidRPr="008C0508">
        <w:rPr>
          <w:rFonts w:cs="Arial"/>
          <w:b/>
          <w:bCs/>
          <w:noProof/>
        </w:rPr>
        <w:t>179</w:t>
      </w:r>
      <w:r w:rsidRPr="008C0508">
        <w:rPr>
          <w:rFonts w:cs="Arial"/>
          <w:noProof/>
        </w:rPr>
        <w:t>:4946–4948.</w:t>
      </w:r>
    </w:p>
    <w:p w14:paraId="30C2595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60. Fei Q, Guarnieri MT, Tao L, Laurens LML, Dowe N, Pienkos PT: </w:t>
      </w:r>
      <w:r w:rsidRPr="008C0508">
        <w:rPr>
          <w:rFonts w:cs="Arial"/>
          <w:b/>
          <w:bCs/>
          <w:noProof/>
        </w:rPr>
        <w:t>Bioconversion of natural gas to liquid fuel: opportunities and challenges.</w:t>
      </w:r>
      <w:r w:rsidRPr="008C0508">
        <w:rPr>
          <w:rFonts w:cs="Arial"/>
          <w:noProof/>
        </w:rPr>
        <w:t xml:space="preserve"> </w:t>
      </w:r>
      <w:r w:rsidRPr="008C0508">
        <w:rPr>
          <w:rFonts w:cs="Arial"/>
          <w:i/>
          <w:iCs/>
          <w:noProof/>
        </w:rPr>
        <w:t>Biotechnol Adv</w:t>
      </w:r>
      <w:r w:rsidRPr="008C0508">
        <w:rPr>
          <w:rFonts w:cs="Arial"/>
          <w:noProof/>
        </w:rPr>
        <w:t xml:space="preserve"> 2014, </w:t>
      </w:r>
      <w:r w:rsidRPr="008C0508">
        <w:rPr>
          <w:rFonts w:cs="Arial"/>
          <w:b/>
          <w:bCs/>
          <w:noProof/>
        </w:rPr>
        <w:t>32</w:t>
      </w:r>
      <w:r w:rsidRPr="008C0508">
        <w:rPr>
          <w:rFonts w:cs="Arial"/>
          <w:noProof/>
        </w:rPr>
        <w:t>:596–614.</w:t>
      </w:r>
    </w:p>
    <w:p w14:paraId="2AEB3AC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61. Khmelenina VN, Kalyuzhnaya MG, Starostina NG, Suzina NE, Trotsenko YA: </w:t>
      </w:r>
      <w:r w:rsidRPr="008C0508">
        <w:rPr>
          <w:rFonts w:cs="Arial"/>
          <w:b/>
          <w:bCs/>
          <w:noProof/>
        </w:rPr>
        <w:t>Isolation and Characterization of Halotolerant Alkaliphilic Methanotrophic Bacteria from Tuva Soda Lakes</w:t>
      </w:r>
      <w:r w:rsidRPr="008C0508">
        <w:rPr>
          <w:rFonts w:cs="Arial"/>
          <w:noProof/>
        </w:rPr>
        <w:t xml:space="preserve">. </w:t>
      </w:r>
      <w:r w:rsidRPr="008C0508">
        <w:rPr>
          <w:rFonts w:cs="Arial"/>
          <w:i/>
          <w:iCs/>
          <w:noProof/>
        </w:rPr>
        <w:t>Curr Microbiol</w:t>
      </w:r>
      <w:r w:rsidRPr="008C0508">
        <w:rPr>
          <w:rFonts w:cs="Arial"/>
          <w:noProof/>
        </w:rPr>
        <w:t xml:space="preserve"> 1997, </w:t>
      </w:r>
      <w:r w:rsidRPr="008C0508">
        <w:rPr>
          <w:rFonts w:cs="Arial"/>
          <w:b/>
          <w:bCs/>
          <w:noProof/>
        </w:rPr>
        <w:t>35</w:t>
      </w:r>
      <w:r w:rsidRPr="008C0508">
        <w:rPr>
          <w:rFonts w:cs="Arial"/>
          <w:noProof/>
        </w:rPr>
        <w:t>:257–261.</w:t>
      </w:r>
    </w:p>
    <w:p w14:paraId="1D3B812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62. Yan X, Chu F, Puri AW, Fu Y, Lidstrom ME: </w:t>
      </w:r>
      <w:r w:rsidRPr="008C0508">
        <w:rPr>
          <w:rFonts w:cs="Arial"/>
          <w:b/>
          <w:bCs/>
          <w:noProof/>
        </w:rPr>
        <w:t>Electroporation-Based Genetic Manipulation in Type I Methanotrophs</w:t>
      </w:r>
      <w:r w:rsidRPr="008C0508">
        <w:rPr>
          <w:rFonts w:cs="Arial"/>
          <w:noProof/>
        </w:rPr>
        <w:t xml:space="preserve">. </w:t>
      </w:r>
      <w:r w:rsidRPr="008C0508">
        <w:rPr>
          <w:rFonts w:cs="Arial"/>
          <w:i/>
          <w:iCs/>
          <w:noProof/>
        </w:rPr>
        <w:t>Appl Environ Microbiol</w:t>
      </w:r>
      <w:r w:rsidRPr="008C0508">
        <w:rPr>
          <w:rFonts w:cs="Arial"/>
          <w:noProof/>
        </w:rPr>
        <w:t xml:space="preserve"> 2016, </w:t>
      </w:r>
      <w:r w:rsidRPr="008C0508">
        <w:rPr>
          <w:rFonts w:cs="Arial"/>
          <w:b/>
          <w:bCs/>
          <w:noProof/>
        </w:rPr>
        <w:t>82</w:t>
      </w:r>
      <w:r w:rsidRPr="008C0508">
        <w:rPr>
          <w:rFonts w:cs="Arial"/>
          <w:noProof/>
        </w:rPr>
        <w:t>:2062–2069.</w:t>
      </w:r>
    </w:p>
    <w:p w14:paraId="0ED73F6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63. Puri AW, Owen S, Chu F, Chavkin T, Beck DAC, Kalyuzhnaya MG, Lidstrom ME: </w:t>
      </w:r>
      <w:r w:rsidRPr="008C0508">
        <w:rPr>
          <w:rFonts w:cs="Arial"/>
          <w:b/>
          <w:bCs/>
          <w:noProof/>
        </w:rPr>
        <w:t>Genetic tools for the industrially promising methanotroph Methylomicrobium buryatense.</w:t>
      </w:r>
      <w:r w:rsidRPr="008C0508">
        <w:rPr>
          <w:rFonts w:cs="Arial"/>
          <w:noProof/>
        </w:rPr>
        <w:t xml:space="preserve"> </w:t>
      </w:r>
      <w:r w:rsidRPr="008C0508">
        <w:rPr>
          <w:rFonts w:cs="Arial"/>
          <w:i/>
          <w:iCs/>
          <w:noProof/>
        </w:rPr>
        <w:t>Appl Environ Microbiol</w:t>
      </w:r>
      <w:r w:rsidRPr="008C0508">
        <w:rPr>
          <w:rFonts w:cs="Arial"/>
          <w:noProof/>
        </w:rPr>
        <w:t xml:space="preserve"> 2015, </w:t>
      </w:r>
      <w:r w:rsidRPr="008C0508">
        <w:rPr>
          <w:rFonts w:cs="Arial"/>
          <w:b/>
          <w:bCs/>
          <w:noProof/>
        </w:rPr>
        <w:t>81</w:t>
      </w:r>
      <w:r w:rsidRPr="008C0508">
        <w:rPr>
          <w:rFonts w:cs="Arial"/>
          <w:noProof/>
        </w:rPr>
        <w:t>:1775–81.</w:t>
      </w:r>
    </w:p>
    <w:p w14:paraId="72A7A0F6"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64. Gilman A, Laurens LM, Puri AW, Chu F, Pienkos PT, Lidstrom ME: </w:t>
      </w:r>
      <w:r w:rsidRPr="008C0508">
        <w:rPr>
          <w:rFonts w:cs="Arial"/>
          <w:b/>
          <w:bCs/>
          <w:noProof/>
        </w:rPr>
        <w:t>Bioreactor performance parameters for an industrially-promising methanotroph Methylomicrobium buryatense 5GB1.</w:t>
      </w:r>
      <w:r w:rsidRPr="008C0508">
        <w:rPr>
          <w:rFonts w:cs="Arial"/>
          <w:noProof/>
        </w:rPr>
        <w:t xml:space="preserve"> </w:t>
      </w:r>
      <w:r w:rsidRPr="008C0508">
        <w:rPr>
          <w:rFonts w:cs="Arial"/>
          <w:i/>
          <w:iCs/>
          <w:noProof/>
        </w:rPr>
        <w:t>Microb Cell Fact</w:t>
      </w:r>
      <w:r w:rsidRPr="008C0508">
        <w:rPr>
          <w:rFonts w:cs="Arial"/>
          <w:noProof/>
        </w:rPr>
        <w:t xml:space="preserve"> 2015, </w:t>
      </w:r>
      <w:r w:rsidRPr="008C0508">
        <w:rPr>
          <w:rFonts w:cs="Arial"/>
          <w:b/>
          <w:bCs/>
          <w:noProof/>
        </w:rPr>
        <w:t>14</w:t>
      </w:r>
      <w:r w:rsidRPr="008C0508">
        <w:rPr>
          <w:rFonts w:cs="Arial"/>
          <w:noProof/>
        </w:rPr>
        <w:t>:182.</w:t>
      </w:r>
    </w:p>
    <w:p w14:paraId="23D7021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65. Klapa M, Stephanopoulos G: </w:t>
      </w:r>
      <w:r w:rsidRPr="008C0508">
        <w:rPr>
          <w:rFonts w:cs="Arial"/>
          <w:i/>
          <w:iCs/>
          <w:noProof/>
        </w:rPr>
        <w:t>Metabolic Flux Analysis</w:t>
      </w:r>
      <w:r w:rsidRPr="008C0508">
        <w:rPr>
          <w:rFonts w:cs="Arial"/>
          <w:noProof/>
        </w:rPr>
        <w:t>. 2000.</w:t>
      </w:r>
    </w:p>
    <w:p w14:paraId="0A77140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66. Buescher JM, Antoniewicz MR, Boros LG, Burgess SC, Brunengraber H, Clish CB, DeBerardinis RJ, Feron O, Frezza C, Ghesquiere B, Gottlieb E, Hiller K, Jones RG, Kamphorst JJ, Kibbey RG, Kimmelman AC, Locasale JW, Lunt SY, Maddocks OD, Malloy C, Metallo CM, Meuillet EJ, Munger J, Nöh K, Rabinowitz JD, Ralser M, Sauer U, Stephanopoulos G, St-Pierre J, Tennant DA, et al.: </w:t>
      </w:r>
      <w:r w:rsidRPr="008C0508">
        <w:rPr>
          <w:rFonts w:cs="Arial"/>
          <w:b/>
          <w:bCs/>
          <w:noProof/>
        </w:rPr>
        <w:t>A roadmap for interpreting 13C metabolite labeling patterns from cells</w:t>
      </w:r>
      <w:r w:rsidRPr="008C0508">
        <w:rPr>
          <w:rFonts w:cs="Arial"/>
          <w:noProof/>
        </w:rPr>
        <w:t xml:space="preserve">. </w:t>
      </w:r>
      <w:r w:rsidRPr="008C0508">
        <w:rPr>
          <w:rFonts w:cs="Arial"/>
          <w:i/>
          <w:iCs/>
          <w:noProof/>
        </w:rPr>
        <w:t>Curr Opin Biotechnol</w:t>
      </w:r>
      <w:r w:rsidRPr="008C0508">
        <w:rPr>
          <w:rFonts w:cs="Arial"/>
          <w:noProof/>
        </w:rPr>
        <w:t xml:space="preserve"> 2015, </w:t>
      </w:r>
      <w:r w:rsidRPr="008C0508">
        <w:rPr>
          <w:rFonts w:cs="Arial"/>
          <w:b/>
          <w:bCs/>
          <w:noProof/>
        </w:rPr>
        <w:t>34</w:t>
      </w:r>
      <w:r w:rsidRPr="008C0508">
        <w:rPr>
          <w:rFonts w:cs="Arial"/>
          <w:noProof/>
        </w:rPr>
        <w:t>:189–201.</w:t>
      </w:r>
    </w:p>
    <w:p w14:paraId="15481FD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67. Toya Y, Shimizu H: </w:t>
      </w:r>
      <w:r w:rsidRPr="008C0508">
        <w:rPr>
          <w:rFonts w:cs="Arial"/>
          <w:b/>
          <w:bCs/>
          <w:noProof/>
        </w:rPr>
        <w:t>Flux analysis and metabolomics for systematic metabolic engineering of microorganisms.</w:t>
      </w:r>
      <w:r w:rsidRPr="008C0508">
        <w:rPr>
          <w:rFonts w:cs="Arial"/>
          <w:noProof/>
        </w:rPr>
        <w:t xml:space="preserve"> </w:t>
      </w:r>
      <w:r w:rsidRPr="008C0508">
        <w:rPr>
          <w:rFonts w:cs="Arial"/>
          <w:i/>
          <w:iCs/>
          <w:noProof/>
        </w:rPr>
        <w:t>Biotechnol Adv</w:t>
      </w:r>
      <w:r w:rsidRPr="008C0508">
        <w:rPr>
          <w:rFonts w:cs="Arial"/>
          <w:noProof/>
        </w:rPr>
        <w:t xml:space="preserve"> 2013, </w:t>
      </w:r>
      <w:r w:rsidRPr="008C0508">
        <w:rPr>
          <w:rFonts w:cs="Arial"/>
          <w:b/>
          <w:bCs/>
          <w:noProof/>
        </w:rPr>
        <w:t>31</w:t>
      </w:r>
      <w:r w:rsidRPr="008C0508">
        <w:rPr>
          <w:rFonts w:cs="Arial"/>
          <w:noProof/>
        </w:rPr>
        <w:t>:818–26.</w:t>
      </w:r>
    </w:p>
    <w:p w14:paraId="0AF97583"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68. de la Torre A, Metivier A, Chu F, Laurens LML, Beck DAC, Pienkos PT, Lidstrom ME, Kalyuzhnaya MG: </w:t>
      </w:r>
      <w:r w:rsidRPr="008C0508">
        <w:rPr>
          <w:rFonts w:cs="Arial"/>
          <w:b/>
          <w:bCs/>
          <w:noProof/>
        </w:rPr>
        <w:t>Genome-scale metabolic reconstructions and theoretical investigation of methane conversion in Methylomicrobium buryatense strain 5G(B1).</w:t>
      </w:r>
      <w:r w:rsidRPr="008C0508">
        <w:rPr>
          <w:rFonts w:cs="Arial"/>
          <w:noProof/>
        </w:rPr>
        <w:t xml:space="preserve"> </w:t>
      </w:r>
      <w:r w:rsidRPr="008C0508">
        <w:rPr>
          <w:rFonts w:cs="Arial"/>
          <w:i/>
          <w:iCs/>
          <w:noProof/>
        </w:rPr>
        <w:t>Microb Cell Fact</w:t>
      </w:r>
      <w:r w:rsidRPr="008C0508">
        <w:rPr>
          <w:rFonts w:cs="Arial"/>
          <w:noProof/>
        </w:rPr>
        <w:t xml:space="preserve"> 2015, </w:t>
      </w:r>
      <w:r w:rsidRPr="008C0508">
        <w:rPr>
          <w:rFonts w:cs="Arial"/>
          <w:b/>
          <w:bCs/>
          <w:noProof/>
        </w:rPr>
        <w:lastRenderedPageBreak/>
        <w:t>14</w:t>
      </w:r>
      <w:r w:rsidRPr="008C0508">
        <w:rPr>
          <w:rFonts w:cs="Arial"/>
          <w:noProof/>
        </w:rPr>
        <w:t>:188.</w:t>
      </w:r>
    </w:p>
    <w:p w14:paraId="1F1DDB3D"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69. Davey JF, Whittenbury R, Wilkinson JF: </w:t>
      </w:r>
      <w:r w:rsidRPr="008C0508">
        <w:rPr>
          <w:rFonts w:cs="Arial"/>
          <w:b/>
          <w:bCs/>
          <w:noProof/>
        </w:rPr>
        <w:t>The distribution in the methylobacteria of some key enzymes concerned with intermediary metabolism</w:t>
      </w:r>
      <w:r w:rsidRPr="008C0508">
        <w:rPr>
          <w:rFonts w:cs="Arial"/>
          <w:noProof/>
        </w:rPr>
        <w:t xml:space="preserve">. </w:t>
      </w:r>
      <w:r w:rsidRPr="008C0508">
        <w:rPr>
          <w:rFonts w:cs="Arial"/>
          <w:i/>
          <w:iCs/>
          <w:noProof/>
        </w:rPr>
        <w:t>Arch Mikrobiol</w:t>
      </w:r>
      <w:r w:rsidRPr="008C0508">
        <w:rPr>
          <w:rFonts w:cs="Arial"/>
          <w:noProof/>
        </w:rPr>
        <w:t xml:space="preserve"> 1972, </w:t>
      </w:r>
      <w:r w:rsidRPr="008C0508">
        <w:rPr>
          <w:rFonts w:cs="Arial"/>
          <w:b/>
          <w:bCs/>
          <w:noProof/>
        </w:rPr>
        <w:t>87</w:t>
      </w:r>
      <w:r w:rsidRPr="008C0508">
        <w:rPr>
          <w:rFonts w:cs="Arial"/>
          <w:noProof/>
        </w:rPr>
        <w:t>:359–366.</w:t>
      </w:r>
    </w:p>
    <w:p w14:paraId="577072E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70. Hazeu W, Batenburg-van der Vegte WH, de Bruyn JC: </w:t>
      </w:r>
      <w:r w:rsidRPr="008C0508">
        <w:rPr>
          <w:rFonts w:cs="Arial"/>
          <w:b/>
          <w:bCs/>
          <w:noProof/>
        </w:rPr>
        <w:t>Some characteristics of Methylococcus mobilis sp. nov.</w:t>
      </w:r>
      <w:r w:rsidRPr="008C0508">
        <w:rPr>
          <w:rFonts w:cs="Arial"/>
          <w:noProof/>
        </w:rPr>
        <w:t xml:space="preserve"> </w:t>
      </w:r>
      <w:r w:rsidRPr="008C0508">
        <w:rPr>
          <w:rFonts w:cs="Arial"/>
          <w:i/>
          <w:iCs/>
          <w:noProof/>
        </w:rPr>
        <w:t>Arch Microbiol</w:t>
      </w:r>
      <w:r w:rsidRPr="008C0508">
        <w:rPr>
          <w:rFonts w:cs="Arial"/>
          <w:noProof/>
        </w:rPr>
        <w:t xml:space="preserve"> 1980, </w:t>
      </w:r>
      <w:r w:rsidRPr="008C0508">
        <w:rPr>
          <w:rFonts w:cs="Arial"/>
          <w:b/>
          <w:bCs/>
          <w:noProof/>
        </w:rPr>
        <w:t>124-124</w:t>
      </w:r>
      <w:r w:rsidRPr="008C0508">
        <w:rPr>
          <w:rFonts w:cs="Arial"/>
          <w:noProof/>
        </w:rPr>
        <w:t>:211–220.</w:t>
      </w:r>
    </w:p>
    <w:p w14:paraId="0FF5B7AE"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71. Patel R, Hoare L, Hoare DS, Taylor BF: </w:t>
      </w:r>
      <w:r w:rsidRPr="008C0508">
        <w:rPr>
          <w:rFonts w:cs="Arial"/>
          <w:b/>
          <w:bCs/>
          <w:noProof/>
        </w:rPr>
        <w:t>Incomplete tricarboxylic acid cycle in a type I methylotroph, Methylococcus capsulatus.</w:t>
      </w:r>
      <w:r w:rsidRPr="008C0508">
        <w:rPr>
          <w:rFonts w:cs="Arial"/>
          <w:noProof/>
        </w:rPr>
        <w:t xml:space="preserve"> </w:t>
      </w:r>
      <w:r w:rsidRPr="008C0508">
        <w:rPr>
          <w:rFonts w:cs="Arial"/>
          <w:i/>
          <w:iCs/>
          <w:noProof/>
        </w:rPr>
        <w:t>J Bacteriol</w:t>
      </w:r>
      <w:r w:rsidRPr="008C0508">
        <w:rPr>
          <w:rFonts w:cs="Arial"/>
          <w:noProof/>
        </w:rPr>
        <w:t xml:space="preserve"> 1975, </w:t>
      </w:r>
      <w:r w:rsidRPr="008C0508">
        <w:rPr>
          <w:rFonts w:cs="Arial"/>
          <w:b/>
          <w:bCs/>
          <w:noProof/>
        </w:rPr>
        <w:t>123</w:t>
      </w:r>
      <w:r w:rsidRPr="008C0508">
        <w:rPr>
          <w:rFonts w:cs="Arial"/>
          <w:noProof/>
        </w:rPr>
        <w:t>:382–4.</w:t>
      </w:r>
    </w:p>
    <w:p w14:paraId="60944FE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72. KALUZHNAYA M, KHMELENINA V, ESHINIMAEV B, SUZINA N, NIKITIN D, SOLONIN A, LIN J-L, MCDONALD I, MURRELL C, TROTSENKO Y: </w:t>
      </w:r>
      <w:r w:rsidRPr="008C0508">
        <w:rPr>
          <w:rFonts w:cs="Arial"/>
          <w:b/>
          <w:bCs/>
          <w:noProof/>
        </w:rPr>
        <w:t>Taxonomic characterization of new alkaliphilic and alkalitolerant methanotrophs from soda lakes of the Southeastern Transbaikal region and description of Methylomicrobium buryatense sp.nov.</w:t>
      </w:r>
      <w:r w:rsidRPr="008C0508">
        <w:rPr>
          <w:rFonts w:cs="Arial"/>
          <w:noProof/>
        </w:rPr>
        <w:t xml:space="preserve"> </w:t>
      </w:r>
      <w:r w:rsidRPr="008C0508">
        <w:rPr>
          <w:rFonts w:cs="Arial"/>
          <w:i/>
          <w:iCs/>
          <w:noProof/>
        </w:rPr>
        <w:t>Syst Appl Microbiol</w:t>
      </w:r>
      <w:r w:rsidRPr="008C0508">
        <w:rPr>
          <w:rFonts w:cs="Arial"/>
          <w:noProof/>
        </w:rPr>
        <w:t xml:space="preserve"> 2001, </w:t>
      </w:r>
      <w:r w:rsidRPr="008C0508">
        <w:rPr>
          <w:rFonts w:cs="Arial"/>
          <w:b/>
          <w:bCs/>
          <w:noProof/>
        </w:rPr>
        <w:t>24</w:t>
      </w:r>
      <w:r w:rsidRPr="008C0508">
        <w:rPr>
          <w:rFonts w:cs="Arial"/>
          <w:noProof/>
        </w:rPr>
        <w:t>:166–176.</w:t>
      </w:r>
    </w:p>
    <w:p w14:paraId="34CAF60A"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73. Zhang R, Watson DG, Wang L, Westrop GD, Coombs GH, Zhang T: </w:t>
      </w:r>
      <w:r w:rsidRPr="008C0508">
        <w:rPr>
          <w:rFonts w:cs="Arial"/>
          <w:b/>
          <w:bCs/>
          <w:noProof/>
        </w:rPr>
        <w:t>Evaluation of mobile phase characteristics on three zwitterionic columns in hydrophilic interaction liquid chromatography mode for liquid chromatography-high resolution mass spectrometry based untargeted metabolite profiling of Leishmania parasites</w:t>
      </w:r>
      <w:r w:rsidRPr="008C0508">
        <w:rPr>
          <w:rFonts w:cs="Arial"/>
          <w:noProof/>
        </w:rPr>
        <w:t xml:space="preserve">. </w:t>
      </w:r>
      <w:r w:rsidRPr="008C0508">
        <w:rPr>
          <w:rFonts w:cs="Arial"/>
          <w:i/>
          <w:iCs/>
          <w:noProof/>
        </w:rPr>
        <w:t>J Chromatogr A</w:t>
      </w:r>
      <w:r w:rsidRPr="008C0508">
        <w:rPr>
          <w:rFonts w:cs="Arial"/>
          <w:noProof/>
        </w:rPr>
        <w:t xml:space="preserve"> 2014, </w:t>
      </w:r>
      <w:r w:rsidRPr="008C0508">
        <w:rPr>
          <w:rFonts w:cs="Arial"/>
          <w:b/>
          <w:bCs/>
          <w:noProof/>
        </w:rPr>
        <w:t>1362</w:t>
      </w:r>
      <w:r w:rsidRPr="008C0508">
        <w:rPr>
          <w:rFonts w:cs="Arial"/>
          <w:noProof/>
        </w:rPr>
        <w:t>:168–179.</w:t>
      </w:r>
    </w:p>
    <w:p w14:paraId="694DA749"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74. Kalyuzhnaya M, Puri AW, Lidstrom ME: </w:t>
      </w:r>
      <w:r w:rsidRPr="008C0508">
        <w:rPr>
          <w:rFonts w:cs="Arial"/>
          <w:b/>
          <w:bCs/>
          <w:noProof/>
        </w:rPr>
        <w:t>Metabolic engineering in methanotrophic bacteria.</w:t>
      </w:r>
      <w:r w:rsidRPr="008C0508">
        <w:rPr>
          <w:rFonts w:cs="Arial"/>
          <w:noProof/>
        </w:rPr>
        <w:t xml:space="preserve"> </w:t>
      </w:r>
      <w:r w:rsidRPr="008C0508">
        <w:rPr>
          <w:rFonts w:cs="Arial"/>
          <w:i/>
          <w:iCs/>
          <w:noProof/>
        </w:rPr>
        <w:t>Metab Eng</w:t>
      </w:r>
      <w:r w:rsidRPr="008C0508">
        <w:rPr>
          <w:rFonts w:cs="Arial"/>
          <w:noProof/>
        </w:rPr>
        <w:t xml:space="preserve"> 2015, </w:t>
      </w:r>
      <w:r w:rsidRPr="008C0508">
        <w:rPr>
          <w:rFonts w:cs="Arial"/>
          <w:b/>
          <w:bCs/>
          <w:noProof/>
        </w:rPr>
        <w:t>29</w:t>
      </w:r>
      <w:r w:rsidRPr="008C0508">
        <w:rPr>
          <w:rFonts w:cs="Arial"/>
          <w:noProof/>
        </w:rPr>
        <w:t>:142–52.</w:t>
      </w:r>
    </w:p>
    <w:p w14:paraId="63178A9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75. Martín HG, Kumar VS, Weaver D, Ghosh A, Chubukov V, Mukhopadhyay A, Arkin A, Keasling JD: </w:t>
      </w:r>
      <w:r w:rsidRPr="008C0508">
        <w:rPr>
          <w:rFonts w:cs="Arial"/>
          <w:b/>
          <w:bCs/>
          <w:noProof/>
        </w:rPr>
        <w:t>A Method to Constrain Genome-Scale Models with 13C Labeling Data.</w:t>
      </w:r>
      <w:r w:rsidRPr="008C0508">
        <w:rPr>
          <w:rFonts w:cs="Arial"/>
          <w:noProof/>
        </w:rPr>
        <w:t xml:space="preserve"> </w:t>
      </w:r>
      <w:r w:rsidRPr="008C0508">
        <w:rPr>
          <w:rFonts w:cs="Arial"/>
          <w:i/>
          <w:iCs/>
          <w:noProof/>
        </w:rPr>
        <w:t>PLoS Comput Biol</w:t>
      </w:r>
      <w:r w:rsidRPr="008C0508">
        <w:rPr>
          <w:rFonts w:cs="Arial"/>
          <w:noProof/>
        </w:rPr>
        <w:t xml:space="preserve"> 2015, </w:t>
      </w:r>
      <w:r w:rsidRPr="008C0508">
        <w:rPr>
          <w:rFonts w:cs="Arial"/>
          <w:b/>
          <w:bCs/>
          <w:noProof/>
        </w:rPr>
        <w:t>11</w:t>
      </w:r>
      <w:r w:rsidRPr="008C0508">
        <w:rPr>
          <w:rFonts w:cs="Arial"/>
          <w:noProof/>
        </w:rPr>
        <w:t>:e1004363.</w:t>
      </w:r>
    </w:p>
    <w:p w14:paraId="192B977F"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76. Chu F, Lidstrom ME: </w:t>
      </w:r>
      <w:r w:rsidRPr="008C0508">
        <w:rPr>
          <w:rFonts w:cs="Arial"/>
          <w:b/>
          <w:bCs/>
          <w:noProof/>
        </w:rPr>
        <w:t>XoxF Acts as the Predominant Methanol Dehydrogenase in the Type I Methanotroph Methylomicrobium buryatense</w:t>
      </w:r>
      <w:r w:rsidRPr="008C0508">
        <w:rPr>
          <w:rFonts w:cs="Arial"/>
          <w:noProof/>
        </w:rPr>
        <w:t xml:space="preserve">. </w:t>
      </w:r>
      <w:r w:rsidRPr="008C0508">
        <w:rPr>
          <w:rFonts w:cs="Arial"/>
          <w:i/>
          <w:iCs/>
          <w:noProof/>
        </w:rPr>
        <w:t>J Bacteriol</w:t>
      </w:r>
      <w:r w:rsidRPr="008C0508">
        <w:rPr>
          <w:rFonts w:cs="Arial"/>
          <w:noProof/>
        </w:rPr>
        <w:t xml:space="preserve"> 2016, </w:t>
      </w:r>
      <w:r w:rsidRPr="008C0508">
        <w:rPr>
          <w:rFonts w:cs="Arial"/>
          <w:b/>
          <w:bCs/>
          <w:noProof/>
        </w:rPr>
        <w:t>198</w:t>
      </w:r>
      <w:r w:rsidRPr="008C0508">
        <w:rPr>
          <w:rFonts w:cs="Arial"/>
          <w:noProof/>
        </w:rPr>
        <w:t>:1317–1325.</w:t>
      </w:r>
    </w:p>
    <w:p w14:paraId="385FAD2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77. Fu Y, Beck DAC, Lidstrom ME: </w:t>
      </w:r>
      <w:r w:rsidRPr="008C0508">
        <w:rPr>
          <w:rFonts w:cs="Arial"/>
          <w:b/>
          <w:bCs/>
          <w:noProof/>
        </w:rPr>
        <w:t>Difference in C3-C4 metabolism underlies tradeoff between growth rate and biomass yield in Methylobacterium extorquens AM1.</w:t>
      </w:r>
      <w:r w:rsidRPr="008C0508">
        <w:rPr>
          <w:rFonts w:cs="Arial"/>
          <w:noProof/>
        </w:rPr>
        <w:t xml:space="preserve"> </w:t>
      </w:r>
      <w:r w:rsidRPr="008C0508">
        <w:rPr>
          <w:rFonts w:cs="Arial"/>
          <w:i/>
          <w:iCs/>
          <w:noProof/>
        </w:rPr>
        <w:t>BMC Microbiol</w:t>
      </w:r>
      <w:r w:rsidRPr="008C0508">
        <w:rPr>
          <w:rFonts w:cs="Arial"/>
          <w:noProof/>
        </w:rPr>
        <w:t xml:space="preserve"> 2016, </w:t>
      </w:r>
      <w:r w:rsidRPr="008C0508">
        <w:rPr>
          <w:rFonts w:cs="Arial"/>
          <w:b/>
          <w:bCs/>
          <w:noProof/>
        </w:rPr>
        <w:t>16</w:t>
      </w:r>
      <w:r w:rsidRPr="008C0508">
        <w:rPr>
          <w:rFonts w:cs="Arial"/>
          <w:noProof/>
        </w:rPr>
        <w:t>:156.</w:t>
      </w:r>
    </w:p>
    <w:p w14:paraId="49830FC8"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78. Henard CA, Smith H, Dowe N, Kalyuzhnaya MG, Pienkos PT, Guarnieri MT: </w:t>
      </w:r>
      <w:r w:rsidRPr="008C0508">
        <w:rPr>
          <w:rFonts w:cs="Arial"/>
          <w:b/>
          <w:bCs/>
          <w:noProof/>
        </w:rPr>
        <w:t xml:space="preserve">Bioconversion </w:t>
      </w:r>
      <w:r w:rsidRPr="008C0508">
        <w:rPr>
          <w:rFonts w:cs="Arial"/>
          <w:b/>
          <w:bCs/>
          <w:noProof/>
        </w:rPr>
        <w:lastRenderedPageBreak/>
        <w:t>of methane to lactate by an obligate methanotrophic bacterium.</w:t>
      </w:r>
      <w:r w:rsidRPr="008C0508">
        <w:rPr>
          <w:rFonts w:cs="Arial"/>
          <w:noProof/>
        </w:rPr>
        <w:t xml:space="preserve"> </w:t>
      </w:r>
      <w:r w:rsidRPr="008C0508">
        <w:rPr>
          <w:rFonts w:cs="Arial"/>
          <w:i/>
          <w:iCs/>
          <w:noProof/>
        </w:rPr>
        <w:t>Sci Rep</w:t>
      </w:r>
      <w:r w:rsidRPr="008C0508">
        <w:rPr>
          <w:rFonts w:cs="Arial"/>
          <w:noProof/>
        </w:rPr>
        <w:t xml:space="preserve"> 2016, </w:t>
      </w:r>
      <w:r w:rsidRPr="008C0508">
        <w:rPr>
          <w:rFonts w:cs="Arial"/>
          <w:b/>
          <w:bCs/>
          <w:noProof/>
        </w:rPr>
        <w:t>6</w:t>
      </w:r>
      <w:r w:rsidRPr="008C0508">
        <w:rPr>
          <w:rFonts w:cs="Arial"/>
          <w:noProof/>
        </w:rPr>
        <w:t>(February):21585.</w:t>
      </w:r>
    </w:p>
    <w:p w14:paraId="4401383C"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79. Chu F, Lidstrom ME: </w:t>
      </w:r>
      <w:r w:rsidRPr="008C0508">
        <w:rPr>
          <w:rFonts w:cs="Arial"/>
          <w:b/>
          <w:bCs/>
          <w:noProof/>
        </w:rPr>
        <w:t>XoxF Acts as the Predominant Methanol Dehydrogenase in the Type I Methanotroph Methylomicrobium buryatense.</w:t>
      </w:r>
      <w:r w:rsidRPr="008C0508">
        <w:rPr>
          <w:rFonts w:cs="Arial"/>
          <w:noProof/>
        </w:rPr>
        <w:t xml:space="preserve"> </w:t>
      </w:r>
      <w:r w:rsidRPr="008C0508">
        <w:rPr>
          <w:rFonts w:cs="Arial"/>
          <w:i/>
          <w:iCs/>
          <w:noProof/>
        </w:rPr>
        <w:t>J Bacteriol</w:t>
      </w:r>
      <w:r w:rsidRPr="008C0508">
        <w:rPr>
          <w:rFonts w:cs="Arial"/>
          <w:noProof/>
        </w:rPr>
        <w:t xml:space="preserve"> 2016, </w:t>
      </w:r>
      <w:r w:rsidRPr="008C0508">
        <w:rPr>
          <w:rFonts w:cs="Arial"/>
          <w:b/>
          <w:bCs/>
          <w:noProof/>
        </w:rPr>
        <w:t>198</w:t>
      </w:r>
      <w:r w:rsidRPr="008C0508">
        <w:rPr>
          <w:rFonts w:cs="Arial"/>
          <w:noProof/>
        </w:rPr>
        <w:t>:1317–25.</w:t>
      </w:r>
    </w:p>
    <w:p w14:paraId="7DD721B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80. Peyraud R, Schneider K, Kiefer P, Massou S, Vorholt JA, Portais J-C: </w:t>
      </w:r>
      <w:r w:rsidRPr="008C0508">
        <w:rPr>
          <w:rFonts w:cs="Arial"/>
          <w:b/>
          <w:bCs/>
          <w:noProof/>
        </w:rPr>
        <w:t>Genome-scale reconstruction and system level investigation of the metabolic network of Methylobacterium extorquens AM1.</w:t>
      </w:r>
      <w:r w:rsidRPr="008C0508">
        <w:rPr>
          <w:rFonts w:cs="Arial"/>
          <w:noProof/>
        </w:rPr>
        <w:t xml:space="preserve"> </w:t>
      </w:r>
      <w:r w:rsidRPr="008C0508">
        <w:rPr>
          <w:rFonts w:cs="Arial"/>
          <w:i/>
          <w:iCs/>
          <w:noProof/>
        </w:rPr>
        <w:t>BMC Syst Biol</w:t>
      </w:r>
      <w:r w:rsidRPr="008C0508">
        <w:rPr>
          <w:rFonts w:cs="Arial"/>
          <w:noProof/>
        </w:rPr>
        <w:t xml:space="preserve"> 2011, </w:t>
      </w:r>
      <w:r w:rsidRPr="008C0508">
        <w:rPr>
          <w:rFonts w:cs="Arial"/>
          <w:b/>
          <w:bCs/>
          <w:noProof/>
        </w:rPr>
        <w:t>5</w:t>
      </w:r>
      <w:r w:rsidRPr="008C0508">
        <w:rPr>
          <w:rFonts w:cs="Arial"/>
          <w:noProof/>
        </w:rPr>
        <w:t>:189.</w:t>
      </w:r>
    </w:p>
    <w:p w14:paraId="4134A9F1"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81. Schendel FJ, Bremmon CE, Flickinger MC, Guettler M, Hanson RS: </w:t>
      </w:r>
      <w:r w:rsidRPr="008C0508">
        <w:rPr>
          <w:rFonts w:cs="Arial"/>
          <w:b/>
          <w:bCs/>
          <w:noProof/>
        </w:rPr>
        <w:t>L-lysine production at 50 degrees C by mutants of a newly isolated and characterized methylotrophic Bacillus sp.</w:t>
      </w:r>
      <w:r w:rsidRPr="008C0508">
        <w:rPr>
          <w:rFonts w:cs="Arial"/>
          <w:noProof/>
        </w:rPr>
        <w:t xml:space="preserve"> </w:t>
      </w:r>
      <w:r w:rsidRPr="008C0508">
        <w:rPr>
          <w:rFonts w:cs="Arial"/>
          <w:i/>
          <w:iCs/>
          <w:noProof/>
        </w:rPr>
        <w:t>Appl Environ Microbiol</w:t>
      </w:r>
      <w:r w:rsidRPr="008C0508">
        <w:rPr>
          <w:rFonts w:cs="Arial"/>
          <w:noProof/>
        </w:rPr>
        <w:t xml:space="preserve"> 1990, </w:t>
      </w:r>
      <w:r w:rsidRPr="008C0508">
        <w:rPr>
          <w:rFonts w:cs="Arial"/>
          <w:b/>
          <w:bCs/>
          <w:noProof/>
        </w:rPr>
        <w:t>56</w:t>
      </w:r>
      <w:r w:rsidRPr="008C0508">
        <w:rPr>
          <w:rFonts w:cs="Arial"/>
          <w:noProof/>
        </w:rPr>
        <w:t>:963–70.</w:t>
      </w:r>
    </w:p>
    <w:p w14:paraId="1C685B32"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82. Müller JEN, Meyer F, Litsanov B, Kiefer P, Vorholt JA: </w:t>
      </w:r>
      <w:r w:rsidRPr="008C0508">
        <w:rPr>
          <w:rFonts w:cs="Arial"/>
          <w:b/>
          <w:bCs/>
          <w:noProof/>
        </w:rPr>
        <w:t>Core pathways operating during methylotrophy of Bacillus methanolicus MGA3 and induction of a bacillithiol-dependent detoxification pathway upon formaldehyde stress.</w:t>
      </w:r>
      <w:r w:rsidRPr="008C0508">
        <w:rPr>
          <w:rFonts w:cs="Arial"/>
          <w:noProof/>
        </w:rPr>
        <w:t xml:space="preserve"> </w:t>
      </w:r>
      <w:r w:rsidRPr="008C0508">
        <w:rPr>
          <w:rFonts w:cs="Arial"/>
          <w:i/>
          <w:iCs/>
          <w:noProof/>
        </w:rPr>
        <w:t>Mol Microbiol</w:t>
      </w:r>
      <w:r w:rsidRPr="008C0508">
        <w:rPr>
          <w:rFonts w:cs="Arial"/>
          <w:noProof/>
        </w:rPr>
        <w:t xml:space="preserve"> 2015, </w:t>
      </w:r>
      <w:r w:rsidRPr="008C0508">
        <w:rPr>
          <w:rFonts w:cs="Arial"/>
          <w:b/>
          <w:bCs/>
          <w:noProof/>
        </w:rPr>
        <w:t>98</w:t>
      </w:r>
      <w:r w:rsidRPr="008C0508">
        <w:rPr>
          <w:rFonts w:cs="Arial"/>
          <w:noProof/>
        </w:rPr>
        <w:t>:1089–100.</w:t>
      </w:r>
    </w:p>
    <w:p w14:paraId="6A7F3C11" w14:textId="5A42362D" w:rsidR="008C0508" w:rsidRPr="008C0508" w:rsidRDefault="008C0508" w:rsidP="008C0508">
      <w:pPr>
        <w:widowControl w:val="0"/>
        <w:autoSpaceDE w:val="0"/>
        <w:autoSpaceDN w:val="0"/>
        <w:adjustRightInd w:val="0"/>
        <w:rPr>
          <w:rFonts w:cs="Arial"/>
          <w:noProof/>
        </w:rPr>
      </w:pPr>
      <w:r w:rsidRPr="008C0508">
        <w:rPr>
          <w:rFonts w:cs="Arial"/>
          <w:noProof/>
        </w:rPr>
        <w:t xml:space="preserve">83. Fu Y, Li Y, Lidstrom M: </w:t>
      </w:r>
      <w:r w:rsidRPr="008C0508">
        <w:rPr>
          <w:rFonts w:cs="Arial"/>
          <w:b/>
          <w:bCs/>
          <w:noProof/>
        </w:rPr>
        <w:t xml:space="preserve">The oxidative TCA cycle operates during methanotrophic growth of the Type I methanotroph Methylomicrobium buryatense 5GB1 </w:t>
      </w:r>
    </w:p>
    <w:p w14:paraId="2E304D2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84. Becker SA, Feist AM, Mo ML, Hannum G, Palsson BØ, Herrgard MJ: </w:t>
      </w:r>
      <w:r w:rsidRPr="008C0508">
        <w:rPr>
          <w:rFonts w:cs="Arial"/>
          <w:b/>
          <w:bCs/>
          <w:noProof/>
        </w:rPr>
        <w:t>Quantitative prediction of cellular metabolism with constraint-based models: the COBRA Toolbox</w:t>
      </w:r>
      <w:r w:rsidRPr="008C0508">
        <w:rPr>
          <w:rFonts w:cs="Arial"/>
          <w:noProof/>
        </w:rPr>
        <w:t xml:space="preserve">. </w:t>
      </w:r>
      <w:r w:rsidRPr="008C0508">
        <w:rPr>
          <w:rFonts w:cs="Arial"/>
          <w:i/>
          <w:iCs/>
          <w:noProof/>
        </w:rPr>
        <w:t>Nat Protoc</w:t>
      </w:r>
      <w:r w:rsidRPr="008C0508">
        <w:rPr>
          <w:rFonts w:cs="Arial"/>
          <w:noProof/>
        </w:rPr>
        <w:t xml:space="preserve"> 2007, </w:t>
      </w:r>
      <w:r w:rsidRPr="008C0508">
        <w:rPr>
          <w:rFonts w:cs="Arial"/>
          <w:b/>
          <w:bCs/>
          <w:noProof/>
        </w:rPr>
        <w:t>2</w:t>
      </w:r>
      <w:r w:rsidRPr="008C0508">
        <w:rPr>
          <w:rFonts w:cs="Arial"/>
          <w:noProof/>
        </w:rPr>
        <w:t>:727–738.</w:t>
      </w:r>
    </w:p>
    <w:p w14:paraId="0E0C265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85. Hyduke D, Schellenberger J, Que R, Fleming R, Thiele I, Orth J, Feist A, Zielinski D, Bordbar A, Lewis N, Rahmanian S, Kang J, Palsson B: </w:t>
      </w:r>
      <w:r w:rsidRPr="008C0508">
        <w:rPr>
          <w:rFonts w:cs="Arial"/>
          <w:b/>
          <w:bCs/>
          <w:noProof/>
        </w:rPr>
        <w:t>COBRA Toolbox 2.0</w:t>
      </w:r>
      <w:r w:rsidRPr="008C0508">
        <w:rPr>
          <w:rFonts w:cs="Arial"/>
          <w:noProof/>
        </w:rPr>
        <w:t xml:space="preserve">. </w:t>
      </w:r>
      <w:r w:rsidRPr="008C0508">
        <w:rPr>
          <w:rFonts w:cs="Arial"/>
          <w:i/>
          <w:iCs/>
          <w:noProof/>
        </w:rPr>
        <w:t>Protocol Exchange</w:t>
      </w:r>
      <w:r w:rsidRPr="008C0508">
        <w:rPr>
          <w:rFonts w:cs="Arial"/>
          <w:noProof/>
        </w:rPr>
        <w:t xml:space="preserve"> 2011.</w:t>
      </w:r>
    </w:p>
    <w:p w14:paraId="03268270"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86. Hay JO, Shi H, Heinzel N, Hebbelmann I, Rolletschek H, Schwender J: </w:t>
      </w:r>
      <w:r w:rsidRPr="008C0508">
        <w:rPr>
          <w:rFonts w:cs="Arial"/>
          <w:b/>
          <w:bCs/>
          <w:noProof/>
        </w:rPr>
        <w:t>Integration of a constraint-based metabolic model of Brassica napus developing seeds with (13)C-metabolic flux analysis.</w:t>
      </w:r>
      <w:r w:rsidRPr="008C0508">
        <w:rPr>
          <w:rFonts w:cs="Arial"/>
          <w:noProof/>
        </w:rPr>
        <w:t xml:space="preserve"> </w:t>
      </w:r>
      <w:r w:rsidRPr="008C0508">
        <w:rPr>
          <w:rFonts w:cs="Arial"/>
          <w:i/>
          <w:iCs/>
          <w:noProof/>
        </w:rPr>
        <w:t>Front Plant Sci</w:t>
      </w:r>
      <w:r w:rsidRPr="008C0508">
        <w:rPr>
          <w:rFonts w:cs="Arial"/>
          <w:noProof/>
        </w:rPr>
        <w:t xml:space="preserve"> 2014, </w:t>
      </w:r>
      <w:r w:rsidRPr="008C0508">
        <w:rPr>
          <w:rFonts w:cs="Arial"/>
          <w:b/>
          <w:bCs/>
          <w:noProof/>
        </w:rPr>
        <w:t>5</w:t>
      </w:r>
      <w:r w:rsidRPr="008C0508">
        <w:rPr>
          <w:rFonts w:cs="Arial"/>
          <w:noProof/>
        </w:rPr>
        <w:t>(December):724.</w:t>
      </w:r>
    </w:p>
    <w:p w14:paraId="7766BF14"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87. Henard CA, Smith H, Dowe N, Kalyuzhnaya MG, Pienkos PT, Guarnieri MT, Anderson B, Fei Q, Conrado RJ, Gonzalez R, Haynes CA, Gonzalez R, Chistoserdova L, Kalyuzhnaya MG, Lidstrom ME, Strong PJ, Xie S, Clarke WP, Bothe H, Harrison DE, Hamer G, Khosravi-Darani K, Mokhtari Z-B, Amai T, Tanaka K, Ye RW, Tao L, Sharpe PL, Ivanova EG, Fedorov DN, et al.: </w:t>
      </w:r>
      <w:r w:rsidRPr="008C0508">
        <w:rPr>
          <w:rFonts w:cs="Arial"/>
          <w:b/>
          <w:bCs/>
          <w:noProof/>
        </w:rPr>
        <w:t>Bioconversion of methane to lactate by an obligate methanotrophic bacterium</w:t>
      </w:r>
      <w:r w:rsidRPr="008C0508">
        <w:rPr>
          <w:rFonts w:cs="Arial"/>
          <w:noProof/>
        </w:rPr>
        <w:t xml:space="preserve">. </w:t>
      </w:r>
      <w:r w:rsidRPr="008C0508">
        <w:rPr>
          <w:rFonts w:cs="Arial"/>
          <w:i/>
          <w:iCs/>
          <w:noProof/>
        </w:rPr>
        <w:t>Sci Rep</w:t>
      </w:r>
      <w:r w:rsidRPr="008C0508">
        <w:rPr>
          <w:rFonts w:cs="Arial"/>
          <w:noProof/>
        </w:rPr>
        <w:t xml:space="preserve"> </w:t>
      </w:r>
      <w:r w:rsidRPr="008C0508">
        <w:rPr>
          <w:rFonts w:cs="Arial"/>
          <w:noProof/>
        </w:rPr>
        <w:lastRenderedPageBreak/>
        <w:t xml:space="preserve">2016, </w:t>
      </w:r>
      <w:r w:rsidRPr="008C0508">
        <w:rPr>
          <w:rFonts w:cs="Arial"/>
          <w:b/>
          <w:bCs/>
          <w:noProof/>
        </w:rPr>
        <w:t>6</w:t>
      </w:r>
      <w:r w:rsidRPr="008C0508">
        <w:rPr>
          <w:rFonts w:cs="Arial"/>
          <w:noProof/>
        </w:rPr>
        <w:t>:21585.</w:t>
      </w:r>
    </w:p>
    <w:p w14:paraId="3BBD4B8B" w14:textId="77777777" w:rsidR="008C0508" w:rsidRPr="008C0508" w:rsidRDefault="008C0508" w:rsidP="008C0508">
      <w:pPr>
        <w:widowControl w:val="0"/>
        <w:autoSpaceDE w:val="0"/>
        <w:autoSpaceDN w:val="0"/>
        <w:adjustRightInd w:val="0"/>
        <w:rPr>
          <w:rFonts w:cs="Arial"/>
          <w:noProof/>
        </w:rPr>
      </w:pPr>
      <w:r w:rsidRPr="008C0508">
        <w:rPr>
          <w:rFonts w:cs="Arial"/>
          <w:noProof/>
        </w:rPr>
        <w:t xml:space="preserve">88. Ebrahim A, Lerman JA, Palsson BO, Hyduke DR: </w:t>
      </w:r>
      <w:r w:rsidRPr="008C0508">
        <w:rPr>
          <w:rFonts w:cs="Arial"/>
          <w:b/>
          <w:bCs/>
          <w:noProof/>
        </w:rPr>
        <w:t>COBRApy: COnstraints-Based Reconstruction and Analysis for Python</w:t>
      </w:r>
      <w:r w:rsidRPr="008C0508">
        <w:rPr>
          <w:rFonts w:cs="Arial"/>
          <w:noProof/>
        </w:rPr>
        <w:t>. .</w:t>
      </w:r>
    </w:p>
    <w:p w14:paraId="1C24A6FF" w14:textId="2D289103" w:rsidR="00CF7D99" w:rsidRPr="00CF7D99" w:rsidRDefault="00CF7D99" w:rsidP="008C0508">
      <w:pPr>
        <w:widowControl w:val="0"/>
        <w:autoSpaceDE w:val="0"/>
        <w:autoSpaceDN w:val="0"/>
        <w:adjustRightInd w:val="0"/>
      </w:pPr>
      <w:r>
        <w:fldChar w:fldCharType="end"/>
      </w:r>
    </w:p>
    <w:sectPr w:rsidR="00CF7D99" w:rsidRPr="00CF7D99" w:rsidSect="00CE63FE">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88ADF9" w14:textId="77777777" w:rsidR="008F6669" w:rsidRDefault="008F6669" w:rsidP="00DC59BD">
      <w:r>
        <w:separator/>
      </w:r>
    </w:p>
  </w:endnote>
  <w:endnote w:type="continuationSeparator" w:id="0">
    <w:p w14:paraId="36AF51A5" w14:textId="77777777" w:rsidR="008F6669" w:rsidRDefault="008F6669" w:rsidP="00DC59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Consolas">
    <w:panose1 w:val="020B0609020204030204"/>
    <w:charset w:val="00"/>
    <w:family w:val="auto"/>
    <w:pitch w:val="variable"/>
    <w:sig w:usb0="E10002FF" w:usb1="4000FCFF" w:usb2="00000009" w:usb3="00000000" w:csb0="0000019F" w:csb1="00000000"/>
  </w:font>
  <w:font w:name="SimSun">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4954598"/>
      <w:docPartObj>
        <w:docPartGallery w:val="Page Numbers (Bottom of Page)"/>
        <w:docPartUnique/>
      </w:docPartObj>
    </w:sdtPr>
    <w:sdtEndPr>
      <w:rPr>
        <w:noProof/>
      </w:rPr>
    </w:sdtEndPr>
    <w:sdtContent>
      <w:p w14:paraId="1F78F9B9" w14:textId="47E50EC5" w:rsidR="00613C92" w:rsidRDefault="00613C92">
        <w:pPr>
          <w:pStyle w:val="Footer"/>
          <w:jc w:val="center"/>
        </w:pPr>
        <w:r>
          <w:fldChar w:fldCharType="begin"/>
        </w:r>
        <w:r w:rsidRPr="00682FC6">
          <w:instrText xml:space="preserve"> PAGE   \* MERGEFORMAT </w:instrText>
        </w:r>
        <w:r>
          <w:fldChar w:fldCharType="separate"/>
        </w:r>
        <w:r w:rsidR="00871E64">
          <w:rPr>
            <w:noProof/>
          </w:rPr>
          <w:t>3</w:t>
        </w:r>
        <w:r>
          <w:rPr>
            <w:noProof/>
          </w:rPr>
          <w:fldChar w:fldCharType="end"/>
        </w:r>
      </w:p>
    </w:sdtContent>
  </w:sdt>
  <w:p w14:paraId="534E3F8F" w14:textId="77777777" w:rsidR="00613C92" w:rsidRDefault="00613C9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250764" w14:textId="77777777" w:rsidR="008F6669" w:rsidRDefault="008F6669" w:rsidP="00DC59BD">
      <w:r>
        <w:separator/>
      </w:r>
    </w:p>
  </w:footnote>
  <w:footnote w:type="continuationSeparator" w:id="0">
    <w:p w14:paraId="033E04D7" w14:textId="77777777" w:rsidR="008F6669" w:rsidRDefault="008F6669" w:rsidP="00DC59B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DBD1842"/>
    <w:multiLevelType w:val="multilevel"/>
    <w:tmpl w:val="8B7EF1E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1">
    <w:nsid w:val="BFBFEA86"/>
    <w:multiLevelType w:val="multilevel"/>
    <w:tmpl w:val="501839A8"/>
    <w:lvl w:ilvl="0">
      <w:start w:val="1"/>
      <w:numFmt w:val="decimal"/>
      <w:lvlText w:val="%1."/>
      <w:lvlJc w:val="left"/>
      <w:pPr>
        <w:tabs>
          <w:tab w:val="num" w:pos="0"/>
        </w:tabs>
        <w:ind w:left="480" w:hanging="480"/>
      </w:pPr>
    </w:lvl>
    <w:lvl w:ilvl="1">
      <w:start w:val="1"/>
      <w:numFmt w:val="decimal"/>
      <w:lvlText w:val="%2."/>
      <w:lvlJc w:val="left"/>
      <w:pPr>
        <w:tabs>
          <w:tab w:val="num" w:pos="720"/>
        </w:tabs>
        <w:ind w:left="1200" w:hanging="480"/>
      </w:pPr>
    </w:lvl>
    <w:lvl w:ilvl="2">
      <w:start w:val="1"/>
      <w:numFmt w:val="decimal"/>
      <w:lvlText w:val="%3."/>
      <w:lvlJc w:val="left"/>
      <w:pPr>
        <w:tabs>
          <w:tab w:val="num" w:pos="1440"/>
        </w:tabs>
        <w:ind w:left="1920" w:hanging="480"/>
      </w:pPr>
    </w:lvl>
    <w:lvl w:ilvl="3">
      <w:start w:val="1"/>
      <w:numFmt w:val="decimal"/>
      <w:lvlText w:val="%4."/>
      <w:lvlJc w:val="left"/>
      <w:pPr>
        <w:tabs>
          <w:tab w:val="num" w:pos="2160"/>
        </w:tabs>
        <w:ind w:left="2640" w:hanging="480"/>
      </w:pPr>
    </w:lvl>
    <w:lvl w:ilvl="4">
      <w:start w:val="1"/>
      <w:numFmt w:val="decimal"/>
      <w:lvlText w:val="%5."/>
      <w:lvlJc w:val="left"/>
      <w:pPr>
        <w:tabs>
          <w:tab w:val="num" w:pos="2880"/>
        </w:tabs>
        <w:ind w:left="3360" w:hanging="480"/>
      </w:pPr>
    </w:lvl>
    <w:lvl w:ilvl="5">
      <w:start w:val="1"/>
      <w:numFmt w:val="decimal"/>
      <w:lvlText w:val="%6."/>
      <w:lvlJc w:val="left"/>
      <w:pPr>
        <w:tabs>
          <w:tab w:val="num" w:pos="3600"/>
        </w:tabs>
        <w:ind w:left="4080" w:hanging="480"/>
      </w:pPr>
    </w:lvl>
    <w:lvl w:ilvl="6">
      <w:start w:val="1"/>
      <w:numFmt w:val="decimal"/>
      <w:lvlText w:val="%7."/>
      <w:lvlJc w:val="left"/>
      <w:pPr>
        <w:tabs>
          <w:tab w:val="num" w:pos="4320"/>
        </w:tabs>
        <w:ind w:left="4800" w:hanging="480"/>
      </w:pPr>
    </w:lvl>
    <w:lvl w:ilvl="7">
      <w:numFmt w:val="decimal"/>
      <w:lvlText w:val=""/>
      <w:lvlJc w:val="left"/>
    </w:lvl>
    <w:lvl w:ilvl="8">
      <w:numFmt w:val="decimal"/>
      <w:lvlText w:val=""/>
      <w:lvlJc w:val="left"/>
    </w:lvl>
  </w:abstractNum>
  <w:abstractNum w:abstractNumId="2">
    <w:nsid w:val="E17F69BA"/>
    <w:multiLevelType w:val="multilevel"/>
    <w:tmpl w:val="F6DE6754"/>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3">
    <w:nsid w:val="F6FFE516"/>
    <w:multiLevelType w:val="multilevel"/>
    <w:tmpl w:val="E6F03976"/>
    <w:lvl w:ilvl="0">
      <w:numFmt w:val="bullet"/>
      <w:lvlText w:val=" "/>
      <w:lvlJc w:val="left"/>
      <w:pPr>
        <w:tabs>
          <w:tab w:val="num" w:pos="0"/>
        </w:tabs>
        <w:ind w:left="480" w:hanging="480"/>
      </w:pPr>
    </w:lvl>
    <w:lvl w:ilvl="1">
      <w:numFmt w:val="bullet"/>
      <w:lvlText w:val=" "/>
      <w:lvlJc w:val="left"/>
      <w:pPr>
        <w:tabs>
          <w:tab w:val="num" w:pos="720"/>
        </w:tabs>
        <w:ind w:left="1200" w:hanging="480"/>
      </w:pPr>
    </w:lvl>
    <w:lvl w:ilvl="2">
      <w:numFmt w:val="bullet"/>
      <w:lvlText w:val=" "/>
      <w:lvlJc w:val="left"/>
      <w:pPr>
        <w:tabs>
          <w:tab w:val="num" w:pos="1440"/>
        </w:tabs>
        <w:ind w:left="1920" w:hanging="480"/>
      </w:pPr>
    </w:lvl>
    <w:lvl w:ilvl="3">
      <w:numFmt w:val="bullet"/>
      <w:lvlText w:val=" "/>
      <w:lvlJc w:val="left"/>
      <w:pPr>
        <w:tabs>
          <w:tab w:val="num" w:pos="2160"/>
        </w:tabs>
        <w:ind w:left="2640" w:hanging="480"/>
      </w:pPr>
    </w:lvl>
    <w:lvl w:ilvl="4">
      <w:numFmt w:val="bullet"/>
      <w:lvlText w:val=" "/>
      <w:lvlJc w:val="left"/>
      <w:pPr>
        <w:tabs>
          <w:tab w:val="num" w:pos="2880"/>
        </w:tabs>
        <w:ind w:left="3360" w:hanging="480"/>
      </w:pPr>
    </w:lvl>
    <w:lvl w:ilvl="5">
      <w:numFmt w:val="bullet"/>
      <w:lvlText w:val=" "/>
      <w:lvlJc w:val="left"/>
      <w:pPr>
        <w:tabs>
          <w:tab w:val="num" w:pos="3600"/>
        </w:tabs>
        <w:ind w:left="4080" w:hanging="480"/>
      </w:pPr>
    </w:lvl>
    <w:lvl w:ilvl="6">
      <w:numFmt w:val="bullet"/>
      <w:lvlText w:val=" "/>
      <w:lvlJc w:val="left"/>
      <w:pPr>
        <w:tabs>
          <w:tab w:val="num" w:pos="4320"/>
        </w:tabs>
        <w:ind w:left="4800" w:hanging="480"/>
      </w:pPr>
    </w:lvl>
    <w:lvl w:ilvl="7">
      <w:numFmt w:val="decimal"/>
      <w:lvlText w:val=""/>
      <w:lvlJc w:val="left"/>
    </w:lvl>
    <w:lvl w:ilvl="8">
      <w:numFmt w:val="decimal"/>
      <w:lvlText w:val=""/>
      <w:lvlJc w:val="left"/>
    </w:lvl>
  </w:abstractNum>
  <w:abstractNum w:abstractNumId="4">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541369E"/>
    <w:multiLevelType w:val="multilevel"/>
    <w:tmpl w:val="F35A7DEC"/>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6">
    <w:nsid w:val="0E063157"/>
    <w:multiLevelType w:val="hybridMultilevel"/>
    <w:tmpl w:val="BEF0B7AA"/>
    <w:lvl w:ilvl="0" w:tplc="134C909A">
      <w:start w:val="1"/>
      <w:numFmt w:val="decimal"/>
      <w:lvlText w:val="%1."/>
      <w:lvlJc w:val="left"/>
      <w:pPr>
        <w:ind w:left="720" w:hanging="360"/>
      </w:pPr>
      <w:rPr>
        <w:rFonts w:hint="default"/>
      </w:rPr>
    </w:lvl>
    <w:lvl w:ilvl="1" w:tplc="2DAC9DB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43497E"/>
    <w:multiLevelType w:val="hybridMultilevel"/>
    <w:tmpl w:val="A0766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403154"/>
    <w:multiLevelType w:val="hybridMultilevel"/>
    <w:tmpl w:val="1BB0740C"/>
    <w:lvl w:ilvl="0" w:tplc="F4867A9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BAA0187"/>
    <w:multiLevelType w:val="hybridMultilevel"/>
    <w:tmpl w:val="04348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BB2AD0"/>
    <w:multiLevelType w:val="hybridMultilevel"/>
    <w:tmpl w:val="72A80BAA"/>
    <w:lvl w:ilvl="0" w:tplc="04D005BC">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52563F8"/>
    <w:multiLevelType w:val="hybridMultilevel"/>
    <w:tmpl w:val="BD1C8E7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EEB59A5"/>
    <w:multiLevelType w:val="hybridMultilevel"/>
    <w:tmpl w:val="8F2E6A3E"/>
    <w:lvl w:ilvl="0" w:tplc="4E2A0A38">
      <w:start w:val="1"/>
      <w:numFmt w:val="decimal"/>
      <w:pStyle w:val="BlockText"/>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8E1D9C"/>
    <w:multiLevelType w:val="hybridMultilevel"/>
    <w:tmpl w:val="FA0419BA"/>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50A0853"/>
    <w:multiLevelType w:val="multilevel"/>
    <w:tmpl w:val="F6CE042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abstractNumId w:val="5"/>
  </w:num>
  <w:num w:numId="2">
    <w:abstractNumId w:val="14"/>
  </w:num>
  <w:num w:numId="3">
    <w:abstractNumId w:val="10"/>
  </w:num>
  <w:num w:numId="4">
    <w:abstractNumId w:val="4"/>
  </w:num>
  <w:num w:numId="5">
    <w:abstractNumId w:val="2"/>
  </w:num>
  <w:num w:numId="6">
    <w:abstractNumId w:val="0"/>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8">
    <w:abstractNumId w:val="12"/>
  </w:num>
  <w:num w:numId="9">
    <w:abstractNumId w:val="11"/>
  </w:num>
  <w:num w:numId="10">
    <w:abstractNumId w:val="7"/>
  </w:num>
  <w:num w:numId="11">
    <w:abstractNumId w:val="8"/>
  </w:num>
  <w:num w:numId="12">
    <w:abstractNumId w:val="3"/>
  </w:num>
  <w:num w:numId="13">
    <w:abstractNumId w:val="9"/>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embedSystem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59BD"/>
    <w:rsid w:val="00003127"/>
    <w:rsid w:val="000119DA"/>
    <w:rsid w:val="00011FAD"/>
    <w:rsid w:val="000121BC"/>
    <w:rsid w:val="000150A6"/>
    <w:rsid w:val="00015938"/>
    <w:rsid w:val="0001740D"/>
    <w:rsid w:val="00020E72"/>
    <w:rsid w:val="00022174"/>
    <w:rsid w:val="00024A8F"/>
    <w:rsid w:val="0002585C"/>
    <w:rsid w:val="00025A9D"/>
    <w:rsid w:val="000270FE"/>
    <w:rsid w:val="000278F1"/>
    <w:rsid w:val="000334C0"/>
    <w:rsid w:val="000345C1"/>
    <w:rsid w:val="00036328"/>
    <w:rsid w:val="000400F3"/>
    <w:rsid w:val="00041BAE"/>
    <w:rsid w:val="00044472"/>
    <w:rsid w:val="000519F3"/>
    <w:rsid w:val="0005386F"/>
    <w:rsid w:val="00054DAE"/>
    <w:rsid w:val="0006255A"/>
    <w:rsid w:val="00063A00"/>
    <w:rsid w:val="00071007"/>
    <w:rsid w:val="00071C97"/>
    <w:rsid w:val="00072C57"/>
    <w:rsid w:val="00081111"/>
    <w:rsid w:val="00081305"/>
    <w:rsid w:val="00085838"/>
    <w:rsid w:val="00086D29"/>
    <w:rsid w:val="0008721A"/>
    <w:rsid w:val="000901BE"/>
    <w:rsid w:val="0009371F"/>
    <w:rsid w:val="000952BE"/>
    <w:rsid w:val="000A003F"/>
    <w:rsid w:val="000A4DB9"/>
    <w:rsid w:val="000A5B20"/>
    <w:rsid w:val="000B1B27"/>
    <w:rsid w:val="000B1DE3"/>
    <w:rsid w:val="000C43F1"/>
    <w:rsid w:val="000C7BA6"/>
    <w:rsid w:val="000D064B"/>
    <w:rsid w:val="000D138A"/>
    <w:rsid w:val="000D18B0"/>
    <w:rsid w:val="000D5F05"/>
    <w:rsid w:val="000D602B"/>
    <w:rsid w:val="000D7271"/>
    <w:rsid w:val="000E188E"/>
    <w:rsid w:val="000E47A2"/>
    <w:rsid w:val="000E4E1E"/>
    <w:rsid w:val="000E5B6A"/>
    <w:rsid w:val="000F0102"/>
    <w:rsid w:val="000F2668"/>
    <w:rsid w:val="000F2ABA"/>
    <w:rsid w:val="000F34AA"/>
    <w:rsid w:val="000F3BE4"/>
    <w:rsid w:val="000F591E"/>
    <w:rsid w:val="000F5AD4"/>
    <w:rsid w:val="000F5D24"/>
    <w:rsid w:val="000F7C71"/>
    <w:rsid w:val="001032D1"/>
    <w:rsid w:val="001057C1"/>
    <w:rsid w:val="00107A84"/>
    <w:rsid w:val="0011081C"/>
    <w:rsid w:val="001118E6"/>
    <w:rsid w:val="0011511F"/>
    <w:rsid w:val="001151CC"/>
    <w:rsid w:val="00124066"/>
    <w:rsid w:val="001251CB"/>
    <w:rsid w:val="001273C0"/>
    <w:rsid w:val="00131654"/>
    <w:rsid w:val="001447B2"/>
    <w:rsid w:val="00147C51"/>
    <w:rsid w:val="001522F9"/>
    <w:rsid w:val="00155A8E"/>
    <w:rsid w:val="0015739D"/>
    <w:rsid w:val="001576CB"/>
    <w:rsid w:val="00173B67"/>
    <w:rsid w:val="00174625"/>
    <w:rsid w:val="00175402"/>
    <w:rsid w:val="00175CA5"/>
    <w:rsid w:val="0018027A"/>
    <w:rsid w:val="00183EE7"/>
    <w:rsid w:val="001860E9"/>
    <w:rsid w:val="00190993"/>
    <w:rsid w:val="001948E4"/>
    <w:rsid w:val="00195B99"/>
    <w:rsid w:val="001A203B"/>
    <w:rsid w:val="001A5224"/>
    <w:rsid w:val="001A7179"/>
    <w:rsid w:val="001A719D"/>
    <w:rsid w:val="001B0256"/>
    <w:rsid w:val="001B0539"/>
    <w:rsid w:val="001B16CC"/>
    <w:rsid w:val="001B2D49"/>
    <w:rsid w:val="001B59D3"/>
    <w:rsid w:val="001B6212"/>
    <w:rsid w:val="001B69BF"/>
    <w:rsid w:val="001C076B"/>
    <w:rsid w:val="001D07DF"/>
    <w:rsid w:val="001D4080"/>
    <w:rsid w:val="001D4926"/>
    <w:rsid w:val="001E2177"/>
    <w:rsid w:val="001E6B88"/>
    <w:rsid w:val="001E72C1"/>
    <w:rsid w:val="001F442B"/>
    <w:rsid w:val="001F4716"/>
    <w:rsid w:val="001F5D11"/>
    <w:rsid w:val="00200BD4"/>
    <w:rsid w:val="002106CA"/>
    <w:rsid w:val="00210E3B"/>
    <w:rsid w:val="00211CA1"/>
    <w:rsid w:val="00213703"/>
    <w:rsid w:val="00215F3D"/>
    <w:rsid w:val="00221FF5"/>
    <w:rsid w:val="002227CD"/>
    <w:rsid w:val="0022600F"/>
    <w:rsid w:val="00234B90"/>
    <w:rsid w:val="00234FC8"/>
    <w:rsid w:val="00235DA9"/>
    <w:rsid w:val="0024090A"/>
    <w:rsid w:val="0024605C"/>
    <w:rsid w:val="002513D6"/>
    <w:rsid w:val="0025575B"/>
    <w:rsid w:val="00255D90"/>
    <w:rsid w:val="002562B9"/>
    <w:rsid w:val="00256516"/>
    <w:rsid w:val="0025676D"/>
    <w:rsid w:val="0026247A"/>
    <w:rsid w:val="00262FF7"/>
    <w:rsid w:val="002638A6"/>
    <w:rsid w:val="00265627"/>
    <w:rsid w:val="00265C19"/>
    <w:rsid w:val="00271D4D"/>
    <w:rsid w:val="002778B1"/>
    <w:rsid w:val="00284895"/>
    <w:rsid w:val="00285910"/>
    <w:rsid w:val="00286135"/>
    <w:rsid w:val="00291D10"/>
    <w:rsid w:val="00292480"/>
    <w:rsid w:val="00293207"/>
    <w:rsid w:val="0029545C"/>
    <w:rsid w:val="0029715B"/>
    <w:rsid w:val="00297A27"/>
    <w:rsid w:val="002A1786"/>
    <w:rsid w:val="002A24E7"/>
    <w:rsid w:val="002A40BF"/>
    <w:rsid w:val="002A5B93"/>
    <w:rsid w:val="002A7F94"/>
    <w:rsid w:val="002B016E"/>
    <w:rsid w:val="002B3B88"/>
    <w:rsid w:val="002B403E"/>
    <w:rsid w:val="002B6B8A"/>
    <w:rsid w:val="002D09B1"/>
    <w:rsid w:val="002D51AC"/>
    <w:rsid w:val="002D5A27"/>
    <w:rsid w:val="002D7123"/>
    <w:rsid w:val="002E3AD1"/>
    <w:rsid w:val="002E681F"/>
    <w:rsid w:val="002F2DFE"/>
    <w:rsid w:val="002F6A1D"/>
    <w:rsid w:val="002F7697"/>
    <w:rsid w:val="00300EB6"/>
    <w:rsid w:val="00306EEE"/>
    <w:rsid w:val="00307095"/>
    <w:rsid w:val="003123C3"/>
    <w:rsid w:val="00312865"/>
    <w:rsid w:val="00312C30"/>
    <w:rsid w:val="00315B7F"/>
    <w:rsid w:val="003166E2"/>
    <w:rsid w:val="00320846"/>
    <w:rsid w:val="003227B2"/>
    <w:rsid w:val="00332633"/>
    <w:rsid w:val="00335D30"/>
    <w:rsid w:val="003372FD"/>
    <w:rsid w:val="00341384"/>
    <w:rsid w:val="00341A6A"/>
    <w:rsid w:val="00343AFB"/>
    <w:rsid w:val="00344DA7"/>
    <w:rsid w:val="00347A8B"/>
    <w:rsid w:val="00353749"/>
    <w:rsid w:val="00353E80"/>
    <w:rsid w:val="003553D5"/>
    <w:rsid w:val="00356762"/>
    <w:rsid w:val="0035768C"/>
    <w:rsid w:val="00360146"/>
    <w:rsid w:val="003629FF"/>
    <w:rsid w:val="003630F7"/>
    <w:rsid w:val="00365C29"/>
    <w:rsid w:val="0036658F"/>
    <w:rsid w:val="00366DAD"/>
    <w:rsid w:val="003754CA"/>
    <w:rsid w:val="00376C6A"/>
    <w:rsid w:val="00384DCD"/>
    <w:rsid w:val="00384DD9"/>
    <w:rsid w:val="00391853"/>
    <w:rsid w:val="0039311D"/>
    <w:rsid w:val="0039742F"/>
    <w:rsid w:val="003A1C73"/>
    <w:rsid w:val="003A334F"/>
    <w:rsid w:val="003A33B6"/>
    <w:rsid w:val="003A45EB"/>
    <w:rsid w:val="003A53F3"/>
    <w:rsid w:val="003A6ACA"/>
    <w:rsid w:val="003B340E"/>
    <w:rsid w:val="003B3455"/>
    <w:rsid w:val="003B3CD9"/>
    <w:rsid w:val="003B71C6"/>
    <w:rsid w:val="003C31C7"/>
    <w:rsid w:val="003C4AB7"/>
    <w:rsid w:val="003C4F48"/>
    <w:rsid w:val="003C6C87"/>
    <w:rsid w:val="003D19B5"/>
    <w:rsid w:val="003D76C8"/>
    <w:rsid w:val="003D7FE9"/>
    <w:rsid w:val="003E4346"/>
    <w:rsid w:val="003E79C6"/>
    <w:rsid w:val="003F327A"/>
    <w:rsid w:val="003F4CEA"/>
    <w:rsid w:val="003F5499"/>
    <w:rsid w:val="003F7FB1"/>
    <w:rsid w:val="00405A9C"/>
    <w:rsid w:val="00412977"/>
    <w:rsid w:val="004166EC"/>
    <w:rsid w:val="00416FE9"/>
    <w:rsid w:val="00417741"/>
    <w:rsid w:val="00417E2B"/>
    <w:rsid w:val="00420CDE"/>
    <w:rsid w:val="0042630C"/>
    <w:rsid w:val="0042700C"/>
    <w:rsid w:val="004279ED"/>
    <w:rsid w:val="004338C4"/>
    <w:rsid w:val="00433CDC"/>
    <w:rsid w:val="00437FD6"/>
    <w:rsid w:val="00440541"/>
    <w:rsid w:val="00443059"/>
    <w:rsid w:val="004455B7"/>
    <w:rsid w:val="0045142D"/>
    <w:rsid w:val="004527E8"/>
    <w:rsid w:val="00452CBA"/>
    <w:rsid w:val="0046054B"/>
    <w:rsid w:val="00461453"/>
    <w:rsid w:val="004666AC"/>
    <w:rsid w:val="0048146E"/>
    <w:rsid w:val="004846E9"/>
    <w:rsid w:val="0048727F"/>
    <w:rsid w:val="00492FBB"/>
    <w:rsid w:val="00494500"/>
    <w:rsid w:val="004976F6"/>
    <w:rsid w:val="004A1483"/>
    <w:rsid w:val="004B1DC8"/>
    <w:rsid w:val="004B238F"/>
    <w:rsid w:val="004B3869"/>
    <w:rsid w:val="004B57E3"/>
    <w:rsid w:val="004B72BB"/>
    <w:rsid w:val="004C1C14"/>
    <w:rsid w:val="004C2A5F"/>
    <w:rsid w:val="004C2BDD"/>
    <w:rsid w:val="004C2C99"/>
    <w:rsid w:val="004C3B40"/>
    <w:rsid w:val="004D0318"/>
    <w:rsid w:val="004D289E"/>
    <w:rsid w:val="004D6888"/>
    <w:rsid w:val="004E362F"/>
    <w:rsid w:val="004E3ED3"/>
    <w:rsid w:val="004E40BC"/>
    <w:rsid w:val="004E69CE"/>
    <w:rsid w:val="004F1A9F"/>
    <w:rsid w:val="0050107B"/>
    <w:rsid w:val="0050205E"/>
    <w:rsid w:val="005047C9"/>
    <w:rsid w:val="0050598D"/>
    <w:rsid w:val="00512BD7"/>
    <w:rsid w:val="0051422B"/>
    <w:rsid w:val="005154C4"/>
    <w:rsid w:val="00522E65"/>
    <w:rsid w:val="00523268"/>
    <w:rsid w:val="0053052B"/>
    <w:rsid w:val="005306B3"/>
    <w:rsid w:val="005321A7"/>
    <w:rsid w:val="00533E2A"/>
    <w:rsid w:val="0053495F"/>
    <w:rsid w:val="00540244"/>
    <w:rsid w:val="00546280"/>
    <w:rsid w:val="00547553"/>
    <w:rsid w:val="005509AA"/>
    <w:rsid w:val="00550F35"/>
    <w:rsid w:val="00552E71"/>
    <w:rsid w:val="00567B41"/>
    <w:rsid w:val="0057352C"/>
    <w:rsid w:val="0058714D"/>
    <w:rsid w:val="00591B91"/>
    <w:rsid w:val="00594756"/>
    <w:rsid w:val="00594C0C"/>
    <w:rsid w:val="005965AD"/>
    <w:rsid w:val="00597F40"/>
    <w:rsid w:val="005A2F9F"/>
    <w:rsid w:val="005A5818"/>
    <w:rsid w:val="005A7A79"/>
    <w:rsid w:val="005B4322"/>
    <w:rsid w:val="005B53F0"/>
    <w:rsid w:val="005B7FAE"/>
    <w:rsid w:val="005C404B"/>
    <w:rsid w:val="005C461E"/>
    <w:rsid w:val="005C55F9"/>
    <w:rsid w:val="005C5F5A"/>
    <w:rsid w:val="005D0C4A"/>
    <w:rsid w:val="005D18A9"/>
    <w:rsid w:val="005D198F"/>
    <w:rsid w:val="005D512B"/>
    <w:rsid w:val="005D6450"/>
    <w:rsid w:val="005E0144"/>
    <w:rsid w:val="005E0DB3"/>
    <w:rsid w:val="005E336B"/>
    <w:rsid w:val="005E453C"/>
    <w:rsid w:val="005F35BA"/>
    <w:rsid w:val="005F7E5E"/>
    <w:rsid w:val="006063ED"/>
    <w:rsid w:val="006063FE"/>
    <w:rsid w:val="006126B0"/>
    <w:rsid w:val="00613C92"/>
    <w:rsid w:val="006146A8"/>
    <w:rsid w:val="00633785"/>
    <w:rsid w:val="00634B6C"/>
    <w:rsid w:val="00635958"/>
    <w:rsid w:val="00636A89"/>
    <w:rsid w:val="006371A6"/>
    <w:rsid w:val="00646076"/>
    <w:rsid w:val="00646DF0"/>
    <w:rsid w:val="00651484"/>
    <w:rsid w:val="00653AF3"/>
    <w:rsid w:val="00654AE4"/>
    <w:rsid w:val="00654CDF"/>
    <w:rsid w:val="00660C30"/>
    <w:rsid w:val="00661064"/>
    <w:rsid w:val="0066178B"/>
    <w:rsid w:val="00663642"/>
    <w:rsid w:val="006735B4"/>
    <w:rsid w:val="006814E2"/>
    <w:rsid w:val="00682FC6"/>
    <w:rsid w:val="0069079B"/>
    <w:rsid w:val="006970B1"/>
    <w:rsid w:val="006A243E"/>
    <w:rsid w:val="006B0DAC"/>
    <w:rsid w:val="006B5792"/>
    <w:rsid w:val="006C1184"/>
    <w:rsid w:val="006C2414"/>
    <w:rsid w:val="006C3C6D"/>
    <w:rsid w:val="006C3F53"/>
    <w:rsid w:val="006C5F6F"/>
    <w:rsid w:val="006D089C"/>
    <w:rsid w:val="006D0B9B"/>
    <w:rsid w:val="006D506B"/>
    <w:rsid w:val="006D7FDC"/>
    <w:rsid w:val="006E1BDD"/>
    <w:rsid w:val="006E1C4F"/>
    <w:rsid w:val="006E1CF7"/>
    <w:rsid w:val="006E322E"/>
    <w:rsid w:val="006E70B5"/>
    <w:rsid w:val="006F1E25"/>
    <w:rsid w:val="006F5642"/>
    <w:rsid w:val="006F62AC"/>
    <w:rsid w:val="00700267"/>
    <w:rsid w:val="00700615"/>
    <w:rsid w:val="00700D95"/>
    <w:rsid w:val="00700E67"/>
    <w:rsid w:val="00701805"/>
    <w:rsid w:val="00704C90"/>
    <w:rsid w:val="007058FA"/>
    <w:rsid w:val="00705EDC"/>
    <w:rsid w:val="00710C2C"/>
    <w:rsid w:val="00716C97"/>
    <w:rsid w:val="0071704E"/>
    <w:rsid w:val="00725BBF"/>
    <w:rsid w:val="00727B1D"/>
    <w:rsid w:val="00732287"/>
    <w:rsid w:val="00733D80"/>
    <w:rsid w:val="007340C3"/>
    <w:rsid w:val="00734182"/>
    <w:rsid w:val="007359A5"/>
    <w:rsid w:val="00741713"/>
    <w:rsid w:val="00747CCC"/>
    <w:rsid w:val="0076123F"/>
    <w:rsid w:val="00761614"/>
    <w:rsid w:val="007621D1"/>
    <w:rsid w:val="00762829"/>
    <w:rsid w:val="00763BD2"/>
    <w:rsid w:val="00764E20"/>
    <w:rsid w:val="007772EE"/>
    <w:rsid w:val="00777E7E"/>
    <w:rsid w:val="00777F9A"/>
    <w:rsid w:val="007800DE"/>
    <w:rsid w:val="007805FC"/>
    <w:rsid w:val="00781C67"/>
    <w:rsid w:val="00783FC5"/>
    <w:rsid w:val="007912FD"/>
    <w:rsid w:val="00792581"/>
    <w:rsid w:val="00792782"/>
    <w:rsid w:val="0079397A"/>
    <w:rsid w:val="0079428C"/>
    <w:rsid w:val="007951E8"/>
    <w:rsid w:val="007A46EC"/>
    <w:rsid w:val="007B37C4"/>
    <w:rsid w:val="007B6467"/>
    <w:rsid w:val="007B6E3F"/>
    <w:rsid w:val="007B7C21"/>
    <w:rsid w:val="007C4607"/>
    <w:rsid w:val="007C59B4"/>
    <w:rsid w:val="007C64F7"/>
    <w:rsid w:val="007D0E72"/>
    <w:rsid w:val="007D117B"/>
    <w:rsid w:val="007D531A"/>
    <w:rsid w:val="007E078F"/>
    <w:rsid w:val="007E20D4"/>
    <w:rsid w:val="007E4533"/>
    <w:rsid w:val="007F0E83"/>
    <w:rsid w:val="007F1192"/>
    <w:rsid w:val="007F1C85"/>
    <w:rsid w:val="007F313E"/>
    <w:rsid w:val="007F3A56"/>
    <w:rsid w:val="007F5E03"/>
    <w:rsid w:val="007F61D6"/>
    <w:rsid w:val="007F7772"/>
    <w:rsid w:val="00800AB7"/>
    <w:rsid w:val="008039D1"/>
    <w:rsid w:val="00804AA0"/>
    <w:rsid w:val="00812654"/>
    <w:rsid w:val="008129D0"/>
    <w:rsid w:val="00814549"/>
    <w:rsid w:val="008217A1"/>
    <w:rsid w:val="008218EA"/>
    <w:rsid w:val="008226DB"/>
    <w:rsid w:val="00824E0B"/>
    <w:rsid w:val="0082517F"/>
    <w:rsid w:val="008262F4"/>
    <w:rsid w:val="0082638E"/>
    <w:rsid w:val="00834E47"/>
    <w:rsid w:val="00837F81"/>
    <w:rsid w:val="00840096"/>
    <w:rsid w:val="00840FE1"/>
    <w:rsid w:val="008417A4"/>
    <w:rsid w:val="00844706"/>
    <w:rsid w:val="008448D7"/>
    <w:rsid w:val="00846C72"/>
    <w:rsid w:val="00847ACD"/>
    <w:rsid w:val="00851409"/>
    <w:rsid w:val="00853509"/>
    <w:rsid w:val="00855D58"/>
    <w:rsid w:val="0085672D"/>
    <w:rsid w:val="00861FAE"/>
    <w:rsid w:val="00862E89"/>
    <w:rsid w:val="00863125"/>
    <w:rsid w:val="00865CFC"/>
    <w:rsid w:val="0086706B"/>
    <w:rsid w:val="008702E5"/>
    <w:rsid w:val="00870E38"/>
    <w:rsid w:val="00871E64"/>
    <w:rsid w:val="00871F86"/>
    <w:rsid w:val="00874B58"/>
    <w:rsid w:val="0087523D"/>
    <w:rsid w:val="00875D28"/>
    <w:rsid w:val="00886E3F"/>
    <w:rsid w:val="00895668"/>
    <w:rsid w:val="008A1C51"/>
    <w:rsid w:val="008A2D3F"/>
    <w:rsid w:val="008A5BCF"/>
    <w:rsid w:val="008C0508"/>
    <w:rsid w:val="008C526B"/>
    <w:rsid w:val="008C670A"/>
    <w:rsid w:val="008D4717"/>
    <w:rsid w:val="008D5CF1"/>
    <w:rsid w:val="008E0139"/>
    <w:rsid w:val="008E16A3"/>
    <w:rsid w:val="008E2A7C"/>
    <w:rsid w:val="008E2FB6"/>
    <w:rsid w:val="008E3DFE"/>
    <w:rsid w:val="008F21F5"/>
    <w:rsid w:val="008F4530"/>
    <w:rsid w:val="008F45F8"/>
    <w:rsid w:val="008F6669"/>
    <w:rsid w:val="008F71E9"/>
    <w:rsid w:val="00914D1C"/>
    <w:rsid w:val="00922E72"/>
    <w:rsid w:val="009269EC"/>
    <w:rsid w:val="009334A1"/>
    <w:rsid w:val="00933FDF"/>
    <w:rsid w:val="009371F2"/>
    <w:rsid w:val="00940343"/>
    <w:rsid w:val="0094769A"/>
    <w:rsid w:val="00947B1C"/>
    <w:rsid w:val="009509D7"/>
    <w:rsid w:val="00951BEF"/>
    <w:rsid w:val="009543D2"/>
    <w:rsid w:val="00957B4E"/>
    <w:rsid w:val="00961855"/>
    <w:rsid w:val="0096495B"/>
    <w:rsid w:val="0097120C"/>
    <w:rsid w:val="00977097"/>
    <w:rsid w:val="00977744"/>
    <w:rsid w:val="00981465"/>
    <w:rsid w:val="00981C8F"/>
    <w:rsid w:val="00983D0B"/>
    <w:rsid w:val="009855DF"/>
    <w:rsid w:val="009858EA"/>
    <w:rsid w:val="00990D25"/>
    <w:rsid w:val="00994448"/>
    <w:rsid w:val="009953CF"/>
    <w:rsid w:val="009A23B8"/>
    <w:rsid w:val="009A5043"/>
    <w:rsid w:val="009B2B1D"/>
    <w:rsid w:val="009B68FB"/>
    <w:rsid w:val="009C1242"/>
    <w:rsid w:val="009C53CA"/>
    <w:rsid w:val="009C5736"/>
    <w:rsid w:val="009D2C19"/>
    <w:rsid w:val="009D75F7"/>
    <w:rsid w:val="009E066B"/>
    <w:rsid w:val="009E11A4"/>
    <w:rsid w:val="009F30E7"/>
    <w:rsid w:val="009F63F2"/>
    <w:rsid w:val="00A003B0"/>
    <w:rsid w:val="00A00E96"/>
    <w:rsid w:val="00A035CD"/>
    <w:rsid w:val="00A03A7C"/>
    <w:rsid w:val="00A03FFA"/>
    <w:rsid w:val="00A054CA"/>
    <w:rsid w:val="00A06A0D"/>
    <w:rsid w:val="00A074FF"/>
    <w:rsid w:val="00A11D39"/>
    <w:rsid w:val="00A13E9F"/>
    <w:rsid w:val="00A144B2"/>
    <w:rsid w:val="00A15F8C"/>
    <w:rsid w:val="00A17557"/>
    <w:rsid w:val="00A2204E"/>
    <w:rsid w:val="00A2399D"/>
    <w:rsid w:val="00A24324"/>
    <w:rsid w:val="00A25D4A"/>
    <w:rsid w:val="00A31A10"/>
    <w:rsid w:val="00A32E04"/>
    <w:rsid w:val="00A347AB"/>
    <w:rsid w:val="00A34934"/>
    <w:rsid w:val="00A4684E"/>
    <w:rsid w:val="00A5079D"/>
    <w:rsid w:val="00A50A17"/>
    <w:rsid w:val="00A54353"/>
    <w:rsid w:val="00A552AB"/>
    <w:rsid w:val="00A645AC"/>
    <w:rsid w:val="00A65619"/>
    <w:rsid w:val="00A66320"/>
    <w:rsid w:val="00A705F0"/>
    <w:rsid w:val="00A70E67"/>
    <w:rsid w:val="00A71E6C"/>
    <w:rsid w:val="00A75405"/>
    <w:rsid w:val="00A7666F"/>
    <w:rsid w:val="00A81125"/>
    <w:rsid w:val="00A86DC6"/>
    <w:rsid w:val="00A86F49"/>
    <w:rsid w:val="00A9046D"/>
    <w:rsid w:val="00A90C04"/>
    <w:rsid w:val="00A94EB2"/>
    <w:rsid w:val="00A970DC"/>
    <w:rsid w:val="00A97564"/>
    <w:rsid w:val="00AA3732"/>
    <w:rsid w:val="00AA5E2D"/>
    <w:rsid w:val="00AA6DA0"/>
    <w:rsid w:val="00AA71ED"/>
    <w:rsid w:val="00AB0C3F"/>
    <w:rsid w:val="00AB128E"/>
    <w:rsid w:val="00AB7A49"/>
    <w:rsid w:val="00AC13AC"/>
    <w:rsid w:val="00AC1ED7"/>
    <w:rsid w:val="00AC5EF0"/>
    <w:rsid w:val="00AC747B"/>
    <w:rsid w:val="00AD07CF"/>
    <w:rsid w:val="00AD6A6D"/>
    <w:rsid w:val="00AE33EC"/>
    <w:rsid w:val="00AF0B7D"/>
    <w:rsid w:val="00B01E58"/>
    <w:rsid w:val="00B02388"/>
    <w:rsid w:val="00B053A7"/>
    <w:rsid w:val="00B07687"/>
    <w:rsid w:val="00B16DA6"/>
    <w:rsid w:val="00B3149A"/>
    <w:rsid w:val="00B31BA0"/>
    <w:rsid w:val="00B3722C"/>
    <w:rsid w:val="00B4754D"/>
    <w:rsid w:val="00B5157E"/>
    <w:rsid w:val="00B53F1C"/>
    <w:rsid w:val="00B57951"/>
    <w:rsid w:val="00B57B22"/>
    <w:rsid w:val="00B57F92"/>
    <w:rsid w:val="00B6507C"/>
    <w:rsid w:val="00B703D2"/>
    <w:rsid w:val="00B72A5A"/>
    <w:rsid w:val="00B804B5"/>
    <w:rsid w:val="00B80E6D"/>
    <w:rsid w:val="00B83A11"/>
    <w:rsid w:val="00B8572B"/>
    <w:rsid w:val="00B859B2"/>
    <w:rsid w:val="00B86C97"/>
    <w:rsid w:val="00B878E5"/>
    <w:rsid w:val="00B87908"/>
    <w:rsid w:val="00B87945"/>
    <w:rsid w:val="00B90381"/>
    <w:rsid w:val="00B926AC"/>
    <w:rsid w:val="00BA7160"/>
    <w:rsid w:val="00BB1381"/>
    <w:rsid w:val="00BB2B72"/>
    <w:rsid w:val="00BB3C11"/>
    <w:rsid w:val="00BB4170"/>
    <w:rsid w:val="00BB7566"/>
    <w:rsid w:val="00BC2775"/>
    <w:rsid w:val="00BC2842"/>
    <w:rsid w:val="00BC2F69"/>
    <w:rsid w:val="00BC721B"/>
    <w:rsid w:val="00BD350D"/>
    <w:rsid w:val="00BD408D"/>
    <w:rsid w:val="00BD698B"/>
    <w:rsid w:val="00BD72D9"/>
    <w:rsid w:val="00BD7C02"/>
    <w:rsid w:val="00BE42F9"/>
    <w:rsid w:val="00BE6671"/>
    <w:rsid w:val="00BE6D7A"/>
    <w:rsid w:val="00BF0D13"/>
    <w:rsid w:val="00BF2979"/>
    <w:rsid w:val="00BF2A1D"/>
    <w:rsid w:val="00BF525F"/>
    <w:rsid w:val="00BF721B"/>
    <w:rsid w:val="00BF7301"/>
    <w:rsid w:val="00C07187"/>
    <w:rsid w:val="00C10927"/>
    <w:rsid w:val="00C132CC"/>
    <w:rsid w:val="00C15B5B"/>
    <w:rsid w:val="00C16289"/>
    <w:rsid w:val="00C20DF7"/>
    <w:rsid w:val="00C21F0E"/>
    <w:rsid w:val="00C310EA"/>
    <w:rsid w:val="00C33BA3"/>
    <w:rsid w:val="00C3463E"/>
    <w:rsid w:val="00C365C4"/>
    <w:rsid w:val="00C41689"/>
    <w:rsid w:val="00C41C2E"/>
    <w:rsid w:val="00C42520"/>
    <w:rsid w:val="00C43DC5"/>
    <w:rsid w:val="00C44EDA"/>
    <w:rsid w:val="00C451CA"/>
    <w:rsid w:val="00C47A65"/>
    <w:rsid w:val="00C50B8C"/>
    <w:rsid w:val="00C521AB"/>
    <w:rsid w:val="00C52F56"/>
    <w:rsid w:val="00C57587"/>
    <w:rsid w:val="00C60E5C"/>
    <w:rsid w:val="00C6110A"/>
    <w:rsid w:val="00C61D25"/>
    <w:rsid w:val="00C65BD2"/>
    <w:rsid w:val="00C67DF0"/>
    <w:rsid w:val="00C70FBE"/>
    <w:rsid w:val="00C83471"/>
    <w:rsid w:val="00C83992"/>
    <w:rsid w:val="00C84240"/>
    <w:rsid w:val="00C87AE3"/>
    <w:rsid w:val="00C90348"/>
    <w:rsid w:val="00C92CB4"/>
    <w:rsid w:val="00C932FA"/>
    <w:rsid w:val="00C94F04"/>
    <w:rsid w:val="00C97EC9"/>
    <w:rsid w:val="00CA0832"/>
    <w:rsid w:val="00CA46F1"/>
    <w:rsid w:val="00CB04B0"/>
    <w:rsid w:val="00CB091A"/>
    <w:rsid w:val="00CB268C"/>
    <w:rsid w:val="00CB3ADC"/>
    <w:rsid w:val="00CC25CA"/>
    <w:rsid w:val="00CD17C3"/>
    <w:rsid w:val="00CD1FA3"/>
    <w:rsid w:val="00CD351B"/>
    <w:rsid w:val="00CD4509"/>
    <w:rsid w:val="00CE44F5"/>
    <w:rsid w:val="00CE4CF7"/>
    <w:rsid w:val="00CE63FE"/>
    <w:rsid w:val="00CE6482"/>
    <w:rsid w:val="00CF7D99"/>
    <w:rsid w:val="00D02BB6"/>
    <w:rsid w:val="00D06501"/>
    <w:rsid w:val="00D065B0"/>
    <w:rsid w:val="00D148B3"/>
    <w:rsid w:val="00D16CDE"/>
    <w:rsid w:val="00D200B5"/>
    <w:rsid w:val="00D23AF0"/>
    <w:rsid w:val="00D30A50"/>
    <w:rsid w:val="00D34E8B"/>
    <w:rsid w:val="00D40990"/>
    <w:rsid w:val="00D43273"/>
    <w:rsid w:val="00D51525"/>
    <w:rsid w:val="00D52571"/>
    <w:rsid w:val="00D54E05"/>
    <w:rsid w:val="00D551DE"/>
    <w:rsid w:val="00D561C9"/>
    <w:rsid w:val="00D61765"/>
    <w:rsid w:val="00D627B4"/>
    <w:rsid w:val="00D7281F"/>
    <w:rsid w:val="00D749FB"/>
    <w:rsid w:val="00D81282"/>
    <w:rsid w:val="00D85AFC"/>
    <w:rsid w:val="00D86B5B"/>
    <w:rsid w:val="00D87DBD"/>
    <w:rsid w:val="00D9040C"/>
    <w:rsid w:val="00D9133E"/>
    <w:rsid w:val="00D9236C"/>
    <w:rsid w:val="00D9585A"/>
    <w:rsid w:val="00D95F2B"/>
    <w:rsid w:val="00DA6F81"/>
    <w:rsid w:val="00DB15F3"/>
    <w:rsid w:val="00DB7EBE"/>
    <w:rsid w:val="00DC0A17"/>
    <w:rsid w:val="00DC1197"/>
    <w:rsid w:val="00DC1423"/>
    <w:rsid w:val="00DC59BD"/>
    <w:rsid w:val="00DC70EB"/>
    <w:rsid w:val="00DD6122"/>
    <w:rsid w:val="00DD6AE1"/>
    <w:rsid w:val="00DE0303"/>
    <w:rsid w:val="00DE08BF"/>
    <w:rsid w:val="00DE17A1"/>
    <w:rsid w:val="00DE653B"/>
    <w:rsid w:val="00DE731E"/>
    <w:rsid w:val="00DF31E1"/>
    <w:rsid w:val="00DF3A08"/>
    <w:rsid w:val="00DF6894"/>
    <w:rsid w:val="00DF6E45"/>
    <w:rsid w:val="00DF6EB1"/>
    <w:rsid w:val="00DF7D63"/>
    <w:rsid w:val="00E05882"/>
    <w:rsid w:val="00E124D3"/>
    <w:rsid w:val="00E16C3F"/>
    <w:rsid w:val="00E272FF"/>
    <w:rsid w:val="00E27F30"/>
    <w:rsid w:val="00E34DE9"/>
    <w:rsid w:val="00E37118"/>
    <w:rsid w:val="00E40992"/>
    <w:rsid w:val="00E444C9"/>
    <w:rsid w:val="00E473CE"/>
    <w:rsid w:val="00E50332"/>
    <w:rsid w:val="00E50F46"/>
    <w:rsid w:val="00E53D12"/>
    <w:rsid w:val="00E640F8"/>
    <w:rsid w:val="00E65D71"/>
    <w:rsid w:val="00E67357"/>
    <w:rsid w:val="00E801FD"/>
    <w:rsid w:val="00E817EE"/>
    <w:rsid w:val="00E84B26"/>
    <w:rsid w:val="00E87588"/>
    <w:rsid w:val="00E920FA"/>
    <w:rsid w:val="00E95E51"/>
    <w:rsid w:val="00E962D8"/>
    <w:rsid w:val="00E96786"/>
    <w:rsid w:val="00EA0591"/>
    <w:rsid w:val="00EA1DA0"/>
    <w:rsid w:val="00EA2B76"/>
    <w:rsid w:val="00EA53D5"/>
    <w:rsid w:val="00EB1E83"/>
    <w:rsid w:val="00EB2897"/>
    <w:rsid w:val="00EB4455"/>
    <w:rsid w:val="00EB6FF8"/>
    <w:rsid w:val="00EB79D9"/>
    <w:rsid w:val="00EC2674"/>
    <w:rsid w:val="00EC58F4"/>
    <w:rsid w:val="00ED098A"/>
    <w:rsid w:val="00ED0CE4"/>
    <w:rsid w:val="00ED1F75"/>
    <w:rsid w:val="00ED2296"/>
    <w:rsid w:val="00ED779F"/>
    <w:rsid w:val="00EE0311"/>
    <w:rsid w:val="00EE079B"/>
    <w:rsid w:val="00EE4A5F"/>
    <w:rsid w:val="00EE683D"/>
    <w:rsid w:val="00EF0AA1"/>
    <w:rsid w:val="00EF2902"/>
    <w:rsid w:val="00EF7E54"/>
    <w:rsid w:val="00F00D15"/>
    <w:rsid w:val="00F031B6"/>
    <w:rsid w:val="00F114EF"/>
    <w:rsid w:val="00F1174E"/>
    <w:rsid w:val="00F1266B"/>
    <w:rsid w:val="00F16C1E"/>
    <w:rsid w:val="00F16F99"/>
    <w:rsid w:val="00F203CE"/>
    <w:rsid w:val="00F224DE"/>
    <w:rsid w:val="00F24FB6"/>
    <w:rsid w:val="00F267C6"/>
    <w:rsid w:val="00F3017E"/>
    <w:rsid w:val="00F30581"/>
    <w:rsid w:val="00F404D1"/>
    <w:rsid w:val="00F477CF"/>
    <w:rsid w:val="00F47CB4"/>
    <w:rsid w:val="00F5004D"/>
    <w:rsid w:val="00F50563"/>
    <w:rsid w:val="00F51FA4"/>
    <w:rsid w:val="00F549D8"/>
    <w:rsid w:val="00F57981"/>
    <w:rsid w:val="00F60DCA"/>
    <w:rsid w:val="00F626DE"/>
    <w:rsid w:val="00F77A1A"/>
    <w:rsid w:val="00F81850"/>
    <w:rsid w:val="00F877CF"/>
    <w:rsid w:val="00F90751"/>
    <w:rsid w:val="00F90A4B"/>
    <w:rsid w:val="00F97476"/>
    <w:rsid w:val="00FA063B"/>
    <w:rsid w:val="00FA1EF4"/>
    <w:rsid w:val="00FA509C"/>
    <w:rsid w:val="00FA50F5"/>
    <w:rsid w:val="00FA59DF"/>
    <w:rsid w:val="00FA6DF3"/>
    <w:rsid w:val="00FA76B2"/>
    <w:rsid w:val="00FB189A"/>
    <w:rsid w:val="00FB21A3"/>
    <w:rsid w:val="00FB2BF1"/>
    <w:rsid w:val="00FB3543"/>
    <w:rsid w:val="00FB365C"/>
    <w:rsid w:val="00FB3F0D"/>
    <w:rsid w:val="00FB52D7"/>
    <w:rsid w:val="00FB57DC"/>
    <w:rsid w:val="00FC18C0"/>
    <w:rsid w:val="00FD28CB"/>
    <w:rsid w:val="00FD4756"/>
    <w:rsid w:val="00FD7721"/>
    <w:rsid w:val="00FD7E7F"/>
    <w:rsid w:val="00FE342B"/>
    <w:rsid w:val="00FE3C23"/>
    <w:rsid w:val="00FE5362"/>
    <w:rsid w:val="00FE564D"/>
    <w:rsid w:val="00FF00FD"/>
    <w:rsid w:val="00FF2C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D89ABB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AC5EF0"/>
    <w:pPr>
      <w:spacing w:line="480" w:lineRule="auto"/>
    </w:pPr>
    <w:rPr>
      <w:rFonts w:ascii="Arial" w:hAnsi="Arial"/>
      <w:sz w:val="20"/>
    </w:rPr>
  </w:style>
  <w:style w:type="paragraph" w:styleId="Heading1">
    <w:name w:val="heading 1"/>
    <w:aliases w:val="Chapter title"/>
    <w:basedOn w:val="Normal"/>
    <w:next w:val="Normal"/>
    <w:link w:val="Heading1Char"/>
    <w:uiPriority w:val="9"/>
    <w:qFormat/>
    <w:rsid w:val="00384DCD"/>
    <w:pPr>
      <w:keepNext/>
      <w:keepLines/>
      <w:spacing w:before="480"/>
      <w:jc w:val="center"/>
      <w:outlineLvl w:val="0"/>
    </w:pPr>
    <w:rPr>
      <w:rFonts w:eastAsiaTheme="majorEastAsia" w:cstheme="majorBidi"/>
      <w:b/>
      <w:bCs/>
      <w:sz w:val="28"/>
      <w:szCs w:val="32"/>
    </w:rPr>
  </w:style>
  <w:style w:type="paragraph" w:styleId="Heading2">
    <w:name w:val="heading 2"/>
    <w:basedOn w:val="ListParagraph"/>
    <w:next w:val="ListParagraph"/>
    <w:link w:val="Heading2Char"/>
    <w:uiPriority w:val="9"/>
    <w:unhideWhenUsed/>
    <w:qFormat/>
    <w:rsid w:val="00804AA0"/>
    <w:pPr>
      <w:keepNext/>
      <w:keepLines/>
      <w:spacing w:before="200" w:after="120"/>
      <w:ind w:left="0"/>
      <w:outlineLvl w:val="1"/>
    </w:pPr>
    <w:rPr>
      <w:rFonts w:eastAsiaTheme="majorEastAsia" w:cstheme="majorBidi"/>
      <w:bCs/>
      <w:sz w:val="24"/>
      <w:szCs w:val="26"/>
    </w:rPr>
  </w:style>
  <w:style w:type="paragraph" w:styleId="Heading3">
    <w:name w:val="heading 3"/>
    <w:basedOn w:val="ListParagraph"/>
    <w:next w:val="ListParagraph"/>
    <w:link w:val="Heading3Char"/>
    <w:uiPriority w:val="9"/>
    <w:unhideWhenUsed/>
    <w:qFormat/>
    <w:rsid w:val="00654CDF"/>
    <w:pPr>
      <w:keepNext/>
      <w:keepLines/>
      <w:ind w:left="0"/>
      <w:outlineLvl w:val="2"/>
    </w:pPr>
    <w:rPr>
      <w:rFonts w:eastAsiaTheme="majorEastAsia" w:cstheme="majorBidi"/>
      <w:b/>
      <w:bCs/>
      <w:sz w:val="22"/>
    </w:rPr>
  </w:style>
  <w:style w:type="paragraph" w:styleId="Heading4">
    <w:name w:val="heading 4"/>
    <w:basedOn w:val="Normal"/>
    <w:next w:val="Normal"/>
    <w:link w:val="Heading4Char"/>
    <w:uiPriority w:val="9"/>
    <w:unhideWhenUsed/>
    <w:qFormat/>
    <w:rsid w:val="00DE08BF"/>
    <w:pPr>
      <w:keepNext/>
      <w:keepLines/>
      <w:spacing w:before="200"/>
      <w:outlineLvl w:val="3"/>
    </w:pPr>
    <w:rPr>
      <w:rFonts w:asciiTheme="majorHAnsi" w:eastAsiaTheme="majorEastAsia" w:hAnsiTheme="majorHAnsi" w:cstheme="majorBidi"/>
      <w:b/>
      <w:bCs/>
      <w:iCs/>
    </w:rPr>
  </w:style>
  <w:style w:type="paragraph" w:styleId="Heading5">
    <w:name w:val="heading 5"/>
    <w:basedOn w:val="Normal"/>
    <w:next w:val="BodyText"/>
    <w:link w:val="Heading5Char"/>
    <w:uiPriority w:val="9"/>
    <w:unhideWhenUsed/>
    <w:qFormat/>
    <w:rsid w:val="008C670A"/>
    <w:pPr>
      <w:keepNext/>
      <w:keepLines/>
      <w:spacing w:before="200" w:line="240" w:lineRule="auto"/>
      <w:outlineLvl w:val="4"/>
    </w:pPr>
    <w:rPr>
      <w:rFonts w:asciiTheme="majorHAnsi" w:eastAsiaTheme="majorEastAsia" w:hAnsiTheme="majorHAnsi" w:cstheme="majorBidi"/>
      <w:i/>
      <w:iCs/>
      <w:color w:val="4F81BD" w:themeColor="accent1"/>
    </w:rPr>
  </w:style>
  <w:style w:type="paragraph" w:styleId="Heading6">
    <w:name w:val="heading 6"/>
    <w:basedOn w:val="Normal"/>
    <w:next w:val="BodyText"/>
    <w:link w:val="Heading6Char"/>
    <w:uiPriority w:val="9"/>
    <w:unhideWhenUsed/>
    <w:qFormat/>
    <w:rsid w:val="008C670A"/>
    <w:pPr>
      <w:keepNext/>
      <w:keepLines/>
      <w:spacing w:before="200" w:line="240" w:lineRule="auto"/>
      <w:outlineLvl w:val="5"/>
    </w:pPr>
    <w:rPr>
      <w:rFonts w:asciiTheme="majorHAnsi" w:eastAsiaTheme="majorEastAsia" w:hAnsiTheme="majorHAnsi" w:cstheme="majorBidi"/>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DC59BD"/>
    <w:pPr>
      <w:tabs>
        <w:tab w:val="center" w:pos="4320"/>
        <w:tab w:val="right" w:pos="8640"/>
      </w:tabs>
    </w:pPr>
  </w:style>
  <w:style w:type="character" w:customStyle="1" w:styleId="HeaderChar">
    <w:name w:val="Header Char"/>
    <w:basedOn w:val="DefaultParagraphFont"/>
    <w:link w:val="Header"/>
    <w:rsid w:val="00DC59BD"/>
  </w:style>
  <w:style w:type="paragraph" w:styleId="Footer">
    <w:name w:val="footer"/>
    <w:basedOn w:val="Normal"/>
    <w:link w:val="FooterChar"/>
    <w:uiPriority w:val="99"/>
    <w:unhideWhenUsed/>
    <w:rsid w:val="00DC59BD"/>
    <w:pPr>
      <w:tabs>
        <w:tab w:val="center" w:pos="4320"/>
        <w:tab w:val="right" w:pos="8640"/>
      </w:tabs>
    </w:pPr>
  </w:style>
  <w:style w:type="character" w:customStyle="1" w:styleId="FooterChar">
    <w:name w:val="Footer Char"/>
    <w:basedOn w:val="DefaultParagraphFont"/>
    <w:link w:val="Footer"/>
    <w:uiPriority w:val="99"/>
    <w:rsid w:val="00DC59BD"/>
  </w:style>
  <w:style w:type="paragraph" w:styleId="TOC1">
    <w:name w:val="toc 1"/>
    <w:basedOn w:val="Normal"/>
    <w:next w:val="Normal"/>
    <w:autoRedefine/>
    <w:uiPriority w:val="39"/>
    <w:unhideWhenUsed/>
    <w:qFormat/>
    <w:rsid w:val="00DC59BD"/>
    <w:pPr>
      <w:spacing w:before="120"/>
    </w:pPr>
    <w:rPr>
      <w:b/>
    </w:rPr>
  </w:style>
  <w:style w:type="paragraph" w:styleId="TOC2">
    <w:name w:val="toc 2"/>
    <w:basedOn w:val="Normal"/>
    <w:next w:val="Normal"/>
    <w:autoRedefine/>
    <w:uiPriority w:val="39"/>
    <w:unhideWhenUsed/>
    <w:qFormat/>
    <w:rsid w:val="00DC59BD"/>
    <w:pPr>
      <w:ind w:left="240"/>
    </w:pPr>
    <w:rPr>
      <w:b/>
      <w:sz w:val="22"/>
      <w:szCs w:val="22"/>
    </w:rPr>
  </w:style>
  <w:style w:type="paragraph" w:styleId="TOC3">
    <w:name w:val="toc 3"/>
    <w:basedOn w:val="Normal"/>
    <w:next w:val="Normal"/>
    <w:autoRedefine/>
    <w:uiPriority w:val="39"/>
    <w:unhideWhenUsed/>
    <w:qFormat/>
    <w:rsid w:val="00DC59BD"/>
    <w:pPr>
      <w:ind w:left="480"/>
    </w:pPr>
    <w:rPr>
      <w:sz w:val="22"/>
      <w:szCs w:val="22"/>
    </w:rPr>
  </w:style>
  <w:style w:type="paragraph" w:styleId="TOC4">
    <w:name w:val="toc 4"/>
    <w:basedOn w:val="Normal"/>
    <w:next w:val="Normal"/>
    <w:autoRedefine/>
    <w:uiPriority w:val="39"/>
    <w:unhideWhenUsed/>
    <w:rsid w:val="00DC59BD"/>
    <w:pPr>
      <w:ind w:left="720"/>
    </w:pPr>
    <w:rPr>
      <w:szCs w:val="20"/>
    </w:rPr>
  </w:style>
  <w:style w:type="paragraph" w:styleId="TOC5">
    <w:name w:val="toc 5"/>
    <w:basedOn w:val="Normal"/>
    <w:next w:val="Normal"/>
    <w:autoRedefine/>
    <w:uiPriority w:val="39"/>
    <w:unhideWhenUsed/>
    <w:rsid w:val="00DC59BD"/>
    <w:pPr>
      <w:ind w:left="960"/>
    </w:pPr>
    <w:rPr>
      <w:szCs w:val="20"/>
    </w:rPr>
  </w:style>
  <w:style w:type="paragraph" w:styleId="TOC6">
    <w:name w:val="toc 6"/>
    <w:basedOn w:val="Normal"/>
    <w:next w:val="Normal"/>
    <w:autoRedefine/>
    <w:uiPriority w:val="39"/>
    <w:unhideWhenUsed/>
    <w:rsid w:val="00DC59BD"/>
    <w:pPr>
      <w:ind w:left="1200"/>
    </w:pPr>
    <w:rPr>
      <w:szCs w:val="20"/>
    </w:rPr>
  </w:style>
  <w:style w:type="paragraph" w:styleId="TOC7">
    <w:name w:val="toc 7"/>
    <w:basedOn w:val="Normal"/>
    <w:next w:val="Normal"/>
    <w:autoRedefine/>
    <w:uiPriority w:val="39"/>
    <w:unhideWhenUsed/>
    <w:rsid w:val="00DC59BD"/>
    <w:pPr>
      <w:ind w:left="1440"/>
    </w:pPr>
    <w:rPr>
      <w:szCs w:val="20"/>
    </w:rPr>
  </w:style>
  <w:style w:type="paragraph" w:styleId="TOC8">
    <w:name w:val="toc 8"/>
    <w:basedOn w:val="Normal"/>
    <w:next w:val="Normal"/>
    <w:autoRedefine/>
    <w:uiPriority w:val="39"/>
    <w:unhideWhenUsed/>
    <w:rsid w:val="00DC59BD"/>
    <w:pPr>
      <w:ind w:left="1680"/>
    </w:pPr>
    <w:rPr>
      <w:szCs w:val="20"/>
    </w:rPr>
  </w:style>
  <w:style w:type="paragraph" w:styleId="TOC9">
    <w:name w:val="toc 9"/>
    <w:basedOn w:val="Normal"/>
    <w:next w:val="Normal"/>
    <w:autoRedefine/>
    <w:uiPriority w:val="39"/>
    <w:unhideWhenUsed/>
    <w:rsid w:val="00DC59BD"/>
    <w:pPr>
      <w:ind w:left="1920"/>
    </w:pPr>
    <w:rPr>
      <w:szCs w:val="20"/>
    </w:rPr>
  </w:style>
  <w:style w:type="character" w:customStyle="1" w:styleId="Heading1Char">
    <w:name w:val="Heading 1 Char"/>
    <w:aliases w:val="Chapter title Char"/>
    <w:basedOn w:val="DefaultParagraphFont"/>
    <w:link w:val="Heading1"/>
    <w:uiPriority w:val="9"/>
    <w:rsid w:val="00384DCD"/>
    <w:rPr>
      <w:rFonts w:ascii="Arial" w:eastAsiaTheme="majorEastAsia" w:hAnsi="Arial" w:cstheme="majorBidi"/>
      <w:b/>
      <w:bCs/>
      <w:sz w:val="28"/>
      <w:szCs w:val="32"/>
    </w:rPr>
  </w:style>
  <w:style w:type="paragraph" w:styleId="ListParagraph">
    <w:name w:val="List Paragraph"/>
    <w:basedOn w:val="Normal"/>
    <w:qFormat/>
    <w:rsid w:val="00DC59BD"/>
    <w:pPr>
      <w:ind w:left="720"/>
      <w:contextualSpacing/>
    </w:pPr>
  </w:style>
  <w:style w:type="paragraph" w:styleId="TOCHeading">
    <w:name w:val="TOC Heading"/>
    <w:basedOn w:val="Heading1"/>
    <w:next w:val="Normal"/>
    <w:uiPriority w:val="39"/>
    <w:unhideWhenUsed/>
    <w:qFormat/>
    <w:rsid w:val="004B3869"/>
    <w:pPr>
      <w:spacing w:line="276" w:lineRule="auto"/>
      <w:outlineLvl w:val="9"/>
    </w:pPr>
    <w:rPr>
      <w:szCs w:val="28"/>
    </w:rPr>
  </w:style>
  <w:style w:type="paragraph" w:styleId="BalloonText">
    <w:name w:val="Balloon Text"/>
    <w:basedOn w:val="Normal"/>
    <w:link w:val="BalloonTextChar"/>
    <w:unhideWhenUsed/>
    <w:rsid w:val="001032D1"/>
    <w:rPr>
      <w:rFonts w:ascii="Lucida Grande" w:hAnsi="Lucida Grande" w:cs="Lucida Grande"/>
      <w:sz w:val="18"/>
      <w:szCs w:val="18"/>
    </w:rPr>
  </w:style>
  <w:style w:type="character" w:customStyle="1" w:styleId="BalloonTextChar">
    <w:name w:val="Balloon Text Char"/>
    <w:basedOn w:val="DefaultParagraphFont"/>
    <w:link w:val="BalloonText"/>
    <w:rsid w:val="001032D1"/>
    <w:rPr>
      <w:rFonts w:ascii="Lucida Grande" w:hAnsi="Lucida Grande" w:cs="Lucida Grande"/>
      <w:sz w:val="18"/>
      <w:szCs w:val="18"/>
    </w:rPr>
  </w:style>
  <w:style w:type="character" w:customStyle="1" w:styleId="Heading2Char">
    <w:name w:val="Heading 2 Char"/>
    <w:basedOn w:val="DefaultParagraphFont"/>
    <w:link w:val="Heading2"/>
    <w:uiPriority w:val="9"/>
    <w:rsid w:val="00804AA0"/>
    <w:rPr>
      <w:rFonts w:ascii="Arial" w:eastAsiaTheme="majorEastAsia" w:hAnsi="Arial" w:cstheme="majorBidi"/>
      <w:bCs/>
      <w:szCs w:val="26"/>
    </w:rPr>
  </w:style>
  <w:style w:type="character" w:customStyle="1" w:styleId="Heading3Char">
    <w:name w:val="Heading 3 Char"/>
    <w:basedOn w:val="DefaultParagraphFont"/>
    <w:link w:val="Heading3"/>
    <w:uiPriority w:val="9"/>
    <w:rsid w:val="00654CDF"/>
    <w:rPr>
      <w:rFonts w:ascii="Arial" w:eastAsiaTheme="majorEastAsia" w:hAnsi="Arial" w:cstheme="majorBidi"/>
      <w:b/>
      <w:bCs/>
      <w:sz w:val="22"/>
    </w:rPr>
  </w:style>
  <w:style w:type="paragraph" w:styleId="Caption">
    <w:name w:val="caption"/>
    <w:basedOn w:val="Normal"/>
    <w:next w:val="Normal"/>
    <w:link w:val="CaptionChar"/>
    <w:unhideWhenUsed/>
    <w:qFormat/>
    <w:rsid w:val="008C526B"/>
    <w:pPr>
      <w:spacing w:after="200"/>
    </w:pPr>
    <w:rPr>
      <w:b/>
      <w:bCs/>
      <w:sz w:val="18"/>
      <w:szCs w:val="18"/>
    </w:rPr>
  </w:style>
  <w:style w:type="character" w:styleId="Hyperlink">
    <w:name w:val="Hyperlink"/>
    <w:basedOn w:val="DefaultParagraphFont"/>
    <w:uiPriority w:val="99"/>
    <w:unhideWhenUsed/>
    <w:rsid w:val="009334A1"/>
    <w:rPr>
      <w:color w:val="0000FF" w:themeColor="hyperlink"/>
      <w:u w:val="single"/>
    </w:rPr>
  </w:style>
  <w:style w:type="paragraph" w:styleId="NormalWeb">
    <w:name w:val="Normal (Web)"/>
    <w:basedOn w:val="Normal"/>
    <w:uiPriority w:val="99"/>
    <w:unhideWhenUsed/>
    <w:rsid w:val="00CD17C3"/>
    <w:pPr>
      <w:spacing w:before="100" w:beforeAutospacing="1" w:after="100" w:afterAutospacing="1" w:line="240" w:lineRule="auto"/>
    </w:pPr>
    <w:rPr>
      <w:rFonts w:ascii="Times New Roman" w:hAnsi="Times New Roman" w:cs="Times New Roman"/>
      <w:lang w:eastAsia="zh-CN"/>
    </w:rPr>
  </w:style>
  <w:style w:type="character" w:customStyle="1" w:styleId="gd">
    <w:name w:val="gd"/>
    <w:basedOn w:val="DefaultParagraphFont"/>
    <w:rsid w:val="00285910"/>
  </w:style>
  <w:style w:type="character" w:customStyle="1" w:styleId="Heading4Char">
    <w:name w:val="Heading 4 Char"/>
    <w:basedOn w:val="DefaultParagraphFont"/>
    <w:link w:val="Heading4"/>
    <w:uiPriority w:val="9"/>
    <w:rsid w:val="00DE08BF"/>
    <w:rPr>
      <w:rFonts w:asciiTheme="majorHAnsi" w:eastAsiaTheme="majorEastAsia" w:hAnsiTheme="majorHAnsi" w:cstheme="majorBidi"/>
      <w:b/>
      <w:bCs/>
      <w:iCs/>
      <w:sz w:val="20"/>
    </w:rPr>
  </w:style>
  <w:style w:type="character" w:customStyle="1" w:styleId="apple-converted-space">
    <w:name w:val="apple-converted-space"/>
    <w:basedOn w:val="DefaultParagraphFont"/>
    <w:rsid w:val="009855DF"/>
  </w:style>
  <w:style w:type="character" w:customStyle="1" w:styleId="addr-line">
    <w:name w:val="addr-line"/>
    <w:basedOn w:val="DefaultParagraphFont"/>
    <w:rsid w:val="009855DF"/>
  </w:style>
  <w:style w:type="character" w:customStyle="1" w:styleId="phone">
    <w:name w:val="phone"/>
    <w:basedOn w:val="DefaultParagraphFont"/>
    <w:rsid w:val="009855DF"/>
  </w:style>
  <w:style w:type="character" w:customStyle="1" w:styleId="fax">
    <w:name w:val="fax"/>
    <w:basedOn w:val="DefaultParagraphFont"/>
    <w:rsid w:val="009855DF"/>
  </w:style>
  <w:style w:type="character" w:styleId="LineNumber">
    <w:name w:val="line number"/>
    <w:basedOn w:val="DefaultParagraphFont"/>
    <w:uiPriority w:val="99"/>
    <w:semiHidden/>
    <w:unhideWhenUsed/>
    <w:rsid w:val="009855DF"/>
  </w:style>
  <w:style w:type="character" w:styleId="Strong">
    <w:name w:val="Strong"/>
    <w:uiPriority w:val="22"/>
    <w:qFormat/>
    <w:rsid w:val="009855DF"/>
    <w:rPr>
      <w:b/>
      <w:bCs/>
    </w:rPr>
  </w:style>
  <w:style w:type="table" w:styleId="TableGrid">
    <w:name w:val="Table Grid"/>
    <w:basedOn w:val="TableNormal"/>
    <w:rsid w:val="009855DF"/>
    <w:rPr>
      <w:rFonts w:ascii="Cambria" w:eastAsia="MS Mincho" w:hAnsi="Cambria"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nhideWhenUsed/>
    <w:rsid w:val="009855DF"/>
    <w:rPr>
      <w:sz w:val="18"/>
      <w:szCs w:val="18"/>
    </w:rPr>
  </w:style>
  <w:style w:type="paragraph" w:styleId="CommentText">
    <w:name w:val="annotation text"/>
    <w:basedOn w:val="Normal"/>
    <w:link w:val="CommentTextChar"/>
    <w:unhideWhenUsed/>
    <w:rsid w:val="009855DF"/>
    <w:pPr>
      <w:spacing w:after="200" w:line="240" w:lineRule="auto"/>
    </w:pPr>
    <w:rPr>
      <w:rFonts w:ascii="Calibri" w:eastAsia="MS Mincho" w:hAnsi="Calibri" w:cs="Times New Roman"/>
      <w:sz w:val="24"/>
    </w:rPr>
  </w:style>
  <w:style w:type="character" w:customStyle="1" w:styleId="CommentTextChar">
    <w:name w:val="Comment Text Char"/>
    <w:basedOn w:val="DefaultParagraphFont"/>
    <w:link w:val="CommentText"/>
    <w:rsid w:val="009855DF"/>
    <w:rPr>
      <w:rFonts w:ascii="Calibri" w:eastAsia="MS Mincho" w:hAnsi="Calibri" w:cs="Times New Roman"/>
    </w:rPr>
  </w:style>
  <w:style w:type="paragraph" w:styleId="CommentSubject">
    <w:name w:val="annotation subject"/>
    <w:basedOn w:val="CommentText"/>
    <w:next w:val="CommentText"/>
    <w:link w:val="CommentSubjectChar"/>
    <w:unhideWhenUsed/>
    <w:rsid w:val="009855DF"/>
    <w:rPr>
      <w:b/>
      <w:bCs/>
      <w:sz w:val="20"/>
      <w:szCs w:val="20"/>
    </w:rPr>
  </w:style>
  <w:style w:type="character" w:customStyle="1" w:styleId="CommentSubjectChar">
    <w:name w:val="Comment Subject Char"/>
    <w:basedOn w:val="CommentTextChar"/>
    <w:link w:val="CommentSubject"/>
    <w:rsid w:val="009855DF"/>
    <w:rPr>
      <w:rFonts w:ascii="Calibri" w:eastAsia="MS Mincho" w:hAnsi="Calibri" w:cs="Times New Roman"/>
      <w:b/>
      <w:bCs/>
      <w:sz w:val="20"/>
      <w:szCs w:val="20"/>
    </w:rPr>
  </w:style>
  <w:style w:type="paragraph" w:styleId="Revision">
    <w:name w:val="Revision"/>
    <w:hidden/>
    <w:rsid w:val="009855DF"/>
    <w:rPr>
      <w:rFonts w:ascii="Calibri" w:eastAsia="MS Mincho" w:hAnsi="Calibri" w:cs="Times New Roman"/>
      <w:sz w:val="22"/>
      <w:szCs w:val="22"/>
    </w:rPr>
  </w:style>
  <w:style w:type="character" w:styleId="FollowedHyperlink">
    <w:name w:val="FollowedHyperlink"/>
    <w:basedOn w:val="DefaultParagraphFont"/>
    <w:uiPriority w:val="99"/>
    <w:semiHidden/>
    <w:unhideWhenUsed/>
    <w:rsid w:val="009855DF"/>
    <w:rPr>
      <w:color w:val="800080" w:themeColor="followedHyperlink"/>
      <w:u w:val="single"/>
    </w:rPr>
  </w:style>
  <w:style w:type="character" w:customStyle="1" w:styleId="Heading5Char">
    <w:name w:val="Heading 5 Char"/>
    <w:basedOn w:val="DefaultParagraphFont"/>
    <w:link w:val="Heading5"/>
    <w:uiPriority w:val="9"/>
    <w:rsid w:val="008C670A"/>
    <w:rPr>
      <w:rFonts w:asciiTheme="majorHAnsi" w:eastAsiaTheme="majorEastAsia" w:hAnsiTheme="majorHAnsi" w:cstheme="majorBidi"/>
      <w:i/>
      <w:iCs/>
      <w:color w:val="4F81BD" w:themeColor="accent1"/>
      <w:sz w:val="20"/>
    </w:rPr>
  </w:style>
  <w:style w:type="character" w:customStyle="1" w:styleId="Heading6Char">
    <w:name w:val="Heading 6 Char"/>
    <w:basedOn w:val="DefaultParagraphFont"/>
    <w:link w:val="Heading6"/>
    <w:uiPriority w:val="9"/>
    <w:rsid w:val="008C670A"/>
    <w:rPr>
      <w:rFonts w:asciiTheme="majorHAnsi" w:eastAsiaTheme="majorEastAsia" w:hAnsiTheme="majorHAnsi" w:cstheme="majorBidi"/>
      <w:color w:val="4F81BD" w:themeColor="accent1"/>
      <w:sz w:val="20"/>
    </w:rPr>
  </w:style>
  <w:style w:type="paragraph" w:styleId="BodyText">
    <w:name w:val="Body Text"/>
    <w:basedOn w:val="Normal"/>
    <w:link w:val="BodyTextChar"/>
    <w:qFormat/>
    <w:rsid w:val="008C670A"/>
    <w:pPr>
      <w:spacing w:before="180" w:after="180"/>
    </w:pPr>
  </w:style>
  <w:style w:type="character" w:customStyle="1" w:styleId="BodyTextChar">
    <w:name w:val="Body Text Char"/>
    <w:basedOn w:val="DefaultParagraphFont"/>
    <w:link w:val="BodyText"/>
    <w:rsid w:val="008C670A"/>
    <w:rPr>
      <w:rFonts w:ascii="Arial" w:hAnsi="Arial"/>
      <w:sz w:val="20"/>
    </w:rPr>
  </w:style>
  <w:style w:type="paragraph" w:customStyle="1" w:styleId="FirstParagraph">
    <w:name w:val="First Paragraph"/>
    <w:basedOn w:val="BodyText"/>
    <w:next w:val="BodyText"/>
    <w:link w:val="FirstParagraphChar"/>
    <w:qFormat/>
    <w:rsid w:val="008C670A"/>
  </w:style>
  <w:style w:type="paragraph" w:customStyle="1" w:styleId="Compact">
    <w:name w:val="Compact"/>
    <w:basedOn w:val="BodyText"/>
    <w:qFormat/>
    <w:rsid w:val="008C670A"/>
    <w:pPr>
      <w:spacing w:before="36" w:after="36" w:line="240" w:lineRule="auto"/>
    </w:pPr>
    <w:rPr>
      <w:sz w:val="18"/>
    </w:rPr>
  </w:style>
  <w:style w:type="paragraph" w:styleId="Title">
    <w:name w:val="Title"/>
    <w:basedOn w:val="Normal"/>
    <w:next w:val="BodyText"/>
    <w:link w:val="TitleChar"/>
    <w:qFormat/>
    <w:rsid w:val="008C670A"/>
    <w:pPr>
      <w:keepNext/>
      <w:keepLines/>
      <w:spacing w:before="480" w:after="240" w:line="240" w:lineRule="auto"/>
      <w:jc w:val="center"/>
    </w:pPr>
    <w:rPr>
      <w:rFonts w:eastAsiaTheme="majorEastAsia" w:cstheme="majorBidi"/>
      <w:bCs/>
      <w:sz w:val="28"/>
      <w:szCs w:val="36"/>
    </w:rPr>
  </w:style>
  <w:style w:type="character" w:customStyle="1" w:styleId="TitleChar">
    <w:name w:val="Title Char"/>
    <w:basedOn w:val="DefaultParagraphFont"/>
    <w:link w:val="Title"/>
    <w:rsid w:val="008C670A"/>
    <w:rPr>
      <w:rFonts w:ascii="Arial" w:eastAsiaTheme="majorEastAsia" w:hAnsi="Arial" w:cstheme="majorBidi"/>
      <w:bCs/>
      <w:sz w:val="28"/>
      <w:szCs w:val="36"/>
    </w:rPr>
  </w:style>
  <w:style w:type="paragraph" w:styleId="Subtitle">
    <w:name w:val="Subtitle"/>
    <w:basedOn w:val="Title"/>
    <w:next w:val="BodyText"/>
    <w:link w:val="SubtitleChar"/>
    <w:qFormat/>
    <w:rsid w:val="008C670A"/>
    <w:pPr>
      <w:spacing w:before="240"/>
    </w:pPr>
    <w:rPr>
      <w:sz w:val="24"/>
      <w:szCs w:val="30"/>
    </w:rPr>
  </w:style>
  <w:style w:type="character" w:customStyle="1" w:styleId="SubtitleChar">
    <w:name w:val="Subtitle Char"/>
    <w:basedOn w:val="DefaultParagraphFont"/>
    <w:link w:val="Subtitle"/>
    <w:rsid w:val="008C670A"/>
    <w:rPr>
      <w:rFonts w:ascii="Arial" w:eastAsiaTheme="majorEastAsia" w:hAnsi="Arial" w:cstheme="majorBidi"/>
      <w:bCs/>
      <w:szCs w:val="30"/>
    </w:rPr>
  </w:style>
  <w:style w:type="paragraph" w:customStyle="1" w:styleId="Author">
    <w:name w:val="Author"/>
    <w:next w:val="BodyText"/>
    <w:qFormat/>
    <w:rsid w:val="008C670A"/>
    <w:pPr>
      <w:keepNext/>
      <w:keepLines/>
      <w:spacing w:after="200"/>
      <w:jc w:val="center"/>
    </w:pPr>
  </w:style>
  <w:style w:type="paragraph" w:styleId="Date">
    <w:name w:val="Date"/>
    <w:next w:val="BodyText"/>
    <w:link w:val="DateChar"/>
    <w:qFormat/>
    <w:rsid w:val="008C670A"/>
    <w:pPr>
      <w:keepNext/>
      <w:keepLines/>
      <w:spacing w:after="200"/>
      <w:jc w:val="center"/>
    </w:pPr>
  </w:style>
  <w:style w:type="character" w:customStyle="1" w:styleId="DateChar">
    <w:name w:val="Date Char"/>
    <w:basedOn w:val="DefaultParagraphFont"/>
    <w:link w:val="Date"/>
    <w:rsid w:val="008C670A"/>
  </w:style>
  <w:style w:type="paragraph" w:customStyle="1" w:styleId="Abstract">
    <w:name w:val="Abstract"/>
    <w:basedOn w:val="Normal"/>
    <w:next w:val="BodyText"/>
    <w:qFormat/>
    <w:rsid w:val="008C670A"/>
    <w:pPr>
      <w:keepNext/>
      <w:keepLines/>
      <w:spacing w:before="300" w:after="300" w:line="240" w:lineRule="auto"/>
    </w:pPr>
    <w:rPr>
      <w:szCs w:val="20"/>
    </w:rPr>
  </w:style>
  <w:style w:type="paragraph" w:styleId="Bibliography">
    <w:name w:val="Bibliography"/>
    <w:basedOn w:val="Normal"/>
    <w:qFormat/>
    <w:rsid w:val="008C670A"/>
    <w:pPr>
      <w:spacing w:line="240" w:lineRule="auto"/>
    </w:pPr>
  </w:style>
  <w:style w:type="paragraph" w:styleId="BlockText">
    <w:name w:val="Block Text"/>
    <w:basedOn w:val="BodyText"/>
    <w:next w:val="BodyText"/>
    <w:uiPriority w:val="9"/>
    <w:unhideWhenUsed/>
    <w:qFormat/>
    <w:rsid w:val="008C670A"/>
    <w:pPr>
      <w:numPr>
        <w:numId w:val="8"/>
      </w:numPr>
      <w:spacing w:before="100" w:after="100"/>
      <w:ind w:left="360"/>
    </w:pPr>
    <w:rPr>
      <w:rFonts w:eastAsiaTheme="majorEastAsia" w:cstheme="majorBidi"/>
      <w:bCs/>
      <w:sz w:val="18"/>
      <w:szCs w:val="20"/>
    </w:rPr>
  </w:style>
  <w:style w:type="paragraph" w:styleId="FootnoteText">
    <w:name w:val="footnote text"/>
    <w:basedOn w:val="Normal"/>
    <w:link w:val="FootnoteTextChar"/>
    <w:uiPriority w:val="9"/>
    <w:unhideWhenUsed/>
    <w:qFormat/>
    <w:rsid w:val="008C670A"/>
    <w:pPr>
      <w:spacing w:line="240" w:lineRule="auto"/>
    </w:pPr>
  </w:style>
  <w:style w:type="character" w:customStyle="1" w:styleId="FootnoteTextChar">
    <w:name w:val="Footnote Text Char"/>
    <w:basedOn w:val="DefaultParagraphFont"/>
    <w:link w:val="FootnoteText"/>
    <w:uiPriority w:val="9"/>
    <w:rsid w:val="008C670A"/>
    <w:rPr>
      <w:rFonts w:ascii="Arial" w:hAnsi="Arial"/>
      <w:sz w:val="20"/>
    </w:rPr>
  </w:style>
  <w:style w:type="paragraph" w:customStyle="1" w:styleId="DefinitionTerm">
    <w:name w:val="Definition Term"/>
    <w:basedOn w:val="Normal"/>
    <w:next w:val="Definition"/>
    <w:rsid w:val="008C670A"/>
    <w:pPr>
      <w:keepNext/>
      <w:keepLines/>
      <w:spacing w:line="240" w:lineRule="auto"/>
    </w:pPr>
    <w:rPr>
      <w:b/>
    </w:rPr>
  </w:style>
  <w:style w:type="paragraph" w:customStyle="1" w:styleId="Definition">
    <w:name w:val="Definition"/>
    <w:basedOn w:val="Normal"/>
    <w:rsid w:val="008C670A"/>
    <w:pPr>
      <w:spacing w:line="240" w:lineRule="auto"/>
    </w:pPr>
  </w:style>
  <w:style w:type="paragraph" w:customStyle="1" w:styleId="TableCaption">
    <w:name w:val="Table Caption"/>
    <w:basedOn w:val="Caption"/>
    <w:rsid w:val="008C670A"/>
    <w:pPr>
      <w:keepNext/>
      <w:spacing w:after="120" w:line="240" w:lineRule="auto"/>
    </w:pPr>
    <w:rPr>
      <w:b w:val="0"/>
      <w:bCs w:val="0"/>
      <w:i/>
      <w:sz w:val="20"/>
      <w:szCs w:val="24"/>
    </w:rPr>
  </w:style>
  <w:style w:type="paragraph" w:customStyle="1" w:styleId="ImageCaption">
    <w:name w:val="Image Caption"/>
    <w:basedOn w:val="Caption"/>
    <w:rsid w:val="008C670A"/>
    <w:pPr>
      <w:spacing w:after="120" w:line="240" w:lineRule="auto"/>
    </w:pPr>
    <w:rPr>
      <w:b w:val="0"/>
      <w:bCs w:val="0"/>
      <w:i/>
      <w:sz w:val="20"/>
      <w:szCs w:val="24"/>
    </w:rPr>
  </w:style>
  <w:style w:type="paragraph" w:customStyle="1" w:styleId="Figure">
    <w:name w:val="Figure"/>
    <w:basedOn w:val="Normal"/>
    <w:rsid w:val="008C670A"/>
    <w:pPr>
      <w:spacing w:line="240" w:lineRule="auto"/>
    </w:pPr>
  </w:style>
  <w:style w:type="paragraph" w:customStyle="1" w:styleId="FigurewithCaption">
    <w:name w:val="Figure with Caption"/>
    <w:basedOn w:val="Figure"/>
    <w:rsid w:val="008C670A"/>
    <w:pPr>
      <w:keepNext/>
    </w:pPr>
  </w:style>
  <w:style w:type="character" w:customStyle="1" w:styleId="CaptionChar">
    <w:name w:val="Caption Char"/>
    <w:basedOn w:val="DefaultParagraphFont"/>
    <w:link w:val="Caption"/>
    <w:rsid w:val="008C670A"/>
    <w:rPr>
      <w:rFonts w:ascii="Arial" w:hAnsi="Arial"/>
      <w:b/>
      <w:bCs/>
      <w:sz w:val="18"/>
      <w:szCs w:val="18"/>
    </w:rPr>
  </w:style>
  <w:style w:type="character" w:customStyle="1" w:styleId="VerbatimChar">
    <w:name w:val="Verbatim Char"/>
    <w:basedOn w:val="CaptionChar"/>
    <w:link w:val="SourceCode"/>
    <w:rsid w:val="008C670A"/>
    <w:rPr>
      <w:rFonts w:ascii="Consolas" w:hAnsi="Consolas"/>
      <w:b/>
      <w:bCs/>
      <w:sz w:val="22"/>
      <w:szCs w:val="18"/>
    </w:rPr>
  </w:style>
  <w:style w:type="character" w:styleId="FootnoteReference">
    <w:name w:val="footnote reference"/>
    <w:basedOn w:val="CaptionChar"/>
    <w:rsid w:val="008C670A"/>
    <w:rPr>
      <w:rFonts w:ascii="Arial" w:hAnsi="Arial"/>
      <w:b/>
      <w:bCs/>
      <w:sz w:val="18"/>
      <w:szCs w:val="18"/>
      <w:vertAlign w:val="superscript"/>
    </w:rPr>
  </w:style>
  <w:style w:type="paragraph" w:customStyle="1" w:styleId="SourceCode">
    <w:name w:val="Source Code"/>
    <w:basedOn w:val="Normal"/>
    <w:link w:val="VerbatimChar"/>
    <w:rsid w:val="008C670A"/>
    <w:pPr>
      <w:wordWrap w:val="0"/>
      <w:spacing w:line="240" w:lineRule="auto"/>
    </w:pPr>
    <w:rPr>
      <w:rFonts w:ascii="Consolas" w:hAnsi="Consolas"/>
      <w:b/>
      <w:bCs/>
      <w:sz w:val="22"/>
      <w:szCs w:val="18"/>
    </w:rPr>
  </w:style>
  <w:style w:type="character" w:customStyle="1" w:styleId="KeywordTok">
    <w:name w:val="KeywordTok"/>
    <w:basedOn w:val="VerbatimChar"/>
    <w:rsid w:val="008C670A"/>
    <w:rPr>
      <w:rFonts w:ascii="Consolas" w:hAnsi="Consolas"/>
      <w:b w:val="0"/>
      <w:bCs/>
      <w:color w:val="007020"/>
      <w:sz w:val="22"/>
      <w:szCs w:val="18"/>
    </w:rPr>
  </w:style>
  <w:style w:type="character" w:customStyle="1" w:styleId="DataTypeTok">
    <w:name w:val="DataTypeTok"/>
    <w:basedOn w:val="VerbatimChar"/>
    <w:rsid w:val="008C670A"/>
    <w:rPr>
      <w:rFonts w:ascii="Consolas" w:hAnsi="Consolas"/>
      <w:b/>
      <w:bCs/>
      <w:color w:val="902000"/>
      <w:sz w:val="22"/>
      <w:szCs w:val="18"/>
    </w:rPr>
  </w:style>
  <w:style w:type="character" w:customStyle="1" w:styleId="DecValTok">
    <w:name w:val="DecValTok"/>
    <w:basedOn w:val="VerbatimChar"/>
    <w:rsid w:val="008C670A"/>
    <w:rPr>
      <w:rFonts w:ascii="Consolas" w:hAnsi="Consolas"/>
      <w:b/>
      <w:bCs/>
      <w:color w:val="40A070"/>
      <w:sz w:val="22"/>
      <w:szCs w:val="18"/>
    </w:rPr>
  </w:style>
  <w:style w:type="character" w:customStyle="1" w:styleId="BaseNTok">
    <w:name w:val="BaseNTok"/>
    <w:basedOn w:val="VerbatimChar"/>
    <w:rsid w:val="008C670A"/>
    <w:rPr>
      <w:rFonts w:ascii="Consolas" w:hAnsi="Consolas"/>
      <w:b/>
      <w:bCs/>
      <w:color w:val="40A070"/>
      <w:sz w:val="22"/>
      <w:szCs w:val="18"/>
    </w:rPr>
  </w:style>
  <w:style w:type="character" w:customStyle="1" w:styleId="FloatTok">
    <w:name w:val="FloatTok"/>
    <w:basedOn w:val="VerbatimChar"/>
    <w:rsid w:val="008C670A"/>
    <w:rPr>
      <w:rFonts w:ascii="Consolas" w:hAnsi="Consolas"/>
      <w:b/>
      <w:bCs/>
      <w:color w:val="40A070"/>
      <w:sz w:val="22"/>
      <w:szCs w:val="18"/>
    </w:rPr>
  </w:style>
  <w:style w:type="character" w:customStyle="1" w:styleId="ConstantTok">
    <w:name w:val="ConstantTok"/>
    <w:basedOn w:val="VerbatimChar"/>
    <w:rsid w:val="008C670A"/>
    <w:rPr>
      <w:rFonts w:ascii="Consolas" w:hAnsi="Consolas"/>
      <w:b/>
      <w:bCs/>
      <w:color w:val="880000"/>
      <w:sz w:val="22"/>
      <w:szCs w:val="18"/>
    </w:rPr>
  </w:style>
  <w:style w:type="character" w:customStyle="1" w:styleId="CharTok">
    <w:name w:val="CharTok"/>
    <w:basedOn w:val="VerbatimChar"/>
    <w:rsid w:val="008C670A"/>
    <w:rPr>
      <w:rFonts w:ascii="Consolas" w:hAnsi="Consolas"/>
      <w:b/>
      <w:bCs/>
      <w:color w:val="4070A0"/>
      <w:sz w:val="22"/>
      <w:szCs w:val="18"/>
    </w:rPr>
  </w:style>
  <w:style w:type="character" w:customStyle="1" w:styleId="SpecialCharTok">
    <w:name w:val="SpecialCharTok"/>
    <w:basedOn w:val="VerbatimChar"/>
    <w:rsid w:val="008C670A"/>
    <w:rPr>
      <w:rFonts w:ascii="Consolas" w:hAnsi="Consolas"/>
      <w:b/>
      <w:bCs/>
      <w:color w:val="4070A0"/>
      <w:sz w:val="22"/>
      <w:szCs w:val="18"/>
    </w:rPr>
  </w:style>
  <w:style w:type="character" w:customStyle="1" w:styleId="StringTok">
    <w:name w:val="StringTok"/>
    <w:basedOn w:val="VerbatimChar"/>
    <w:rsid w:val="008C670A"/>
    <w:rPr>
      <w:rFonts w:ascii="Consolas" w:hAnsi="Consolas"/>
      <w:b/>
      <w:bCs/>
      <w:color w:val="4070A0"/>
      <w:sz w:val="22"/>
      <w:szCs w:val="18"/>
    </w:rPr>
  </w:style>
  <w:style w:type="character" w:customStyle="1" w:styleId="VerbatimStringTok">
    <w:name w:val="VerbatimStringTok"/>
    <w:basedOn w:val="VerbatimChar"/>
    <w:rsid w:val="008C670A"/>
    <w:rPr>
      <w:rFonts w:ascii="Consolas" w:hAnsi="Consolas"/>
      <w:b/>
      <w:bCs/>
      <w:color w:val="4070A0"/>
      <w:sz w:val="22"/>
      <w:szCs w:val="18"/>
    </w:rPr>
  </w:style>
  <w:style w:type="character" w:customStyle="1" w:styleId="SpecialStringTok">
    <w:name w:val="SpecialStringTok"/>
    <w:basedOn w:val="VerbatimChar"/>
    <w:rsid w:val="008C670A"/>
    <w:rPr>
      <w:rFonts w:ascii="Consolas" w:hAnsi="Consolas"/>
      <w:b/>
      <w:bCs/>
      <w:color w:val="BB6688"/>
      <w:sz w:val="22"/>
      <w:szCs w:val="18"/>
    </w:rPr>
  </w:style>
  <w:style w:type="character" w:customStyle="1" w:styleId="ImportTok">
    <w:name w:val="ImportTok"/>
    <w:basedOn w:val="VerbatimChar"/>
    <w:rsid w:val="008C670A"/>
    <w:rPr>
      <w:rFonts w:ascii="Consolas" w:hAnsi="Consolas"/>
      <w:b/>
      <w:bCs/>
      <w:sz w:val="22"/>
      <w:szCs w:val="18"/>
    </w:rPr>
  </w:style>
  <w:style w:type="character" w:customStyle="1" w:styleId="CommentTok">
    <w:name w:val="CommentTok"/>
    <w:basedOn w:val="VerbatimChar"/>
    <w:rsid w:val="008C670A"/>
    <w:rPr>
      <w:rFonts w:ascii="Consolas" w:hAnsi="Consolas"/>
      <w:b/>
      <w:bCs/>
      <w:i/>
      <w:color w:val="60A0B0"/>
      <w:sz w:val="22"/>
      <w:szCs w:val="18"/>
    </w:rPr>
  </w:style>
  <w:style w:type="character" w:customStyle="1" w:styleId="DocumentationTok">
    <w:name w:val="DocumentationTok"/>
    <w:basedOn w:val="VerbatimChar"/>
    <w:rsid w:val="008C670A"/>
    <w:rPr>
      <w:rFonts w:ascii="Consolas" w:hAnsi="Consolas"/>
      <w:b/>
      <w:bCs/>
      <w:i/>
      <w:color w:val="BA2121"/>
      <w:sz w:val="22"/>
      <w:szCs w:val="18"/>
    </w:rPr>
  </w:style>
  <w:style w:type="character" w:customStyle="1" w:styleId="AnnotationTok">
    <w:name w:val="AnnotationTok"/>
    <w:basedOn w:val="VerbatimChar"/>
    <w:rsid w:val="008C670A"/>
    <w:rPr>
      <w:rFonts w:ascii="Consolas" w:hAnsi="Consolas"/>
      <w:b w:val="0"/>
      <w:bCs/>
      <w:i/>
      <w:color w:val="60A0B0"/>
      <w:sz w:val="22"/>
      <w:szCs w:val="18"/>
    </w:rPr>
  </w:style>
  <w:style w:type="character" w:customStyle="1" w:styleId="CommentVarTok">
    <w:name w:val="CommentVarTok"/>
    <w:basedOn w:val="VerbatimChar"/>
    <w:rsid w:val="008C670A"/>
    <w:rPr>
      <w:rFonts w:ascii="Consolas" w:hAnsi="Consolas"/>
      <w:b w:val="0"/>
      <w:bCs/>
      <w:i/>
      <w:color w:val="60A0B0"/>
      <w:sz w:val="22"/>
      <w:szCs w:val="18"/>
    </w:rPr>
  </w:style>
  <w:style w:type="character" w:customStyle="1" w:styleId="OtherTok">
    <w:name w:val="OtherTok"/>
    <w:basedOn w:val="VerbatimChar"/>
    <w:rsid w:val="008C670A"/>
    <w:rPr>
      <w:rFonts w:ascii="Consolas" w:hAnsi="Consolas"/>
      <w:b/>
      <w:bCs/>
      <w:color w:val="007020"/>
      <w:sz w:val="22"/>
      <w:szCs w:val="18"/>
    </w:rPr>
  </w:style>
  <w:style w:type="character" w:customStyle="1" w:styleId="FunctionTok">
    <w:name w:val="FunctionTok"/>
    <w:basedOn w:val="VerbatimChar"/>
    <w:rsid w:val="008C670A"/>
    <w:rPr>
      <w:rFonts w:ascii="Consolas" w:hAnsi="Consolas"/>
      <w:b/>
      <w:bCs/>
      <w:color w:val="06287E"/>
      <w:sz w:val="22"/>
      <w:szCs w:val="18"/>
    </w:rPr>
  </w:style>
  <w:style w:type="character" w:customStyle="1" w:styleId="VariableTok">
    <w:name w:val="VariableTok"/>
    <w:basedOn w:val="VerbatimChar"/>
    <w:rsid w:val="008C670A"/>
    <w:rPr>
      <w:rFonts w:ascii="Consolas" w:hAnsi="Consolas"/>
      <w:b/>
      <w:bCs/>
      <w:color w:val="19177C"/>
      <w:sz w:val="22"/>
      <w:szCs w:val="18"/>
    </w:rPr>
  </w:style>
  <w:style w:type="character" w:customStyle="1" w:styleId="ControlFlowTok">
    <w:name w:val="ControlFlowTok"/>
    <w:basedOn w:val="VerbatimChar"/>
    <w:rsid w:val="008C670A"/>
    <w:rPr>
      <w:rFonts w:ascii="Consolas" w:hAnsi="Consolas"/>
      <w:b w:val="0"/>
      <w:bCs/>
      <w:color w:val="007020"/>
      <w:sz w:val="22"/>
      <w:szCs w:val="18"/>
    </w:rPr>
  </w:style>
  <w:style w:type="character" w:customStyle="1" w:styleId="OperatorTok">
    <w:name w:val="OperatorTok"/>
    <w:basedOn w:val="VerbatimChar"/>
    <w:rsid w:val="008C670A"/>
    <w:rPr>
      <w:rFonts w:ascii="Consolas" w:hAnsi="Consolas"/>
      <w:b/>
      <w:bCs/>
      <w:color w:val="666666"/>
      <w:sz w:val="22"/>
      <w:szCs w:val="18"/>
    </w:rPr>
  </w:style>
  <w:style w:type="character" w:customStyle="1" w:styleId="BuiltInTok">
    <w:name w:val="BuiltInTok"/>
    <w:basedOn w:val="VerbatimChar"/>
    <w:rsid w:val="008C670A"/>
    <w:rPr>
      <w:rFonts w:ascii="Consolas" w:hAnsi="Consolas"/>
      <w:b/>
      <w:bCs/>
      <w:sz w:val="22"/>
      <w:szCs w:val="18"/>
    </w:rPr>
  </w:style>
  <w:style w:type="character" w:customStyle="1" w:styleId="ExtensionTok">
    <w:name w:val="ExtensionTok"/>
    <w:basedOn w:val="VerbatimChar"/>
    <w:rsid w:val="008C670A"/>
    <w:rPr>
      <w:rFonts w:ascii="Consolas" w:hAnsi="Consolas"/>
      <w:b/>
      <w:bCs/>
      <w:sz w:val="22"/>
      <w:szCs w:val="18"/>
    </w:rPr>
  </w:style>
  <w:style w:type="character" w:customStyle="1" w:styleId="PreprocessorTok">
    <w:name w:val="PreprocessorTok"/>
    <w:basedOn w:val="VerbatimChar"/>
    <w:rsid w:val="008C670A"/>
    <w:rPr>
      <w:rFonts w:ascii="Consolas" w:hAnsi="Consolas"/>
      <w:b/>
      <w:bCs/>
      <w:color w:val="BC7A00"/>
      <w:sz w:val="22"/>
      <w:szCs w:val="18"/>
    </w:rPr>
  </w:style>
  <w:style w:type="character" w:customStyle="1" w:styleId="AttributeTok">
    <w:name w:val="AttributeTok"/>
    <w:basedOn w:val="VerbatimChar"/>
    <w:rsid w:val="008C670A"/>
    <w:rPr>
      <w:rFonts w:ascii="Consolas" w:hAnsi="Consolas"/>
      <w:b/>
      <w:bCs/>
      <w:color w:val="7D9029"/>
      <w:sz w:val="22"/>
      <w:szCs w:val="18"/>
    </w:rPr>
  </w:style>
  <w:style w:type="character" w:customStyle="1" w:styleId="RegionMarkerTok">
    <w:name w:val="RegionMarkerTok"/>
    <w:basedOn w:val="VerbatimChar"/>
    <w:rsid w:val="008C670A"/>
    <w:rPr>
      <w:rFonts w:ascii="Consolas" w:hAnsi="Consolas"/>
      <w:b/>
      <w:bCs/>
      <w:sz w:val="22"/>
      <w:szCs w:val="18"/>
    </w:rPr>
  </w:style>
  <w:style w:type="character" w:customStyle="1" w:styleId="InformationTok">
    <w:name w:val="InformationTok"/>
    <w:basedOn w:val="VerbatimChar"/>
    <w:rsid w:val="008C670A"/>
    <w:rPr>
      <w:rFonts w:ascii="Consolas" w:hAnsi="Consolas"/>
      <w:b w:val="0"/>
      <w:bCs/>
      <w:i/>
      <w:color w:val="60A0B0"/>
      <w:sz w:val="22"/>
      <w:szCs w:val="18"/>
    </w:rPr>
  </w:style>
  <w:style w:type="character" w:customStyle="1" w:styleId="WarningTok">
    <w:name w:val="WarningTok"/>
    <w:basedOn w:val="VerbatimChar"/>
    <w:rsid w:val="008C670A"/>
    <w:rPr>
      <w:rFonts w:ascii="Consolas" w:hAnsi="Consolas"/>
      <w:b w:val="0"/>
      <w:bCs/>
      <w:i/>
      <w:color w:val="60A0B0"/>
      <w:sz w:val="22"/>
      <w:szCs w:val="18"/>
    </w:rPr>
  </w:style>
  <w:style w:type="character" w:customStyle="1" w:styleId="AlertTok">
    <w:name w:val="AlertTok"/>
    <w:basedOn w:val="VerbatimChar"/>
    <w:rsid w:val="008C670A"/>
    <w:rPr>
      <w:rFonts w:ascii="Consolas" w:hAnsi="Consolas"/>
      <w:b w:val="0"/>
      <w:bCs/>
      <w:color w:val="FF0000"/>
      <w:sz w:val="22"/>
      <w:szCs w:val="18"/>
    </w:rPr>
  </w:style>
  <w:style w:type="character" w:customStyle="1" w:styleId="ErrorTok">
    <w:name w:val="ErrorTok"/>
    <w:basedOn w:val="VerbatimChar"/>
    <w:rsid w:val="008C670A"/>
    <w:rPr>
      <w:rFonts w:ascii="Consolas" w:hAnsi="Consolas"/>
      <w:b w:val="0"/>
      <w:bCs/>
      <w:color w:val="FF0000"/>
      <w:sz w:val="22"/>
      <w:szCs w:val="18"/>
    </w:rPr>
  </w:style>
  <w:style w:type="character" w:customStyle="1" w:styleId="NormalTok">
    <w:name w:val="NormalTok"/>
    <w:basedOn w:val="VerbatimChar"/>
    <w:rsid w:val="008C670A"/>
    <w:rPr>
      <w:rFonts w:ascii="Consolas" w:hAnsi="Consolas"/>
      <w:b/>
      <w:bCs/>
      <w:sz w:val="22"/>
      <w:szCs w:val="18"/>
    </w:rPr>
  </w:style>
  <w:style w:type="character" w:customStyle="1" w:styleId="td-span">
    <w:name w:val="td-span"/>
    <w:basedOn w:val="DefaultParagraphFont"/>
    <w:rsid w:val="008C670A"/>
  </w:style>
  <w:style w:type="character" w:customStyle="1" w:styleId="md-expand">
    <w:name w:val="md-expand"/>
    <w:basedOn w:val="DefaultParagraphFont"/>
    <w:rsid w:val="008C670A"/>
  </w:style>
  <w:style w:type="paragraph" w:customStyle="1" w:styleId="tablecaption0">
    <w:name w:val="table caption"/>
    <w:basedOn w:val="FirstParagraph"/>
    <w:link w:val="tablecaptionChar"/>
    <w:qFormat/>
    <w:rsid w:val="008C670A"/>
    <w:rPr>
      <w:sz w:val="18"/>
    </w:rPr>
  </w:style>
  <w:style w:type="character" w:customStyle="1" w:styleId="FirstParagraphChar">
    <w:name w:val="First Paragraph Char"/>
    <w:basedOn w:val="BodyTextChar"/>
    <w:link w:val="FirstParagraph"/>
    <w:rsid w:val="008C670A"/>
    <w:rPr>
      <w:rFonts w:ascii="Arial" w:hAnsi="Arial"/>
      <w:sz w:val="20"/>
    </w:rPr>
  </w:style>
  <w:style w:type="character" w:customStyle="1" w:styleId="tablecaptionChar">
    <w:name w:val="table caption Char"/>
    <w:basedOn w:val="FirstParagraphChar"/>
    <w:link w:val="tablecaption0"/>
    <w:rsid w:val="008C670A"/>
    <w:rPr>
      <w:rFonts w:ascii="Arial" w:hAnsi="Arial"/>
      <w:sz w:val="18"/>
    </w:rPr>
  </w:style>
  <w:style w:type="character" w:customStyle="1" w:styleId="tgc">
    <w:name w:val="_tgc"/>
    <w:basedOn w:val="DefaultParagraphFont"/>
    <w:rsid w:val="008C670A"/>
  </w:style>
  <w:style w:type="character" w:customStyle="1" w:styleId="gi">
    <w:name w:val="gi"/>
    <w:basedOn w:val="DefaultParagraphFont"/>
    <w:rsid w:val="008752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215498">
      <w:bodyDiv w:val="1"/>
      <w:marLeft w:val="0"/>
      <w:marRight w:val="0"/>
      <w:marTop w:val="0"/>
      <w:marBottom w:val="0"/>
      <w:divBdr>
        <w:top w:val="none" w:sz="0" w:space="0" w:color="auto"/>
        <w:left w:val="none" w:sz="0" w:space="0" w:color="auto"/>
        <w:bottom w:val="none" w:sz="0" w:space="0" w:color="auto"/>
        <w:right w:val="none" w:sz="0" w:space="0" w:color="auto"/>
      </w:divBdr>
    </w:div>
    <w:div w:id="473988970">
      <w:bodyDiv w:val="1"/>
      <w:marLeft w:val="0"/>
      <w:marRight w:val="0"/>
      <w:marTop w:val="0"/>
      <w:marBottom w:val="0"/>
      <w:divBdr>
        <w:top w:val="none" w:sz="0" w:space="0" w:color="auto"/>
        <w:left w:val="none" w:sz="0" w:space="0" w:color="auto"/>
        <w:bottom w:val="none" w:sz="0" w:space="0" w:color="auto"/>
        <w:right w:val="none" w:sz="0" w:space="0" w:color="auto"/>
      </w:divBdr>
    </w:div>
    <w:div w:id="915672302">
      <w:bodyDiv w:val="1"/>
      <w:marLeft w:val="0"/>
      <w:marRight w:val="0"/>
      <w:marTop w:val="0"/>
      <w:marBottom w:val="0"/>
      <w:divBdr>
        <w:top w:val="none" w:sz="0" w:space="0" w:color="auto"/>
        <w:left w:val="none" w:sz="0" w:space="0" w:color="auto"/>
        <w:bottom w:val="none" w:sz="0" w:space="0" w:color="auto"/>
        <w:right w:val="none" w:sz="0" w:space="0" w:color="auto"/>
      </w:divBdr>
      <w:divsChild>
        <w:div w:id="1706909229">
          <w:marLeft w:val="0"/>
          <w:marRight w:val="0"/>
          <w:marTop w:val="0"/>
          <w:marBottom w:val="0"/>
          <w:divBdr>
            <w:top w:val="none" w:sz="0" w:space="0" w:color="auto"/>
            <w:left w:val="none" w:sz="0" w:space="0" w:color="auto"/>
            <w:bottom w:val="none" w:sz="0" w:space="0" w:color="auto"/>
            <w:right w:val="none" w:sz="0" w:space="0" w:color="auto"/>
          </w:divBdr>
          <w:divsChild>
            <w:div w:id="1336029574">
              <w:marLeft w:val="0"/>
              <w:marRight w:val="0"/>
              <w:marTop w:val="0"/>
              <w:marBottom w:val="0"/>
              <w:divBdr>
                <w:top w:val="none" w:sz="0" w:space="0" w:color="auto"/>
                <w:left w:val="none" w:sz="0" w:space="0" w:color="auto"/>
                <w:bottom w:val="none" w:sz="0" w:space="0" w:color="auto"/>
                <w:right w:val="none" w:sz="0" w:space="0" w:color="auto"/>
              </w:divBdr>
            </w:div>
          </w:divsChild>
        </w:div>
        <w:div w:id="1764258065">
          <w:marLeft w:val="0"/>
          <w:marRight w:val="0"/>
          <w:marTop w:val="0"/>
          <w:marBottom w:val="0"/>
          <w:divBdr>
            <w:top w:val="none" w:sz="0" w:space="0" w:color="auto"/>
            <w:left w:val="none" w:sz="0" w:space="0" w:color="auto"/>
            <w:bottom w:val="none" w:sz="0" w:space="0" w:color="auto"/>
            <w:right w:val="none" w:sz="0" w:space="0" w:color="auto"/>
          </w:divBdr>
          <w:divsChild>
            <w:div w:id="77833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739731">
      <w:bodyDiv w:val="1"/>
      <w:marLeft w:val="0"/>
      <w:marRight w:val="0"/>
      <w:marTop w:val="0"/>
      <w:marBottom w:val="0"/>
      <w:divBdr>
        <w:top w:val="none" w:sz="0" w:space="0" w:color="auto"/>
        <w:left w:val="none" w:sz="0" w:space="0" w:color="auto"/>
        <w:bottom w:val="none" w:sz="0" w:space="0" w:color="auto"/>
        <w:right w:val="none" w:sz="0" w:space="0" w:color="auto"/>
      </w:divBdr>
      <w:divsChild>
        <w:div w:id="1370228266">
          <w:marLeft w:val="0"/>
          <w:marRight w:val="0"/>
          <w:marTop w:val="0"/>
          <w:marBottom w:val="0"/>
          <w:divBdr>
            <w:top w:val="none" w:sz="0" w:space="0" w:color="auto"/>
            <w:left w:val="none" w:sz="0" w:space="0" w:color="auto"/>
            <w:bottom w:val="none" w:sz="0" w:space="0" w:color="auto"/>
            <w:right w:val="none" w:sz="0" w:space="0" w:color="auto"/>
          </w:divBdr>
          <w:divsChild>
            <w:div w:id="2117599845">
              <w:marLeft w:val="0"/>
              <w:marRight w:val="0"/>
              <w:marTop w:val="0"/>
              <w:marBottom w:val="0"/>
              <w:divBdr>
                <w:top w:val="none" w:sz="0" w:space="0" w:color="auto"/>
                <w:left w:val="none" w:sz="0" w:space="0" w:color="auto"/>
                <w:bottom w:val="none" w:sz="0" w:space="0" w:color="auto"/>
                <w:right w:val="none" w:sz="0" w:space="0" w:color="auto"/>
              </w:divBdr>
              <w:divsChild>
                <w:div w:id="1483425699">
                  <w:marLeft w:val="0"/>
                  <w:marRight w:val="0"/>
                  <w:marTop w:val="0"/>
                  <w:marBottom w:val="0"/>
                  <w:divBdr>
                    <w:top w:val="none" w:sz="0" w:space="0" w:color="auto"/>
                    <w:left w:val="none" w:sz="0" w:space="0" w:color="auto"/>
                    <w:bottom w:val="none" w:sz="0" w:space="0" w:color="auto"/>
                    <w:right w:val="none" w:sz="0" w:space="0" w:color="auto"/>
                  </w:divBdr>
                  <w:divsChild>
                    <w:div w:id="1178157405">
                      <w:marLeft w:val="0"/>
                      <w:marRight w:val="0"/>
                      <w:marTop w:val="0"/>
                      <w:marBottom w:val="0"/>
                      <w:divBdr>
                        <w:top w:val="none" w:sz="0" w:space="0" w:color="auto"/>
                        <w:left w:val="none" w:sz="0" w:space="0" w:color="auto"/>
                        <w:bottom w:val="none" w:sz="0" w:space="0" w:color="auto"/>
                        <w:right w:val="none" w:sz="0" w:space="0" w:color="auto"/>
                      </w:divBdr>
                      <w:divsChild>
                        <w:div w:id="1716389826">
                          <w:marLeft w:val="0"/>
                          <w:marRight w:val="0"/>
                          <w:marTop w:val="0"/>
                          <w:marBottom w:val="0"/>
                          <w:divBdr>
                            <w:top w:val="none" w:sz="0" w:space="0" w:color="auto"/>
                            <w:left w:val="none" w:sz="0" w:space="0" w:color="auto"/>
                            <w:bottom w:val="none" w:sz="0" w:space="0" w:color="auto"/>
                            <w:right w:val="none" w:sz="0" w:space="0" w:color="auto"/>
                          </w:divBdr>
                          <w:divsChild>
                            <w:div w:id="1209563119">
                              <w:marLeft w:val="0"/>
                              <w:marRight w:val="0"/>
                              <w:marTop w:val="0"/>
                              <w:marBottom w:val="0"/>
                              <w:divBdr>
                                <w:top w:val="none" w:sz="0" w:space="0" w:color="auto"/>
                                <w:left w:val="none" w:sz="0" w:space="0" w:color="auto"/>
                                <w:bottom w:val="none" w:sz="0" w:space="0" w:color="auto"/>
                                <w:right w:val="none" w:sz="0" w:space="0" w:color="auto"/>
                              </w:divBdr>
                              <w:divsChild>
                                <w:div w:id="1127178">
                                  <w:marLeft w:val="0"/>
                                  <w:marRight w:val="0"/>
                                  <w:marTop w:val="0"/>
                                  <w:marBottom w:val="0"/>
                                  <w:divBdr>
                                    <w:top w:val="none" w:sz="0" w:space="0" w:color="auto"/>
                                    <w:left w:val="none" w:sz="0" w:space="0" w:color="auto"/>
                                    <w:bottom w:val="none" w:sz="0" w:space="0" w:color="auto"/>
                                    <w:right w:val="none" w:sz="0" w:space="0" w:color="auto"/>
                                  </w:divBdr>
                                  <w:divsChild>
                                    <w:div w:id="1924877295">
                                      <w:marLeft w:val="0"/>
                                      <w:marRight w:val="0"/>
                                      <w:marTop w:val="0"/>
                                      <w:marBottom w:val="0"/>
                                      <w:divBdr>
                                        <w:top w:val="none" w:sz="0" w:space="0" w:color="auto"/>
                                        <w:left w:val="none" w:sz="0" w:space="0" w:color="auto"/>
                                        <w:bottom w:val="none" w:sz="0" w:space="0" w:color="auto"/>
                                        <w:right w:val="none" w:sz="0" w:space="0" w:color="auto"/>
                                      </w:divBdr>
                                      <w:divsChild>
                                        <w:div w:id="729839468">
                                          <w:marLeft w:val="0"/>
                                          <w:marRight w:val="0"/>
                                          <w:marTop w:val="0"/>
                                          <w:marBottom w:val="0"/>
                                          <w:divBdr>
                                            <w:top w:val="none" w:sz="0" w:space="0" w:color="auto"/>
                                            <w:left w:val="none" w:sz="0" w:space="0" w:color="auto"/>
                                            <w:bottom w:val="none" w:sz="0" w:space="0" w:color="auto"/>
                                            <w:right w:val="none" w:sz="0" w:space="0" w:color="auto"/>
                                          </w:divBdr>
                                          <w:divsChild>
                                            <w:div w:id="429662419">
                                              <w:marLeft w:val="0"/>
                                              <w:marRight w:val="0"/>
                                              <w:marTop w:val="0"/>
                                              <w:marBottom w:val="0"/>
                                              <w:divBdr>
                                                <w:top w:val="none" w:sz="0" w:space="0" w:color="auto"/>
                                                <w:left w:val="none" w:sz="0" w:space="0" w:color="auto"/>
                                                <w:bottom w:val="none" w:sz="0" w:space="0" w:color="auto"/>
                                                <w:right w:val="none" w:sz="0" w:space="0" w:color="auto"/>
                                              </w:divBdr>
                                              <w:divsChild>
                                                <w:div w:id="695545579">
                                                  <w:marLeft w:val="0"/>
                                                  <w:marRight w:val="0"/>
                                                  <w:marTop w:val="0"/>
                                                  <w:marBottom w:val="0"/>
                                                  <w:divBdr>
                                                    <w:top w:val="none" w:sz="0" w:space="0" w:color="auto"/>
                                                    <w:left w:val="none" w:sz="0" w:space="0" w:color="auto"/>
                                                    <w:bottom w:val="none" w:sz="0" w:space="0" w:color="auto"/>
                                                    <w:right w:val="none" w:sz="0" w:space="0" w:color="auto"/>
                                                  </w:divBdr>
                                                  <w:divsChild>
                                                    <w:div w:id="1758402314">
                                                      <w:marLeft w:val="0"/>
                                                      <w:marRight w:val="0"/>
                                                      <w:marTop w:val="0"/>
                                                      <w:marBottom w:val="0"/>
                                                      <w:divBdr>
                                                        <w:top w:val="none" w:sz="0" w:space="0" w:color="auto"/>
                                                        <w:left w:val="none" w:sz="0" w:space="0" w:color="auto"/>
                                                        <w:bottom w:val="none" w:sz="0" w:space="0" w:color="auto"/>
                                                        <w:right w:val="none" w:sz="0" w:space="0" w:color="auto"/>
                                                      </w:divBdr>
                                                      <w:divsChild>
                                                        <w:div w:id="1332836576">
                                                          <w:marLeft w:val="0"/>
                                                          <w:marRight w:val="0"/>
                                                          <w:marTop w:val="0"/>
                                                          <w:marBottom w:val="0"/>
                                                          <w:divBdr>
                                                            <w:top w:val="none" w:sz="0" w:space="0" w:color="auto"/>
                                                            <w:left w:val="none" w:sz="0" w:space="0" w:color="auto"/>
                                                            <w:bottom w:val="none" w:sz="0" w:space="0" w:color="auto"/>
                                                            <w:right w:val="none" w:sz="0" w:space="0" w:color="auto"/>
                                                          </w:divBdr>
                                                          <w:divsChild>
                                                            <w:div w:id="1340814479">
                                                              <w:marLeft w:val="0"/>
                                                              <w:marRight w:val="0"/>
                                                              <w:marTop w:val="0"/>
                                                              <w:marBottom w:val="0"/>
                                                              <w:divBdr>
                                                                <w:top w:val="none" w:sz="0" w:space="0" w:color="auto"/>
                                                                <w:left w:val="none" w:sz="0" w:space="0" w:color="auto"/>
                                                                <w:bottom w:val="none" w:sz="0" w:space="0" w:color="auto"/>
                                                                <w:right w:val="none" w:sz="0" w:space="0" w:color="auto"/>
                                                              </w:divBdr>
                                                              <w:divsChild>
                                                                <w:div w:id="1161123074">
                                                                  <w:marLeft w:val="0"/>
                                                                  <w:marRight w:val="0"/>
                                                                  <w:marTop w:val="0"/>
                                                                  <w:marBottom w:val="0"/>
                                                                  <w:divBdr>
                                                                    <w:top w:val="none" w:sz="0" w:space="0" w:color="auto"/>
                                                                    <w:left w:val="none" w:sz="0" w:space="0" w:color="auto"/>
                                                                    <w:bottom w:val="none" w:sz="0" w:space="0" w:color="auto"/>
                                                                    <w:right w:val="none" w:sz="0" w:space="0" w:color="auto"/>
                                                                  </w:divBdr>
                                                                  <w:divsChild>
                                                                    <w:div w:id="891498168">
                                                                      <w:marLeft w:val="0"/>
                                                                      <w:marRight w:val="0"/>
                                                                      <w:marTop w:val="0"/>
                                                                      <w:marBottom w:val="0"/>
                                                                      <w:divBdr>
                                                                        <w:top w:val="none" w:sz="0" w:space="0" w:color="auto"/>
                                                                        <w:left w:val="none" w:sz="0" w:space="0" w:color="auto"/>
                                                                        <w:bottom w:val="none" w:sz="0" w:space="0" w:color="auto"/>
                                                                        <w:right w:val="none" w:sz="0" w:space="0" w:color="auto"/>
                                                                      </w:divBdr>
                                                                      <w:divsChild>
                                                                        <w:div w:id="1732340806">
                                                                          <w:marLeft w:val="0"/>
                                                                          <w:marRight w:val="0"/>
                                                                          <w:marTop w:val="0"/>
                                                                          <w:marBottom w:val="0"/>
                                                                          <w:divBdr>
                                                                            <w:top w:val="none" w:sz="0" w:space="0" w:color="auto"/>
                                                                            <w:left w:val="none" w:sz="0" w:space="0" w:color="auto"/>
                                                                            <w:bottom w:val="none" w:sz="0" w:space="0" w:color="auto"/>
                                                                            <w:right w:val="none" w:sz="0" w:space="0" w:color="auto"/>
                                                                          </w:divBdr>
                                                                          <w:divsChild>
                                                                            <w:div w:id="2126388563">
                                                                              <w:marLeft w:val="0"/>
                                                                              <w:marRight w:val="0"/>
                                                                              <w:marTop w:val="0"/>
                                                                              <w:marBottom w:val="0"/>
                                                                              <w:divBdr>
                                                                                <w:top w:val="none" w:sz="0" w:space="0" w:color="auto"/>
                                                                                <w:left w:val="none" w:sz="0" w:space="0" w:color="auto"/>
                                                                                <w:bottom w:val="none" w:sz="0" w:space="0" w:color="auto"/>
                                                                                <w:right w:val="none" w:sz="0" w:space="0" w:color="auto"/>
                                                                              </w:divBdr>
                                                                              <w:divsChild>
                                                                                <w:div w:id="144275348">
                                                                                  <w:marLeft w:val="0"/>
                                                                                  <w:marRight w:val="0"/>
                                                                                  <w:marTop w:val="0"/>
                                                                                  <w:marBottom w:val="0"/>
                                                                                  <w:divBdr>
                                                                                    <w:top w:val="none" w:sz="0" w:space="0" w:color="auto"/>
                                                                                    <w:left w:val="none" w:sz="0" w:space="0" w:color="auto"/>
                                                                                    <w:bottom w:val="none" w:sz="0" w:space="0" w:color="auto"/>
                                                                                    <w:right w:val="none" w:sz="0" w:space="0" w:color="auto"/>
                                                                                  </w:divBdr>
                                                                                  <w:divsChild>
                                                                                    <w:div w:id="794327142">
                                                                                      <w:marLeft w:val="0"/>
                                                                                      <w:marRight w:val="0"/>
                                                                                      <w:marTop w:val="0"/>
                                                                                      <w:marBottom w:val="0"/>
                                                                                      <w:divBdr>
                                                                                        <w:top w:val="none" w:sz="0" w:space="0" w:color="auto"/>
                                                                                        <w:left w:val="none" w:sz="0" w:space="0" w:color="auto"/>
                                                                                        <w:bottom w:val="none" w:sz="0" w:space="0" w:color="auto"/>
                                                                                        <w:right w:val="none" w:sz="0" w:space="0" w:color="auto"/>
                                                                                      </w:divBdr>
                                                                                      <w:divsChild>
                                                                                        <w:div w:id="549537897">
                                                                                          <w:marLeft w:val="0"/>
                                                                                          <w:marRight w:val="0"/>
                                                                                          <w:marTop w:val="0"/>
                                                                                          <w:marBottom w:val="0"/>
                                                                                          <w:divBdr>
                                                                                            <w:top w:val="none" w:sz="0" w:space="0" w:color="auto"/>
                                                                                            <w:left w:val="none" w:sz="0" w:space="0" w:color="auto"/>
                                                                                            <w:bottom w:val="none" w:sz="0" w:space="0" w:color="auto"/>
                                                                                            <w:right w:val="none" w:sz="0" w:space="0" w:color="auto"/>
                                                                                          </w:divBdr>
                                                                                          <w:divsChild>
                                                                                            <w:div w:id="112722122">
                                                                                              <w:marLeft w:val="0"/>
                                                                                              <w:marRight w:val="0"/>
                                                                                              <w:marTop w:val="0"/>
                                                                                              <w:marBottom w:val="0"/>
                                                                                              <w:divBdr>
                                                                                                <w:top w:val="none" w:sz="0" w:space="0" w:color="auto"/>
                                                                                                <w:left w:val="none" w:sz="0" w:space="0" w:color="auto"/>
                                                                                                <w:bottom w:val="none" w:sz="0" w:space="0" w:color="auto"/>
                                                                                                <w:right w:val="none" w:sz="0" w:space="0" w:color="auto"/>
                                                                                              </w:divBdr>
                                                                                              <w:divsChild>
                                                                                                <w:div w:id="1699814208">
                                                                                                  <w:marLeft w:val="0"/>
                                                                                                  <w:marRight w:val="0"/>
                                                                                                  <w:marTop w:val="0"/>
                                                                                                  <w:marBottom w:val="0"/>
                                                                                                  <w:divBdr>
                                                                                                    <w:top w:val="none" w:sz="0" w:space="0" w:color="auto"/>
                                                                                                    <w:left w:val="none" w:sz="0" w:space="0" w:color="auto"/>
                                                                                                    <w:bottom w:val="none" w:sz="0" w:space="0" w:color="auto"/>
                                                                                                    <w:right w:val="none" w:sz="0" w:space="0" w:color="auto"/>
                                                                                                  </w:divBdr>
                                                                                                  <w:divsChild>
                                                                                                    <w:div w:id="1659263249">
                                                                                                      <w:marLeft w:val="0"/>
                                                                                                      <w:marRight w:val="0"/>
                                                                                                      <w:marTop w:val="0"/>
                                                                                                      <w:marBottom w:val="0"/>
                                                                                                      <w:divBdr>
                                                                                                        <w:top w:val="none" w:sz="0" w:space="0" w:color="auto"/>
                                                                                                        <w:left w:val="none" w:sz="0" w:space="0" w:color="auto"/>
                                                                                                        <w:bottom w:val="none" w:sz="0" w:space="0" w:color="auto"/>
                                                                                                        <w:right w:val="none" w:sz="0" w:space="0" w:color="auto"/>
                                                                                                      </w:divBdr>
                                                                                                      <w:divsChild>
                                                                                                        <w:div w:id="132651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0261830">
      <w:bodyDiv w:val="1"/>
      <w:marLeft w:val="0"/>
      <w:marRight w:val="0"/>
      <w:marTop w:val="0"/>
      <w:marBottom w:val="0"/>
      <w:divBdr>
        <w:top w:val="none" w:sz="0" w:space="0" w:color="auto"/>
        <w:left w:val="none" w:sz="0" w:space="0" w:color="auto"/>
        <w:bottom w:val="none" w:sz="0" w:space="0" w:color="auto"/>
        <w:right w:val="none" w:sz="0" w:space="0" w:color="auto"/>
      </w:divBdr>
    </w:div>
    <w:div w:id="1830320798">
      <w:bodyDiv w:val="1"/>
      <w:marLeft w:val="0"/>
      <w:marRight w:val="0"/>
      <w:marTop w:val="0"/>
      <w:marBottom w:val="0"/>
      <w:divBdr>
        <w:top w:val="none" w:sz="0" w:space="0" w:color="auto"/>
        <w:left w:val="none" w:sz="0" w:space="0" w:color="auto"/>
        <w:bottom w:val="none" w:sz="0" w:space="0" w:color="auto"/>
        <w:right w:val="none" w:sz="0" w:space="0" w:color="auto"/>
      </w:divBdr>
    </w:div>
    <w:div w:id="1994605451">
      <w:bodyDiv w:val="1"/>
      <w:marLeft w:val="0"/>
      <w:marRight w:val="0"/>
      <w:marTop w:val="0"/>
      <w:marBottom w:val="0"/>
      <w:divBdr>
        <w:top w:val="none" w:sz="0" w:space="0" w:color="auto"/>
        <w:left w:val="none" w:sz="0" w:space="0" w:color="auto"/>
        <w:bottom w:val="none" w:sz="0" w:space="0" w:color="auto"/>
        <w:right w:val="none" w:sz="0" w:space="0" w:color="auto"/>
      </w:divBdr>
      <w:divsChild>
        <w:div w:id="161245378">
          <w:marLeft w:val="0"/>
          <w:marRight w:val="0"/>
          <w:marTop w:val="0"/>
          <w:marBottom w:val="0"/>
          <w:divBdr>
            <w:top w:val="none" w:sz="0" w:space="0" w:color="auto"/>
            <w:left w:val="none" w:sz="0" w:space="0" w:color="auto"/>
            <w:bottom w:val="none" w:sz="0" w:space="0" w:color="auto"/>
            <w:right w:val="none" w:sz="0" w:space="0" w:color="auto"/>
          </w:divBdr>
          <w:divsChild>
            <w:div w:id="536548200">
              <w:marLeft w:val="0"/>
              <w:marRight w:val="0"/>
              <w:marTop w:val="0"/>
              <w:marBottom w:val="0"/>
              <w:divBdr>
                <w:top w:val="none" w:sz="0" w:space="0" w:color="auto"/>
                <w:left w:val="none" w:sz="0" w:space="0" w:color="auto"/>
                <w:bottom w:val="none" w:sz="0" w:space="0" w:color="auto"/>
                <w:right w:val="none" w:sz="0" w:space="0" w:color="auto"/>
              </w:divBdr>
              <w:divsChild>
                <w:div w:id="313950171">
                  <w:marLeft w:val="0"/>
                  <w:marRight w:val="0"/>
                  <w:marTop w:val="0"/>
                  <w:marBottom w:val="0"/>
                  <w:divBdr>
                    <w:top w:val="none" w:sz="0" w:space="0" w:color="auto"/>
                    <w:left w:val="none" w:sz="0" w:space="0" w:color="auto"/>
                    <w:bottom w:val="none" w:sz="0" w:space="0" w:color="auto"/>
                    <w:right w:val="none" w:sz="0" w:space="0" w:color="auto"/>
                  </w:divBdr>
                  <w:divsChild>
                    <w:div w:id="732242657">
                      <w:marLeft w:val="0"/>
                      <w:marRight w:val="0"/>
                      <w:marTop w:val="0"/>
                      <w:marBottom w:val="0"/>
                      <w:divBdr>
                        <w:top w:val="none" w:sz="0" w:space="0" w:color="auto"/>
                        <w:left w:val="none" w:sz="0" w:space="0" w:color="auto"/>
                        <w:bottom w:val="none" w:sz="0" w:space="0" w:color="auto"/>
                        <w:right w:val="none" w:sz="0" w:space="0" w:color="auto"/>
                      </w:divBdr>
                      <w:divsChild>
                        <w:div w:id="592979978">
                          <w:marLeft w:val="0"/>
                          <w:marRight w:val="0"/>
                          <w:marTop w:val="0"/>
                          <w:marBottom w:val="0"/>
                          <w:divBdr>
                            <w:top w:val="none" w:sz="0" w:space="0" w:color="auto"/>
                            <w:left w:val="none" w:sz="0" w:space="0" w:color="auto"/>
                            <w:bottom w:val="none" w:sz="0" w:space="0" w:color="auto"/>
                            <w:right w:val="none" w:sz="0" w:space="0" w:color="auto"/>
                          </w:divBdr>
                          <w:divsChild>
                            <w:div w:id="2120759085">
                              <w:marLeft w:val="0"/>
                              <w:marRight w:val="0"/>
                              <w:marTop w:val="0"/>
                              <w:marBottom w:val="0"/>
                              <w:divBdr>
                                <w:top w:val="none" w:sz="0" w:space="0" w:color="auto"/>
                                <w:left w:val="none" w:sz="0" w:space="0" w:color="auto"/>
                                <w:bottom w:val="none" w:sz="0" w:space="0" w:color="auto"/>
                                <w:right w:val="none" w:sz="0" w:space="0" w:color="auto"/>
                              </w:divBdr>
                            </w:div>
                            <w:div w:id="2141994222">
                              <w:marLeft w:val="0"/>
                              <w:marRight w:val="0"/>
                              <w:marTop w:val="0"/>
                              <w:marBottom w:val="0"/>
                              <w:divBdr>
                                <w:top w:val="none" w:sz="0" w:space="0" w:color="auto"/>
                                <w:left w:val="none" w:sz="0" w:space="0" w:color="auto"/>
                                <w:bottom w:val="none" w:sz="0" w:space="0" w:color="auto"/>
                                <w:right w:val="none" w:sz="0" w:space="0" w:color="auto"/>
                              </w:divBdr>
                              <w:divsChild>
                                <w:div w:id="135916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image" Target="media/image15.png"/><Relationship Id="rId26" Type="http://schemas.openxmlformats.org/officeDocument/2006/relationships/image" Target="media/image16.png"/><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hyperlink" Target="https://www.google.com/search?client=safari&amp;rls=en&amp;q=santa+clara+ca&amp;stick=H4sIAAAAAAAAAGOovnz8BQMDgzMHnxCnfq6-gaFpjoGFEgeIWWSWXKGllZ1spZ9flJ6Yl1mVWJKZn4fCscpITUwpLE0sKkktKmabImA6Wcoz91AcwymxyBi2A3bCZgBkUStoYAAAAA&amp;sa=X&amp;ei=Ph00VO37IdaxogSHmYLoCA&amp;ved=0CMgBEJsTKAIwEA" TargetMode="External"/><Relationship Id="rId12" Type="http://schemas.openxmlformats.org/officeDocument/2006/relationships/hyperlink" Target="https://www.google.com/search?client=safari&amp;rls=en&amp;q=agilent+technologies+ca&amp;stick=H4sIAAAAAAAAAGOovnz8BQMDgzsHnxCnfq6-gaFpjoGFEo9-ur6hUVp6WWWZiZGWVnaylX5-UXpiXmZVYklmfh4KxyojNTGlsDSxqCS1qLhDxsUkV4rHZ9s1l8ecUj5JT1IktQDlOq5wZAAAAA&amp;sa=X&amp;ei=Ph00VO37IdaxogSHmYLoCA&amp;ved=0CMkBEJsTKAMwEA" TargetMode="External"/><Relationship Id="rId13" Type="http://schemas.openxmlformats.org/officeDocument/2006/relationships/footer" Target="footer1.xml"/><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file>

<file path=customXml/itemProps1.xml><?xml version="1.0" encoding="utf-8"?>
<ds:datastoreItem xmlns:ds="http://schemas.openxmlformats.org/officeDocument/2006/customXml" ds:itemID="{005A6EC1-F574-B044-865B-23D3FB2DF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89</Pages>
  <Words>88930</Words>
  <Characters>506906</Characters>
  <Application>Microsoft Macintosh Word</Application>
  <DocSecurity>0</DocSecurity>
  <Lines>4224</Lines>
  <Paragraphs>1189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594647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YANFEN FU</dc:creator>
  <cp:lastModifiedBy>Yanfen Fu</cp:lastModifiedBy>
  <cp:revision>2</cp:revision>
  <cp:lastPrinted>2015-08-18T21:06:00Z</cp:lastPrinted>
  <dcterms:created xsi:type="dcterms:W3CDTF">2016-12-13T23:19:00Z</dcterms:created>
  <dcterms:modified xsi:type="dcterms:W3CDTF">2016-12-13T23:19:00Z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fuyanfen@gmail.com@www.mendeley.com</vt:lpwstr>
  </property>
  <property fmtid="{D5CDD505-2E9C-101B-9397-08002B2CF9AE}" pid="4" name="Mendeley Citation Style_1">
    <vt:lpwstr>http://www.zotero.org/styles/bmc-microbiology</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http://www.zotero.org/styles/bmc-microbiology</vt:lpwstr>
  </property>
  <property fmtid="{D5CDD505-2E9C-101B-9397-08002B2CF9AE}" pid="14" name="Mendeley Recent Style Name 4_1">
    <vt:lpwstr>BMC Microbiology</vt:lpwstr>
  </property>
  <property fmtid="{D5CDD505-2E9C-101B-9397-08002B2CF9AE}" pid="15" name="Mendeley Recent Style Id 5_1">
    <vt:lpwstr>http://www.zotero.org/styles/chicago-author-date</vt:lpwstr>
  </property>
  <property fmtid="{D5CDD505-2E9C-101B-9397-08002B2CF9AE}" pid="16" name="Mendeley Recent Style Name 5_1">
    <vt:lpwstr>Chicago Manual of Style 16th edition (author-date)</vt:lpwstr>
  </property>
  <property fmtid="{D5CDD505-2E9C-101B-9397-08002B2CF9AE}" pid="17" name="Mendeley Recent Style Id 6_1">
    <vt:lpwstr>http://www.zotero.org/styles/metabolic-engineering</vt:lpwstr>
  </property>
  <property fmtid="{D5CDD505-2E9C-101B-9397-08002B2CF9AE}" pid="18" name="Mendeley Recent Style Name 6_1">
    <vt:lpwstr>Metabolic Engineering</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