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C68789" w14:textId="77777777" w:rsidR="007F2B7B" w:rsidRPr="007F2B7B" w:rsidRDefault="007F2B7B" w:rsidP="007F2B7B">
      <w:pPr>
        <w:spacing w:line="276" w:lineRule="auto"/>
        <w:jc w:val="center"/>
        <w:rPr>
          <w:rFonts w:ascii="Times New Roman" w:hAnsi="Times New Roman" w:cs="Times New Roman"/>
          <w:sz w:val="24"/>
        </w:rPr>
      </w:pPr>
      <w:bookmarkStart w:id="0" w:name="_GoBack"/>
      <w:bookmarkEnd w:id="0"/>
      <w:r w:rsidRPr="007F2B7B">
        <w:rPr>
          <w:rFonts w:ascii="Times New Roman" w:hAnsi="Times New Roman" w:cs="Times New Roman"/>
          <w:sz w:val="24"/>
        </w:rPr>
        <w:t>Heavy metal contamination in Puget Sound and Lake Washington sediments and benthic invertebrates; a focus on the influence of road material on extent of metal concentration</w:t>
      </w:r>
    </w:p>
    <w:p w14:paraId="664A52C2" w14:textId="77777777" w:rsidR="007F2B7B" w:rsidRDefault="007F2B7B" w:rsidP="007F2B7B">
      <w:pPr>
        <w:spacing w:line="240" w:lineRule="auto"/>
        <w:jc w:val="center"/>
        <w:rPr>
          <w:rFonts w:ascii="Times New Roman" w:hAnsi="Times New Roman" w:cs="Times New Roman"/>
          <w:sz w:val="24"/>
        </w:rPr>
      </w:pPr>
    </w:p>
    <w:p w14:paraId="4C55BAF6" w14:textId="77777777" w:rsidR="007F2B7B" w:rsidRDefault="007F2B7B" w:rsidP="007F2B7B">
      <w:pPr>
        <w:spacing w:line="240" w:lineRule="auto"/>
        <w:jc w:val="center"/>
        <w:rPr>
          <w:rFonts w:ascii="Times New Roman" w:hAnsi="Times New Roman" w:cs="Times New Roman"/>
          <w:sz w:val="24"/>
        </w:rPr>
      </w:pPr>
    </w:p>
    <w:p w14:paraId="0FF24B15" w14:textId="77777777" w:rsidR="007F2B7B" w:rsidRDefault="007F2B7B" w:rsidP="007F2B7B">
      <w:pPr>
        <w:spacing w:line="240" w:lineRule="auto"/>
        <w:jc w:val="center"/>
        <w:rPr>
          <w:rFonts w:ascii="Times New Roman" w:hAnsi="Times New Roman" w:cs="Times New Roman"/>
          <w:sz w:val="24"/>
        </w:rPr>
      </w:pPr>
      <w:r w:rsidRPr="007F2B7B">
        <w:rPr>
          <w:rFonts w:ascii="Times New Roman" w:hAnsi="Times New Roman" w:cs="Times New Roman"/>
          <w:sz w:val="24"/>
        </w:rPr>
        <w:t>Andrew Mandovi</w:t>
      </w:r>
    </w:p>
    <w:p w14:paraId="5D3724B1" w14:textId="77777777" w:rsidR="007F2B7B" w:rsidRDefault="007F2B7B" w:rsidP="007F2B7B">
      <w:pPr>
        <w:spacing w:line="240" w:lineRule="auto"/>
        <w:jc w:val="center"/>
        <w:rPr>
          <w:rFonts w:ascii="Times New Roman" w:hAnsi="Times New Roman" w:cs="Times New Roman"/>
          <w:sz w:val="24"/>
        </w:rPr>
      </w:pPr>
      <w:r>
        <w:rPr>
          <w:rFonts w:ascii="Times New Roman" w:hAnsi="Times New Roman" w:cs="Times New Roman"/>
          <w:sz w:val="24"/>
        </w:rPr>
        <w:t>University of Washington</w:t>
      </w:r>
    </w:p>
    <w:p w14:paraId="27877FC1" w14:textId="77777777" w:rsidR="007F2B7B" w:rsidRDefault="007F2B7B" w:rsidP="007F2B7B">
      <w:pPr>
        <w:spacing w:line="240" w:lineRule="auto"/>
        <w:jc w:val="center"/>
        <w:rPr>
          <w:rFonts w:ascii="Times New Roman" w:hAnsi="Times New Roman" w:cs="Times New Roman"/>
          <w:sz w:val="24"/>
        </w:rPr>
      </w:pPr>
      <w:r>
        <w:rPr>
          <w:rFonts w:ascii="Times New Roman" w:hAnsi="Times New Roman" w:cs="Times New Roman"/>
          <w:sz w:val="24"/>
        </w:rPr>
        <w:t xml:space="preserve">School of Oceanography, </w:t>
      </w:r>
    </w:p>
    <w:p w14:paraId="143CE6B5" w14:textId="77777777" w:rsidR="007F2B7B" w:rsidRDefault="007F2B7B" w:rsidP="007F2B7B">
      <w:pPr>
        <w:spacing w:line="240" w:lineRule="auto"/>
        <w:jc w:val="center"/>
        <w:rPr>
          <w:rFonts w:ascii="Times New Roman" w:hAnsi="Times New Roman" w:cs="Times New Roman"/>
          <w:sz w:val="24"/>
        </w:rPr>
      </w:pPr>
      <w:r>
        <w:rPr>
          <w:rFonts w:ascii="Times New Roman" w:hAnsi="Times New Roman" w:cs="Times New Roman"/>
          <w:sz w:val="24"/>
        </w:rPr>
        <w:t>1501 NE Boat St, Seattle, WA 98195</w:t>
      </w:r>
    </w:p>
    <w:p w14:paraId="7F6B6E30" w14:textId="77777777" w:rsidR="007F2B7B" w:rsidRDefault="007F2B7B" w:rsidP="007F2B7B">
      <w:pPr>
        <w:spacing w:line="240" w:lineRule="auto"/>
        <w:jc w:val="center"/>
        <w:rPr>
          <w:rFonts w:ascii="Times New Roman" w:hAnsi="Times New Roman" w:cs="Times New Roman"/>
          <w:sz w:val="24"/>
        </w:rPr>
      </w:pPr>
      <w:r>
        <w:rPr>
          <w:rFonts w:ascii="Times New Roman" w:hAnsi="Times New Roman" w:cs="Times New Roman"/>
          <w:sz w:val="24"/>
        </w:rPr>
        <w:t>Phone: (440) 478-7929</w:t>
      </w:r>
    </w:p>
    <w:p w14:paraId="576F2FBB" w14:textId="77777777" w:rsidR="007F2B7B" w:rsidRDefault="00D16E68" w:rsidP="007F2B7B">
      <w:pPr>
        <w:spacing w:line="240" w:lineRule="auto"/>
        <w:jc w:val="center"/>
        <w:rPr>
          <w:rFonts w:ascii="Times New Roman" w:hAnsi="Times New Roman" w:cs="Times New Roman"/>
          <w:sz w:val="24"/>
        </w:rPr>
      </w:pPr>
      <w:hyperlink r:id="rId7" w:history="1">
        <w:r w:rsidR="007F2B7B" w:rsidRPr="00520EAD">
          <w:rPr>
            <w:rStyle w:val="Hyperlink"/>
            <w:rFonts w:ascii="Times New Roman" w:hAnsi="Times New Roman" w:cs="Times New Roman"/>
            <w:sz w:val="24"/>
          </w:rPr>
          <w:t>mandovi@uw.edu</w:t>
        </w:r>
      </w:hyperlink>
    </w:p>
    <w:p w14:paraId="5F87025B" w14:textId="77777777" w:rsidR="007F2B7B" w:rsidRDefault="007F2B7B" w:rsidP="007F2B7B">
      <w:pPr>
        <w:spacing w:line="240" w:lineRule="auto"/>
        <w:jc w:val="center"/>
        <w:rPr>
          <w:rFonts w:ascii="Times New Roman" w:hAnsi="Times New Roman" w:cs="Times New Roman"/>
          <w:sz w:val="24"/>
        </w:rPr>
      </w:pPr>
      <w:r>
        <w:rPr>
          <w:rFonts w:ascii="Times New Roman" w:hAnsi="Times New Roman" w:cs="Times New Roman"/>
          <w:sz w:val="24"/>
        </w:rPr>
        <w:t>18 May 2019</w:t>
      </w:r>
    </w:p>
    <w:p w14:paraId="59724CB3" w14:textId="77777777" w:rsidR="007F2B7B" w:rsidRPr="007F2B7B" w:rsidRDefault="007F2B7B" w:rsidP="007F2B7B">
      <w:pPr>
        <w:spacing w:line="240" w:lineRule="auto"/>
        <w:jc w:val="center"/>
        <w:rPr>
          <w:rFonts w:ascii="Times New Roman" w:hAnsi="Times New Roman" w:cs="Times New Roman"/>
          <w:sz w:val="24"/>
        </w:rPr>
      </w:pPr>
    </w:p>
    <w:p w14:paraId="10F56199" w14:textId="77777777" w:rsidR="007F2B7B" w:rsidRDefault="007F2B7B">
      <w:pPr>
        <w:rPr>
          <w:rFonts w:ascii="Times New Roman" w:hAnsi="Times New Roman" w:cs="Times New Roman"/>
          <w:b/>
          <w:sz w:val="24"/>
        </w:rPr>
      </w:pPr>
      <w:r>
        <w:rPr>
          <w:rFonts w:ascii="Times New Roman" w:hAnsi="Times New Roman" w:cs="Times New Roman"/>
          <w:b/>
          <w:sz w:val="24"/>
        </w:rPr>
        <w:br w:type="page"/>
      </w:r>
    </w:p>
    <w:p w14:paraId="30ADD3A5" w14:textId="77777777" w:rsidR="009B78B6" w:rsidRDefault="009B78B6" w:rsidP="002934F0">
      <w:pPr>
        <w:spacing w:line="480" w:lineRule="auto"/>
        <w:rPr>
          <w:rFonts w:ascii="Times New Roman" w:hAnsi="Times New Roman" w:cs="Times New Roman"/>
          <w:b/>
        </w:rPr>
      </w:pPr>
      <w:r>
        <w:rPr>
          <w:rFonts w:ascii="Times New Roman" w:hAnsi="Times New Roman" w:cs="Times New Roman"/>
          <w:b/>
        </w:rPr>
        <w:lastRenderedPageBreak/>
        <w:t>Abstract</w:t>
      </w:r>
    </w:p>
    <w:p w14:paraId="179D291A" w14:textId="77777777" w:rsidR="009B78B6" w:rsidRPr="009B78B6" w:rsidRDefault="009B78B6" w:rsidP="002934F0">
      <w:pPr>
        <w:spacing w:line="480" w:lineRule="auto"/>
        <w:rPr>
          <w:rFonts w:ascii="Times New Roman" w:hAnsi="Times New Roman" w:cs="Times New Roman"/>
        </w:rPr>
      </w:pPr>
      <w:r>
        <w:rPr>
          <w:rFonts w:ascii="Times New Roman" w:hAnsi="Times New Roman" w:cs="Times New Roman"/>
        </w:rPr>
        <w:tab/>
        <w:t>Heavy metallic elements are found naturally in nature, but have been released into soils, rivers, and bodies of water due to anthropogenic activity, increasing concentrations to levels potentially harmful to human and environmental health.  Metals have been found to enter marine sediments though point sources such as mining, aquaculture, and shipping activity.  Transportation runoff, including worn road material and brake dust, is a potential source of metal contamination that has not been studied to a great extent, particularly in the Puget Sound region.  In this study, surface sediments from Lake Washington, the Lake Washington Ship Canal, and South Puget Sound were analyzed for heavy</w:t>
      </w:r>
      <w:r w:rsidR="00A122C2">
        <w:rPr>
          <w:rFonts w:ascii="Times New Roman" w:hAnsi="Times New Roman" w:cs="Times New Roman"/>
        </w:rPr>
        <w:t>, relating samples to</w:t>
      </w:r>
      <w:r w:rsidR="006558F1">
        <w:rPr>
          <w:rFonts w:ascii="Times New Roman" w:hAnsi="Times New Roman" w:cs="Times New Roman"/>
        </w:rPr>
        <w:t xml:space="preserve"> </w:t>
      </w:r>
      <w:r w:rsidR="00A122C2">
        <w:rPr>
          <w:rFonts w:ascii="Times New Roman" w:hAnsi="Times New Roman" w:cs="Times New Roman"/>
        </w:rPr>
        <w:t>proximity to roads</w:t>
      </w:r>
      <w:r>
        <w:rPr>
          <w:rFonts w:ascii="Times New Roman" w:hAnsi="Times New Roman" w:cs="Times New Roman"/>
        </w:rPr>
        <w:t xml:space="preserve">, with control sites chosen at locations </w:t>
      </w:r>
      <w:r w:rsidR="00A122C2">
        <w:rPr>
          <w:rFonts w:ascii="Times New Roman" w:hAnsi="Times New Roman" w:cs="Times New Roman"/>
        </w:rPr>
        <w:t xml:space="preserve">further </w:t>
      </w:r>
      <w:r>
        <w:rPr>
          <w:rFonts w:ascii="Times New Roman" w:hAnsi="Times New Roman" w:cs="Times New Roman"/>
        </w:rPr>
        <w:t>from road activity</w:t>
      </w:r>
      <w:r w:rsidR="00A122C2">
        <w:rPr>
          <w:rFonts w:ascii="Times New Roman" w:hAnsi="Times New Roman" w:cs="Times New Roman"/>
        </w:rPr>
        <w:t xml:space="preserve"> and runoff</w:t>
      </w:r>
      <w:r>
        <w:rPr>
          <w:rFonts w:ascii="Times New Roman" w:hAnsi="Times New Roman" w:cs="Times New Roman"/>
        </w:rPr>
        <w:t>.  Elevated metal contamination was found in all sampling sediments, particularly</w:t>
      </w:r>
      <w:r w:rsidR="00714300">
        <w:rPr>
          <w:rFonts w:ascii="Times New Roman" w:hAnsi="Times New Roman" w:cs="Times New Roman"/>
        </w:rPr>
        <w:t xml:space="preserve"> in copper,</w:t>
      </w:r>
      <w:r>
        <w:rPr>
          <w:rFonts w:ascii="Times New Roman" w:hAnsi="Times New Roman" w:cs="Times New Roman"/>
        </w:rPr>
        <w:t xml:space="preserve"> lead</w:t>
      </w:r>
      <w:r w:rsidR="00714300">
        <w:rPr>
          <w:rFonts w:ascii="Times New Roman" w:hAnsi="Times New Roman" w:cs="Times New Roman"/>
        </w:rPr>
        <w:t>,</w:t>
      </w:r>
      <w:r>
        <w:rPr>
          <w:rFonts w:ascii="Times New Roman" w:hAnsi="Times New Roman" w:cs="Times New Roman"/>
        </w:rPr>
        <w:t xml:space="preserve"> and selenium, with Lake Washington and Shipping Canal sites exceeding those in Puget Sound.  Benthic invertebrate matter was also analyzed; elevated nickel, lead, arsenic, and chromium were found, but with less consistency between sites.  This study further emphasizes </w:t>
      </w:r>
      <w:r w:rsidR="0085491D">
        <w:rPr>
          <w:rFonts w:ascii="Times New Roman" w:hAnsi="Times New Roman" w:cs="Times New Roman"/>
        </w:rPr>
        <w:t>that</w:t>
      </w:r>
      <w:r>
        <w:rPr>
          <w:rFonts w:ascii="Times New Roman" w:hAnsi="Times New Roman" w:cs="Times New Roman"/>
        </w:rPr>
        <w:t xml:space="preserve"> heavy metals have permeated the sediments and benthic invertebrates of the region, though</w:t>
      </w:r>
      <w:r w:rsidR="0085491D">
        <w:rPr>
          <w:rFonts w:ascii="Times New Roman" w:hAnsi="Times New Roman" w:cs="Times New Roman"/>
        </w:rPr>
        <w:t xml:space="preserve"> the degree to which road material influences this contamination remains inconclusive.</w:t>
      </w:r>
    </w:p>
    <w:p w14:paraId="033E7ADA" w14:textId="77777777" w:rsidR="009B78B6" w:rsidRDefault="009B78B6">
      <w:pPr>
        <w:rPr>
          <w:rFonts w:ascii="Times New Roman" w:hAnsi="Times New Roman" w:cs="Times New Roman"/>
          <w:b/>
        </w:rPr>
      </w:pPr>
      <w:r>
        <w:rPr>
          <w:rFonts w:ascii="Times New Roman" w:hAnsi="Times New Roman" w:cs="Times New Roman"/>
          <w:b/>
        </w:rPr>
        <w:br w:type="page"/>
      </w:r>
    </w:p>
    <w:p w14:paraId="0EFBBDB6" w14:textId="77777777" w:rsidR="002934F0" w:rsidRPr="002934F0" w:rsidRDefault="002934F0" w:rsidP="002934F0">
      <w:pPr>
        <w:spacing w:line="480" w:lineRule="auto"/>
        <w:rPr>
          <w:rFonts w:ascii="Times New Roman" w:hAnsi="Times New Roman" w:cs="Times New Roman"/>
          <w:b/>
        </w:rPr>
      </w:pPr>
      <w:r w:rsidRPr="002934F0">
        <w:rPr>
          <w:rFonts w:ascii="Times New Roman" w:hAnsi="Times New Roman" w:cs="Times New Roman"/>
          <w:b/>
        </w:rPr>
        <w:lastRenderedPageBreak/>
        <w:t>Introduction</w:t>
      </w:r>
    </w:p>
    <w:p w14:paraId="6AA9B1A7" w14:textId="77777777" w:rsidR="002934F0" w:rsidRPr="002934F0" w:rsidRDefault="002934F0" w:rsidP="002934F0">
      <w:pPr>
        <w:spacing w:after="0" w:line="480" w:lineRule="auto"/>
        <w:ind w:firstLine="720"/>
        <w:rPr>
          <w:rFonts w:ascii="Times New Roman" w:eastAsia="Times New Roman" w:hAnsi="Times New Roman" w:cs="Times New Roman"/>
          <w:color w:val="FF0000"/>
        </w:rPr>
      </w:pPr>
      <w:r w:rsidRPr="002934F0">
        <w:rPr>
          <w:rFonts w:ascii="Times New Roman" w:eastAsia="Times New Roman" w:hAnsi="Times New Roman" w:cs="Times New Roman"/>
          <w:color w:val="000000"/>
        </w:rPr>
        <w:t xml:space="preserve">The Puget Sound is an estuarine system in western Washington State connected to the Pacific Ocean by way of the Strait of Juan de Fuca.  By virtue of being an estuary in a temperate climate, the ecology of Puget Sound is heavily influenced by proximity to human influence, </w:t>
      </w:r>
      <w:r w:rsidR="002D3F28">
        <w:rPr>
          <w:rFonts w:ascii="Times New Roman" w:eastAsia="Times New Roman" w:hAnsi="Times New Roman" w:cs="Times New Roman"/>
          <w:color w:val="000000"/>
        </w:rPr>
        <w:t>primarily</w:t>
      </w:r>
      <w:r w:rsidRPr="002934F0">
        <w:rPr>
          <w:rFonts w:ascii="Times New Roman" w:eastAsia="Times New Roman" w:hAnsi="Times New Roman" w:cs="Times New Roman"/>
          <w:color w:val="000000"/>
        </w:rPr>
        <w:t xml:space="preserve"> its densely-populated eastern shore consisting of the metropolitan centers of Seattle, Tacoma, Everett, and Olympia.  A fjord system of flooded glacial valleys, </w:t>
      </w:r>
      <w:r w:rsidRPr="002934F0">
        <w:rPr>
          <w:rFonts w:ascii="Times New Roman" w:hAnsi="Times New Roman" w:cs="Times New Roman"/>
        </w:rPr>
        <w:t xml:space="preserve">Puget Sound has a lower salinity than the ocean </w:t>
      </w:r>
      <w:r w:rsidRPr="002934F0">
        <w:rPr>
          <w:rFonts w:ascii="Times New Roman" w:eastAsia="Times New Roman" w:hAnsi="Times New Roman" w:cs="Times New Roman"/>
          <w:color w:val="000000"/>
        </w:rPr>
        <w:t>due to the input of freshwater through surrounding rivers and is vulnerable</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to anthropogenic runoff.  Lake Washington, a freshwater lake adjacent to Seattle and tributary of Puget Sound, is similarly surrounded by urban development and</w:t>
      </w:r>
      <w:r w:rsidR="00471B40">
        <w:rPr>
          <w:rFonts w:ascii="Times New Roman" w:eastAsia="Times New Roman" w:hAnsi="Times New Roman" w:cs="Times New Roman"/>
          <w:color w:val="000000"/>
        </w:rPr>
        <w:t xml:space="preserve"> </w:t>
      </w:r>
      <w:r w:rsidRPr="002934F0">
        <w:rPr>
          <w:rFonts w:ascii="Times New Roman" w:eastAsia="Times New Roman" w:hAnsi="Times New Roman" w:cs="Times New Roman"/>
          <w:color w:val="000000"/>
        </w:rPr>
        <w:t>faces</w:t>
      </w:r>
      <w:r w:rsidR="00471B40">
        <w:rPr>
          <w:rFonts w:ascii="Times New Roman" w:eastAsia="Times New Roman" w:hAnsi="Times New Roman" w:cs="Times New Roman"/>
          <w:color w:val="000000"/>
        </w:rPr>
        <w:t xml:space="preserve"> similar</w:t>
      </w:r>
      <w:r w:rsidR="00817538">
        <w:rPr>
          <w:rFonts w:ascii="Times New Roman" w:eastAsia="Times New Roman" w:hAnsi="Times New Roman" w:cs="Times New Roman"/>
          <w:color w:val="000000"/>
        </w:rPr>
        <w:t xml:space="preserve"> pollution</w:t>
      </w:r>
      <w:r w:rsidRPr="002934F0">
        <w:rPr>
          <w:rFonts w:ascii="Times New Roman" w:eastAsia="Times New Roman" w:hAnsi="Times New Roman" w:cs="Times New Roman"/>
          <w:color w:val="000000"/>
        </w:rPr>
        <w:t xml:space="preserve"> threats.  </w:t>
      </w:r>
    </w:p>
    <w:p w14:paraId="0B114FE7" w14:textId="77777777" w:rsidR="002934F0" w:rsidRPr="002934F0" w:rsidRDefault="002934F0" w:rsidP="002934F0">
      <w:pPr>
        <w:spacing w:after="0" w:line="480" w:lineRule="auto"/>
        <w:ind w:firstLine="720"/>
        <w:rPr>
          <w:rFonts w:ascii="Times New Roman" w:eastAsia="Times New Roman" w:hAnsi="Times New Roman" w:cs="Times New Roman"/>
          <w:color w:val="000000"/>
        </w:rPr>
      </w:pPr>
      <w:r w:rsidRPr="002934F0">
        <w:rPr>
          <w:rFonts w:ascii="Times New Roman" w:eastAsia="Times New Roman" w:hAnsi="Times New Roman" w:cs="Times New Roman"/>
          <w:color w:val="000000"/>
        </w:rPr>
        <w:t>Anthropogenic impact is variable, sourcing from nutrient runoff, invasive species transfer, release of plastics,</w:t>
      </w:r>
      <w:r w:rsidR="00817538">
        <w:rPr>
          <w:rFonts w:ascii="Times New Roman" w:eastAsia="Times New Roman" w:hAnsi="Times New Roman" w:cs="Times New Roman"/>
          <w:color w:val="000000"/>
        </w:rPr>
        <w:t xml:space="preserve"> among others</w:t>
      </w:r>
      <w:r w:rsidR="008923CA">
        <w:rPr>
          <w:rFonts w:ascii="Times New Roman" w:eastAsia="Times New Roman" w:hAnsi="Times New Roman" w:cs="Times New Roman"/>
          <w:color w:val="000000"/>
        </w:rPr>
        <w:t>;</w:t>
      </w:r>
      <w:r w:rsidRPr="002934F0">
        <w:rPr>
          <w:rFonts w:ascii="Times New Roman" w:eastAsia="Times New Roman" w:hAnsi="Times New Roman" w:cs="Times New Roman"/>
          <w:color w:val="000000"/>
        </w:rPr>
        <w:t xml:space="preserve"> as is the extent to which these issues have been studied.  For instance, nitrogen input, sourced from livestock and agricultural fertilizer, has been found to contribute to eutrophication of surface waters and acidification of sediments and has been studied for decades (Schindler et al, 2006). However, the ever-increasing issues with plastics is a relatively new area of research; plastic accumulation is an issue that encompasses more than what we see on the surface in the form of entanglement and ingestion, but also as a vector for invasive species transfer (Gregory, 2009).  The monitoring of sediment metal contamination is not new to the Puget Sound region, but there has not been extensive research done on the source of metal contamination in Puget Sound, where runoff of road- and automobile-sourced metals may be a factor.  Moreover, it is difficult to compare sediment contamination results with those from other regions due to variation in sediment types, not to mention inconsistencies in methodology (Hubner et al., 2009).  For the purposes of this study, however, research done in other regions of the world will be referenced when appropriate due to a lack of local analysis.  Metal contamination in </w:t>
      </w:r>
      <w:r w:rsidR="000C500F">
        <w:rPr>
          <w:rFonts w:ascii="Times New Roman" w:eastAsia="Times New Roman" w:hAnsi="Times New Roman" w:cs="Times New Roman"/>
          <w:color w:val="000000"/>
        </w:rPr>
        <w:t xml:space="preserve">marine and </w:t>
      </w:r>
      <w:r w:rsidRPr="002934F0">
        <w:rPr>
          <w:rFonts w:ascii="Times New Roman" w:eastAsia="Times New Roman" w:hAnsi="Times New Roman" w:cs="Times New Roman"/>
          <w:color w:val="000000"/>
        </w:rPr>
        <w:t>aquatic sediments have been studied in</w:t>
      </w:r>
      <w:r w:rsidR="000C500F">
        <w:rPr>
          <w:rFonts w:ascii="Times New Roman" w:eastAsia="Times New Roman" w:hAnsi="Times New Roman" w:cs="Times New Roman"/>
          <w:color w:val="000000"/>
        </w:rPr>
        <w:t xml:space="preserve"> locations including</w:t>
      </w:r>
      <w:r w:rsidRPr="002934F0">
        <w:rPr>
          <w:rFonts w:ascii="Times New Roman" w:eastAsia="Times New Roman" w:hAnsi="Times New Roman" w:cs="Times New Roman"/>
          <w:color w:val="000000"/>
        </w:rPr>
        <w:t xml:space="preserve"> China (Pan and Wang, 2011</w:t>
      </w:r>
      <w:r w:rsidR="000C500F">
        <w:rPr>
          <w:rFonts w:ascii="Times New Roman" w:eastAsia="Times New Roman" w:hAnsi="Times New Roman" w:cs="Times New Roman"/>
          <w:color w:val="000000"/>
        </w:rPr>
        <w:t>), South Korea (Duong and Lee, 2010), and</w:t>
      </w:r>
      <w:r w:rsidRPr="002934F0">
        <w:rPr>
          <w:rFonts w:ascii="Times New Roman" w:eastAsia="Times New Roman" w:hAnsi="Times New Roman" w:cs="Times New Roman"/>
          <w:color w:val="000000"/>
        </w:rPr>
        <w:t xml:space="preserve"> Greece in the context of road-sourced contamination (Christoforidis and Stamatis, 2009).</w:t>
      </w:r>
    </w:p>
    <w:p w14:paraId="32330A8A" w14:textId="77777777" w:rsidR="002934F0" w:rsidRDefault="002934F0" w:rsidP="002934F0">
      <w:pPr>
        <w:spacing w:after="0" w:line="480" w:lineRule="auto"/>
        <w:ind w:firstLine="720"/>
        <w:rPr>
          <w:rFonts w:ascii="Times New Roman" w:eastAsia="Times New Roman" w:hAnsi="Times New Roman" w:cs="Times New Roman"/>
          <w:color w:val="000000"/>
        </w:rPr>
      </w:pPr>
      <w:r w:rsidRPr="002934F0">
        <w:rPr>
          <w:rFonts w:ascii="Times New Roman" w:eastAsia="Times New Roman" w:hAnsi="Times New Roman" w:cs="Times New Roman"/>
          <w:color w:val="000000"/>
        </w:rPr>
        <w:t>Heavy metals enter freshwater and marine environments from multiple anthropogenic sources, including mining activity, shipping, and industrial runoff (Pan and Wang, 2011). </w:t>
      </w:r>
      <w:r w:rsidR="000C500F" w:rsidRPr="002934F0">
        <w:rPr>
          <w:rFonts w:ascii="Times New Roman" w:eastAsia="Times New Roman" w:hAnsi="Times New Roman" w:cs="Times New Roman"/>
          <w:color w:val="000000"/>
        </w:rPr>
        <w:t xml:space="preserve"> </w:t>
      </w:r>
      <w:r w:rsidRPr="002934F0">
        <w:rPr>
          <w:rFonts w:ascii="Times New Roman" w:eastAsia="Times New Roman" w:hAnsi="Times New Roman" w:cs="Times New Roman"/>
          <w:color w:val="000000"/>
        </w:rPr>
        <w:t>A 2010 study in</w:t>
      </w:r>
      <w:r w:rsidR="000C500F">
        <w:rPr>
          <w:rFonts w:ascii="Times New Roman" w:eastAsia="Times New Roman" w:hAnsi="Times New Roman" w:cs="Times New Roman"/>
          <w:color w:val="000000"/>
        </w:rPr>
        <w:t xml:space="preserve"> South</w:t>
      </w:r>
      <w:r w:rsidRPr="002934F0">
        <w:rPr>
          <w:rFonts w:ascii="Times New Roman" w:eastAsia="Times New Roman" w:hAnsi="Times New Roman" w:cs="Times New Roman"/>
          <w:color w:val="000000"/>
        </w:rPr>
        <w:t xml:space="preserve"> Korea of road dust metal contamination found</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 xml:space="preserve">that the road material used had an impact. Concrete roads </w:t>
      </w:r>
      <w:r w:rsidRPr="002934F0">
        <w:rPr>
          <w:rFonts w:ascii="Times New Roman" w:eastAsia="Times New Roman" w:hAnsi="Times New Roman" w:cs="Times New Roman"/>
          <w:color w:val="000000"/>
        </w:rPr>
        <w:lastRenderedPageBreak/>
        <w:t>were</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shown to release higher concentrations than asphalt roads of cadmium (Cd), copper (Cu), lead (Pb), nickel (Ni), and to a lesser extent zinc (Zn) (Duong and Lee, 2010).  While asphalt roads have</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lower concentrations</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 xml:space="preserve">of metals, they require greater proportions of hydrocarbons in their composition.  </w:t>
      </w:r>
      <w:r w:rsidR="00A665CD">
        <w:rPr>
          <w:rFonts w:ascii="Times New Roman" w:eastAsia="Times New Roman" w:hAnsi="Times New Roman" w:cs="Times New Roman"/>
          <w:color w:val="000000"/>
        </w:rPr>
        <w:t xml:space="preserve">In the Puget Sound region, roads can either be rigid (concrete), and generally longer-lasting designed to last 20 years, or flexible, which can be asphalt or chip seal and last 16.5 years and 6-8 years, respectively, in Western Washington (Figure 1, WSDOT, 2007).  </w:t>
      </w:r>
      <w:r w:rsidRPr="002934F0">
        <w:rPr>
          <w:rFonts w:ascii="Times New Roman" w:eastAsia="Times New Roman" w:hAnsi="Times New Roman" w:cs="Times New Roman"/>
          <w:color w:val="000000"/>
        </w:rPr>
        <w:t xml:space="preserve">Metal dust is a result of friction on brake pads and the road itself, so the extent of road-sourced dusts is influenced by driving patterns </w:t>
      </w:r>
      <w:r w:rsidRPr="00705C12">
        <w:rPr>
          <w:rFonts w:ascii="Times New Roman" w:eastAsia="Times New Roman" w:hAnsi="Times New Roman" w:cs="Times New Roman"/>
          <w:color w:val="000000"/>
        </w:rPr>
        <w:t>such as average speed and breaking frequency.</w:t>
      </w:r>
      <w:r w:rsidR="00705C12">
        <w:rPr>
          <w:rFonts w:ascii="Times New Roman" w:eastAsia="Times New Roman" w:hAnsi="Times New Roman" w:cs="Times New Roman"/>
          <w:color w:val="000000"/>
        </w:rPr>
        <w:t xml:space="preserve">  </w:t>
      </w:r>
      <w:r w:rsidRPr="002934F0">
        <w:rPr>
          <w:rFonts w:ascii="Times New Roman" w:eastAsia="Times New Roman" w:hAnsi="Times New Roman" w:cs="Times New Roman"/>
          <w:color w:val="000000"/>
        </w:rPr>
        <w:t xml:space="preserve">Additionally, most vehicular brake systems release metal dust, particularly Cu and Ni, and in higher quantities in areas with frequent stopping such as metropolitan centers. Areas of higher average vehicular speed were also found to have higher amounts of metal contamination in road dust (Duong and Lee, 2010).  In the Puget Sound region, tire chains and studs are required to cross the mountain passes in winter, which wear down the road.  Because of the added friction and degradation of the roads, they and are only permitted during certain times of the year.  The added road dust from tire chains enters the watershed when snow melts in </w:t>
      </w:r>
      <w:r w:rsidR="008F62AC">
        <w:rPr>
          <w:rFonts w:ascii="Times New Roman" w:eastAsia="Times New Roman" w:hAnsi="Times New Roman" w:cs="Times New Roman"/>
          <w:color w:val="000000"/>
        </w:rPr>
        <w:t xml:space="preserve">the </w:t>
      </w:r>
      <w:r w:rsidRPr="002934F0">
        <w:rPr>
          <w:rFonts w:ascii="Times New Roman" w:eastAsia="Times New Roman" w:hAnsi="Times New Roman" w:cs="Times New Roman"/>
          <w:color w:val="000000"/>
        </w:rPr>
        <w:t>spring.</w:t>
      </w:r>
    </w:p>
    <w:p w14:paraId="6B281DC2" w14:textId="3DD3B558" w:rsidR="000C500F" w:rsidRPr="001B1133" w:rsidRDefault="000C500F" w:rsidP="001821ED">
      <w:pPr>
        <w:spacing w:after="0" w:line="480" w:lineRule="auto"/>
        <w:ind w:firstLine="720"/>
        <w:rPr>
          <w:rFonts w:ascii="Times New Roman" w:eastAsia="Times New Roman" w:hAnsi="Times New Roman" w:cs="Times New Roman"/>
          <w:color w:val="000000"/>
        </w:rPr>
      </w:pPr>
      <w:r w:rsidRPr="001B1133">
        <w:rPr>
          <w:rFonts w:ascii="Times New Roman" w:eastAsia="Times New Roman" w:hAnsi="Times New Roman" w:cs="Times New Roman"/>
          <w:color w:val="000000"/>
        </w:rPr>
        <w:t>The metals cadmium, copper, lead, and nickel are metals of interest due to their presence in road material, and various harmful properties</w:t>
      </w:r>
      <w:r w:rsidRPr="001821ED">
        <w:rPr>
          <w:rFonts w:ascii="Times New Roman" w:eastAsia="Times New Roman" w:hAnsi="Times New Roman" w:cs="Times New Roman"/>
          <w:color w:val="000000"/>
        </w:rPr>
        <w:t xml:space="preserve"> (Duong and Lee, 2010).  Cadmium </w:t>
      </w:r>
      <w:r w:rsidR="00A122C2" w:rsidRPr="001821ED">
        <w:rPr>
          <w:rFonts w:ascii="Times New Roman" w:eastAsia="Times New Roman" w:hAnsi="Times New Roman" w:cs="Times New Roman"/>
          <w:color w:val="000000"/>
        </w:rPr>
        <w:t xml:space="preserve">is </w:t>
      </w:r>
      <w:r w:rsidR="00A122C2" w:rsidRPr="00690D4E">
        <w:rPr>
          <w:rFonts w:ascii="Times New Roman" w:eastAsia="Times New Roman" w:hAnsi="Times New Roman" w:cs="Times New Roman"/>
          <w:color w:val="000000"/>
        </w:rPr>
        <w:t>released</w:t>
      </w:r>
      <w:r w:rsidR="00A122C2" w:rsidRPr="0055442C">
        <w:rPr>
          <w:rFonts w:ascii="Times New Roman" w:eastAsia="Times New Roman" w:hAnsi="Times New Roman" w:cs="Times New Roman"/>
          <w:color w:val="000000"/>
        </w:rPr>
        <w:t xml:space="preserve"> to the environment through</w:t>
      </w:r>
      <w:r w:rsidR="00A122C2" w:rsidRPr="001B1133">
        <w:rPr>
          <w:rFonts w:ascii="Times New Roman" w:eastAsia="Times New Roman" w:hAnsi="Times New Roman" w:cs="Times New Roman"/>
          <w:color w:val="000000"/>
        </w:rPr>
        <w:t xml:space="preserve"> its use in a broad range of industrial practices such as mining, smelting, electroplating and in paints and batteries.  </w:t>
      </w:r>
      <w:r w:rsidR="00813EF7">
        <w:rPr>
          <w:rFonts w:ascii="Times New Roman" w:eastAsia="Times New Roman" w:hAnsi="Times New Roman" w:cs="Times New Roman"/>
          <w:color w:val="000000"/>
        </w:rPr>
        <w:t>A micronutrient for phytopklankton</w:t>
      </w:r>
      <w:r w:rsidR="00727DC2">
        <w:rPr>
          <w:rFonts w:ascii="Times New Roman" w:eastAsia="Times New Roman" w:hAnsi="Times New Roman" w:cs="Times New Roman"/>
          <w:color w:val="000000"/>
        </w:rPr>
        <w:t xml:space="preserve"> at</w:t>
      </w:r>
      <w:r w:rsidR="00A865CC">
        <w:rPr>
          <w:rFonts w:ascii="Times New Roman" w:eastAsia="Times New Roman" w:hAnsi="Times New Roman" w:cs="Times New Roman"/>
          <w:color w:val="000000"/>
        </w:rPr>
        <w:t xml:space="preserve"> low concentrations</w:t>
      </w:r>
      <w:r w:rsidR="00727DC2">
        <w:rPr>
          <w:rFonts w:ascii="Times New Roman" w:eastAsia="Times New Roman" w:hAnsi="Times New Roman" w:cs="Times New Roman"/>
          <w:color w:val="000000"/>
        </w:rPr>
        <w:t xml:space="preserve"> (Sunda et al., 2000)</w:t>
      </w:r>
      <w:r w:rsidR="00A865CC">
        <w:rPr>
          <w:rFonts w:ascii="Times New Roman" w:eastAsia="Times New Roman" w:hAnsi="Times New Roman" w:cs="Times New Roman"/>
          <w:color w:val="000000"/>
        </w:rPr>
        <w:t>, i</w:t>
      </w:r>
      <w:r w:rsidR="00A122C2" w:rsidRPr="001B1133">
        <w:rPr>
          <w:rFonts w:ascii="Times New Roman" w:eastAsia="Times New Roman" w:hAnsi="Times New Roman" w:cs="Times New Roman"/>
          <w:color w:val="000000"/>
        </w:rPr>
        <w:t xml:space="preserve">t is a harmful metal to biological macromolecules and can disrupt functions in the lungs, brain, and liver </w:t>
      </w:r>
      <w:r w:rsidRPr="001B1133">
        <w:rPr>
          <w:rFonts w:ascii="Times New Roman" w:eastAsia="Times New Roman" w:hAnsi="Times New Roman" w:cs="Times New Roman"/>
          <w:color w:val="000000"/>
        </w:rPr>
        <w:t>(</w:t>
      </w:r>
      <w:r w:rsidR="001B1133">
        <w:rPr>
          <w:rFonts w:ascii="Times New Roman" w:eastAsia="Times New Roman" w:hAnsi="Times New Roman" w:cs="Times New Roman"/>
          <w:color w:val="000000"/>
        </w:rPr>
        <w:t>Stohs and Bagchi, 1994</w:t>
      </w:r>
      <w:r w:rsidRPr="001B1133">
        <w:rPr>
          <w:rFonts w:ascii="Times New Roman" w:eastAsia="Times New Roman" w:hAnsi="Times New Roman" w:cs="Times New Roman"/>
          <w:color w:val="000000"/>
        </w:rPr>
        <w:t xml:space="preserve">).  Copper, </w:t>
      </w:r>
      <w:r w:rsidR="001B1133">
        <w:rPr>
          <w:rFonts w:ascii="Times New Roman" w:eastAsia="Times New Roman" w:hAnsi="Times New Roman" w:cs="Times New Roman"/>
          <w:color w:val="000000"/>
        </w:rPr>
        <w:t>a byproduct of both road dust and brake pads, is</w:t>
      </w:r>
      <w:r w:rsidRPr="001B1133">
        <w:rPr>
          <w:rFonts w:ascii="Times New Roman" w:eastAsia="Times New Roman" w:hAnsi="Times New Roman" w:cs="Times New Roman"/>
          <w:color w:val="000000"/>
        </w:rPr>
        <w:t xml:space="preserve"> an essential reagent in plant metabolism in trace amounts </w:t>
      </w:r>
      <w:r w:rsidR="001B1133">
        <w:rPr>
          <w:rFonts w:ascii="Times New Roman" w:eastAsia="Times New Roman" w:hAnsi="Times New Roman" w:cs="Times New Roman"/>
          <w:color w:val="000000"/>
        </w:rPr>
        <w:t xml:space="preserve">but </w:t>
      </w:r>
      <w:r w:rsidRPr="001B1133">
        <w:rPr>
          <w:rFonts w:ascii="Times New Roman" w:eastAsia="Times New Roman" w:hAnsi="Times New Roman" w:cs="Times New Roman"/>
          <w:color w:val="000000"/>
        </w:rPr>
        <w:t>can be toxic in higher concentrations (Nagajyoti, et al., 2010).</w:t>
      </w:r>
      <w:r w:rsidR="001B1133">
        <w:rPr>
          <w:rFonts w:ascii="Times New Roman" w:eastAsia="Times New Roman" w:hAnsi="Times New Roman" w:cs="Times New Roman"/>
          <w:color w:val="000000"/>
        </w:rPr>
        <w:t xml:space="preserve"> </w:t>
      </w:r>
      <w:r w:rsidRPr="001B1133">
        <w:rPr>
          <w:rFonts w:ascii="Times New Roman" w:eastAsia="Times New Roman" w:hAnsi="Times New Roman" w:cs="Times New Roman"/>
          <w:color w:val="000000"/>
        </w:rPr>
        <w:t xml:space="preserve"> </w:t>
      </w:r>
      <w:r w:rsidR="001B1133">
        <w:rPr>
          <w:rFonts w:ascii="Times New Roman" w:eastAsia="Times New Roman" w:hAnsi="Times New Roman" w:cs="Times New Roman"/>
          <w:color w:val="000000"/>
        </w:rPr>
        <w:t xml:space="preserve">Chromium is known to be a carcinogen to animals and can cause allergic dermatitis (Stohs and Bagchi, 1994).  It is also an industrial byproduct, primarily through metal production and finishing of woods, metals, and painted surfaces.  Lead is a known environmental toxin which can cause many ailments in humans including but not limited to neurological, gastrointestinal, and hematological damage (Stohs and Bagchi, 1994).  </w:t>
      </w:r>
      <w:r w:rsidR="001821ED">
        <w:rPr>
          <w:rFonts w:ascii="Times New Roman" w:eastAsia="Times New Roman" w:hAnsi="Times New Roman" w:cs="Times New Roman"/>
          <w:color w:val="000000"/>
        </w:rPr>
        <w:t>Lead is expected to be found in the region due to its history in piping and other major contacts with water.  Nickel is known to be a carcinogen for the respiratory tract by way of damaging DNA.  Though h</w:t>
      </w:r>
      <w:r w:rsidRPr="001B1133">
        <w:rPr>
          <w:rFonts w:ascii="Times New Roman" w:eastAsia="Times New Roman" w:hAnsi="Times New Roman" w:cs="Times New Roman"/>
          <w:color w:val="000000"/>
        </w:rPr>
        <w:t xml:space="preserve">eavy metals related to road material are the focus </w:t>
      </w:r>
      <w:r w:rsidRPr="001B1133">
        <w:rPr>
          <w:rFonts w:ascii="Times New Roman" w:eastAsia="Times New Roman" w:hAnsi="Times New Roman" w:cs="Times New Roman"/>
          <w:color w:val="000000"/>
        </w:rPr>
        <w:lastRenderedPageBreak/>
        <w:t>of this study, other metals will be observed due to the capabilities of the laboratory being utilized</w:t>
      </w:r>
      <w:r w:rsidRPr="006558F1">
        <w:rPr>
          <w:rFonts w:ascii="Times New Roman" w:eastAsia="Times New Roman" w:hAnsi="Times New Roman" w:cs="Times New Roman"/>
          <w:color w:val="000000"/>
        </w:rPr>
        <w:t xml:space="preserve">.  Selenium and Arsenic will be points of emphasis due to their harmful potential to human health.  </w:t>
      </w:r>
      <w:r w:rsidR="00A122C2" w:rsidRPr="006558F1">
        <w:rPr>
          <w:rFonts w:ascii="Times New Roman" w:eastAsia="Times New Roman" w:hAnsi="Times New Roman" w:cs="Times New Roman"/>
          <w:color w:val="000000"/>
        </w:rPr>
        <w:t xml:space="preserve">Oddly enough, Selenium prevents some of the carcinogenicity of cadmium by halting the induction of metallothionein (Wahba et al., </w:t>
      </w:r>
      <w:r w:rsidR="001B1133" w:rsidRPr="006558F1">
        <w:rPr>
          <w:rFonts w:ascii="Times New Roman" w:eastAsia="Times New Roman" w:hAnsi="Times New Roman" w:cs="Times New Roman"/>
          <w:color w:val="000000"/>
        </w:rPr>
        <w:t>1993</w:t>
      </w:r>
      <w:r w:rsidR="00A122C2" w:rsidRPr="006558F1">
        <w:rPr>
          <w:rFonts w:ascii="Times New Roman" w:eastAsia="Times New Roman" w:hAnsi="Times New Roman" w:cs="Times New Roman"/>
          <w:color w:val="000000"/>
        </w:rPr>
        <w:t>)</w:t>
      </w:r>
      <w:r w:rsidR="00473188">
        <w:rPr>
          <w:rFonts w:ascii="Times New Roman" w:eastAsia="Times New Roman" w:hAnsi="Times New Roman" w:cs="Times New Roman"/>
          <w:color w:val="000000"/>
        </w:rPr>
        <w:t>, but has also shown a relationship with reproductive failure in sensitive fish (Lemly, 2004)</w:t>
      </w:r>
      <w:r w:rsidR="001B1133" w:rsidRPr="006558F1">
        <w:rPr>
          <w:rFonts w:ascii="Times New Roman" w:eastAsia="Times New Roman" w:hAnsi="Times New Roman" w:cs="Times New Roman"/>
          <w:color w:val="000000"/>
        </w:rPr>
        <w:t>.</w:t>
      </w:r>
    </w:p>
    <w:p w14:paraId="7D0A7C35" w14:textId="77777777" w:rsidR="002934F0" w:rsidRPr="002934F0" w:rsidRDefault="002934F0" w:rsidP="002934F0">
      <w:pPr>
        <w:spacing w:after="0" w:line="480" w:lineRule="auto"/>
        <w:ind w:firstLine="720"/>
        <w:rPr>
          <w:rFonts w:ascii="Times New Roman" w:eastAsia="Times New Roman" w:hAnsi="Times New Roman" w:cs="Times New Roman"/>
          <w:color w:val="FF0000"/>
          <w:sz w:val="24"/>
          <w:szCs w:val="24"/>
        </w:rPr>
      </w:pPr>
      <w:r w:rsidRPr="002934F0">
        <w:rPr>
          <w:rFonts w:ascii="Times New Roman" w:eastAsia="Times New Roman" w:hAnsi="Times New Roman" w:cs="Times New Roman"/>
          <w:color w:val="000000"/>
        </w:rPr>
        <w:t xml:space="preserve">When discharged to the environment, metals disperse through air and water as well as living organisms, which makes tracking the source of contamination difficult.  Establishing a connection between site and source of metal contamination is important for implementing remediation and, if necessary, assigning fault.  However, previous studies have found metal contamination to vary more from grain size distribution rather than actual proximity to contamination source (Bloom and Crecelius, 1987).  Still, a 2009 study in Greece found roadside soils to be nearly as contaminated with heavy metals as the road dust itself, suggesting that metals are easily transported into the environment from roads (Christoforidis and Stamatis, 2009).  This study found that metal contamination levels were higher in urban and industrial soils than in peripheral and control sites, citing automobile brake abrasion and lubricants as a source for Cu and Zn introduction.  </w:t>
      </w:r>
    </w:p>
    <w:p w14:paraId="164BEA47" w14:textId="77777777" w:rsidR="00A665CD" w:rsidRDefault="00A665CD" w:rsidP="00A665CD">
      <w:pPr>
        <w:keepNext/>
        <w:spacing w:after="0" w:line="480" w:lineRule="auto"/>
      </w:pPr>
      <w:r>
        <w:rPr>
          <w:noProof/>
        </w:rPr>
        <w:drawing>
          <wp:inline distT="0" distB="0" distL="0" distR="0" wp14:anchorId="77272253" wp14:editId="335CC3E9">
            <wp:extent cx="5943600" cy="38296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3829685"/>
                    </a:xfrm>
                    <a:prstGeom prst="rect">
                      <a:avLst/>
                    </a:prstGeom>
                  </pic:spPr>
                </pic:pic>
              </a:graphicData>
            </a:graphic>
          </wp:inline>
        </w:drawing>
      </w:r>
    </w:p>
    <w:p w14:paraId="7967645B" w14:textId="77777777" w:rsidR="00A665CD" w:rsidRDefault="00A665CD" w:rsidP="00A665CD">
      <w:pPr>
        <w:pStyle w:val="Caption"/>
        <w:rPr>
          <w:rFonts w:ascii="Times New Roman" w:eastAsia="Times New Roman" w:hAnsi="Times New Roman" w:cs="Times New Roman"/>
          <w:color w:val="000000"/>
        </w:rPr>
      </w:pPr>
      <w:r>
        <w:t xml:space="preserve">Figure </w:t>
      </w:r>
      <w:r w:rsidR="009B78B6">
        <w:rPr>
          <w:noProof/>
        </w:rPr>
        <w:fldChar w:fldCharType="begin"/>
      </w:r>
      <w:r w:rsidR="009B78B6">
        <w:rPr>
          <w:noProof/>
        </w:rPr>
        <w:instrText xml:space="preserve"> SEQ Figure \* ARABIC </w:instrText>
      </w:r>
      <w:r w:rsidR="009B78B6">
        <w:rPr>
          <w:noProof/>
        </w:rPr>
        <w:fldChar w:fldCharType="separate"/>
      </w:r>
      <w:r w:rsidR="00813EF7">
        <w:rPr>
          <w:noProof/>
        </w:rPr>
        <w:t>1</w:t>
      </w:r>
      <w:r w:rsidR="009B78B6">
        <w:rPr>
          <w:noProof/>
        </w:rPr>
        <w:fldChar w:fldCharType="end"/>
      </w:r>
      <w:r w:rsidR="00071A7F">
        <w:t xml:space="preserve">- </w:t>
      </w:r>
      <w:r>
        <w:t>Map of Road Type in Washington State</w:t>
      </w:r>
      <w:r w:rsidR="00714300">
        <w:t>; Rigid corresponds to concrete and Flexible to asphalt</w:t>
      </w:r>
      <w:r>
        <w:t xml:space="preserve"> (</w:t>
      </w:r>
      <w:r w:rsidR="00071A7F">
        <w:t xml:space="preserve">WSDOT </w:t>
      </w:r>
      <w:r>
        <w:t>2007)</w:t>
      </w:r>
    </w:p>
    <w:p w14:paraId="0E81EA9A" w14:textId="77777777" w:rsidR="002934F0" w:rsidRPr="002934F0" w:rsidRDefault="00A665CD" w:rsidP="00A665CD">
      <w:pP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b/>
      </w:r>
      <w:r w:rsidR="002934F0" w:rsidRPr="002934F0">
        <w:rPr>
          <w:rFonts w:ascii="Times New Roman" w:eastAsia="Times New Roman" w:hAnsi="Times New Roman" w:cs="Times New Roman"/>
          <w:color w:val="000000"/>
        </w:rPr>
        <w:t>Sediment analysis is not the only way of measuring metal contamination; benthic invertebrates can also give us a proxy to metal contamination in the environment.  The Mussel Watch Project has studied concentrations of metals and hydrocarbons in sediments and the tissues of mussels and oysters across the United States to determine the status of chemical concentrations in coastal and estuarine communities.  Mollusks are powerful indicators of local metal contamination due to their filter feeding survival strategy; they concentrate the chemicals from the water in their tissues and typically do not travel much throughout their lifespan (O’Connor, 2002).  Despite this, a 2002 study of USA mollusk contamination distribution found that the maximum concentrations of Cd, Hg, Pb, and Ni were observed to be an order of magnitude lower in mollusks (as well as Cu and Zn in mussels, not found in oysters) than levels corresponding to adverse effects on survival, growth and reproduction (O’Connor, 2002).  However, this study is almost twenty years old, and begs that newer research be done to assess contamination levels.  Due to their ability to accumulate toxins through filter feeding without adverse effects, mollusks can be a dangerous vector for human toxicity when consumed, which is an issue of economic importance in the Puget Sound region.</w:t>
      </w:r>
    </w:p>
    <w:p w14:paraId="2911CD05" w14:textId="77777777" w:rsidR="002934F0" w:rsidRPr="002934F0" w:rsidRDefault="002934F0" w:rsidP="002934F0">
      <w:pPr>
        <w:spacing w:after="0" w:line="480" w:lineRule="auto"/>
        <w:rPr>
          <w:rFonts w:ascii="Times New Roman" w:eastAsia="Times New Roman" w:hAnsi="Times New Roman" w:cs="Times New Roman"/>
          <w:color w:val="000000"/>
        </w:rPr>
      </w:pPr>
      <w:r w:rsidRPr="002934F0">
        <w:rPr>
          <w:rFonts w:ascii="Times New Roman" w:eastAsia="Times New Roman" w:hAnsi="Times New Roman" w:cs="Times New Roman"/>
          <w:color w:val="000000"/>
        </w:rPr>
        <w:tab/>
        <w:t xml:space="preserve">The goal of this study is to determine the presence and pattern of heavy metal contamination in benthic sediments and invertebrates and to explore the connection to road activity.  Copper, chromium, nickel, lead, and zinc, metals associated with road material and harmful in high doses, will be metals of interest in this study.  Other harmful metals, such as arsenic and selenium, will also be </w:t>
      </w:r>
      <w:r w:rsidR="0055442C">
        <w:rPr>
          <w:rFonts w:ascii="Times New Roman" w:eastAsia="Times New Roman" w:hAnsi="Times New Roman" w:cs="Times New Roman"/>
          <w:color w:val="000000"/>
        </w:rPr>
        <w:t>investigated</w:t>
      </w:r>
      <w:r w:rsidR="0055442C" w:rsidRPr="002934F0">
        <w:rPr>
          <w:rFonts w:ascii="Times New Roman" w:eastAsia="Times New Roman" w:hAnsi="Times New Roman" w:cs="Times New Roman"/>
          <w:color w:val="000000"/>
        </w:rPr>
        <w:t xml:space="preserve"> </w:t>
      </w:r>
      <w:r w:rsidRPr="002934F0">
        <w:rPr>
          <w:rFonts w:ascii="Times New Roman" w:eastAsia="Times New Roman" w:hAnsi="Times New Roman" w:cs="Times New Roman"/>
          <w:color w:val="000000"/>
        </w:rPr>
        <w:t xml:space="preserve">due to their toxicity to humans (Mandal and Suzuki, 2002).  In this study, benthic sediment samples </w:t>
      </w:r>
      <w:r w:rsidR="0055442C">
        <w:rPr>
          <w:rFonts w:ascii="Times New Roman" w:eastAsia="Times New Roman" w:hAnsi="Times New Roman" w:cs="Times New Roman"/>
          <w:color w:val="000000"/>
        </w:rPr>
        <w:t xml:space="preserve">were </w:t>
      </w:r>
      <w:r w:rsidRPr="002934F0">
        <w:rPr>
          <w:rFonts w:ascii="Times New Roman" w:eastAsia="Times New Roman" w:hAnsi="Times New Roman" w:cs="Times New Roman"/>
          <w:color w:val="000000"/>
        </w:rPr>
        <w:t>taken from locations with road influence in Lake Washington, Portage Bay, and Puget Sound as well as control samples farther from the influence of road activity and road runoff.  We will consider</w:t>
      </w:r>
      <w:r w:rsidRPr="002934F0">
        <w:rPr>
          <w:rFonts w:ascii="Times New Roman" w:eastAsia="Times New Roman" w:hAnsi="Times New Roman" w:cs="Times New Roman"/>
          <w:color w:val="FF0000"/>
        </w:rPr>
        <w:t xml:space="preserve"> </w:t>
      </w:r>
      <w:r w:rsidRPr="002934F0">
        <w:rPr>
          <w:rFonts w:ascii="Times New Roman" w:eastAsia="Times New Roman" w:hAnsi="Times New Roman" w:cs="Times New Roman"/>
          <w:color w:val="000000"/>
        </w:rPr>
        <w:t>grain size in the analysis of metal contamination, as metals accumulate more easily in finer sediments than coarse</w:t>
      </w:r>
      <w:r w:rsidR="0055442C">
        <w:rPr>
          <w:rFonts w:ascii="Times New Roman" w:eastAsia="Times New Roman" w:hAnsi="Times New Roman" w:cs="Times New Roman"/>
          <w:color w:val="000000"/>
        </w:rPr>
        <w:t xml:space="preserve"> (Bloom and Crecelius, 1987)</w:t>
      </w:r>
      <w:r w:rsidRPr="002934F0">
        <w:rPr>
          <w:rFonts w:ascii="Times New Roman" w:eastAsia="Times New Roman" w:hAnsi="Times New Roman" w:cs="Times New Roman"/>
          <w:color w:val="000000"/>
        </w:rPr>
        <w:t>. We hypothesize that we will see elevated metal content near areas of road runoff influence, and lower content in the control sites farther from road influence.</w:t>
      </w:r>
    </w:p>
    <w:p w14:paraId="57CC0F6D" w14:textId="77777777" w:rsidR="003957F5" w:rsidRDefault="003957F5" w:rsidP="002934F0">
      <w:pPr>
        <w:spacing w:line="480" w:lineRule="auto"/>
        <w:rPr>
          <w:rFonts w:ascii="Times New Roman" w:hAnsi="Times New Roman" w:cs="Times New Roman"/>
        </w:rPr>
      </w:pPr>
    </w:p>
    <w:p w14:paraId="3B359471" w14:textId="77777777" w:rsidR="002934F0" w:rsidRPr="002934F0" w:rsidRDefault="002934F0" w:rsidP="002934F0">
      <w:pPr>
        <w:spacing w:line="480" w:lineRule="auto"/>
        <w:rPr>
          <w:rFonts w:ascii="Times New Roman" w:hAnsi="Times New Roman" w:cs="Times New Roman"/>
          <w:b/>
        </w:rPr>
      </w:pPr>
      <w:r>
        <w:rPr>
          <w:rFonts w:ascii="Times New Roman" w:hAnsi="Times New Roman" w:cs="Times New Roman"/>
          <w:b/>
        </w:rPr>
        <w:t>Methods</w:t>
      </w:r>
    </w:p>
    <w:p w14:paraId="118C9596" w14:textId="77777777" w:rsidR="002934F0" w:rsidRPr="002934F0" w:rsidRDefault="002934F0" w:rsidP="002934F0">
      <w:pPr>
        <w:spacing w:line="480" w:lineRule="auto"/>
        <w:rPr>
          <w:rFonts w:ascii="Times New Roman" w:hAnsi="Times New Roman" w:cs="Times New Roman"/>
          <w:i/>
          <w:u w:val="single"/>
        </w:rPr>
      </w:pPr>
      <w:r w:rsidRPr="002934F0">
        <w:rPr>
          <w:rFonts w:ascii="Times New Roman" w:hAnsi="Times New Roman" w:cs="Times New Roman"/>
          <w:i/>
          <w:u w:val="single"/>
        </w:rPr>
        <w:t>Sample Collection</w:t>
      </w:r>
    </w:p>
    <w:p w14:paraId="5953497F" w14:textId="77777777"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rPr>
        <w:lastRenderedPageBreak/>
        <w:tab/>
        <w:t>Sample sites were chosen based on proximity to road-sourced runoff</w:t>
      </w:r>
      <w:r w:rsidR="0055442C">
        <w:rPr>
          <w:rFonts w:ascii="Times New Roman" w:hAnsi="Times New Roman" w:cs="Times New Roman"/>
        </w:rPr>
        <w:t xml:space="preserve"> (figure 2)</w:t>
      </w:r>
      <w:r w:rsidRPr="002934F0">
        <w:rPr>
          <w:rFonts w:ascii="Times New Roman" w:hAnsi="Times New Roman" w:cs="Times New Roman"/>
        </w:rPr>
        <w:t xml:space="preserve">.  Sites AM02, AM09, and SB02 were in close proximity to populated shorelines and the major highway floating bridges.  Site AM04 was within the shipping canal between Lake Union and the Ballard Locks, and underneath SR-99.  This location was very heavily urbanized and was expected to yield very high metal contamination due to surface runoff as well as shipping activity.  AM05 was near the Nisqually River Delta.  A major freshwater source to South Puget Sound, the Nisqually River cuts beneath sections of I-5.  Sites AM08 and AM06 correspond to Budd and Henderson Inlets, which are inlets of South Puget Sound and are within local watersheds exposed to the runoff of downtown Olympia and residential areas, respectively.  Site locations and their descriptions can be seen in Table 1 and Figure </w:t>
      </w:r>
      <w:r w:rsidR="00A665CD">
        <w:rPr>
          <w:rFonts w:ascii="Times New Roman" w:hAnsi="Times New Roman" w:cs="Times New Roman"/>
        </w:rPr>
        <w:t>2</w:t>
      </w:r>
      <w:r w:rsidRPr="002934F0">
        <w:rPr>
          <w:rFonts w:ascii="Times New Roman" w:hAnsi="Times New Roman" w:cs="Times New Roman"/>
        </w:rPr>
        <w:t xml:space="preserve">. </w:t>
      </w:r>
    </w:p>
    <w:p w14:paraId="6B377B34" w14:textId="7DE0CACE" w:rsidR="002934F0" w:rsidRPr="002934F0" w:rsidRDefault="002934F0" w:rsidP="002934F0">
      <w:pPr>
        <w:spacing w:line="480" w:lineRule="auto"/>
        <w:ind w:firstLine="720"/>
        <w:rPr>
          <w:rFonts w:ascii="Times New Roman" w:hAnsi="Times New Roman" w:cs="Times New Roman"/>
        </w:rPr>
      </w:pPr>
      <w:r w:rsidRPr="002934F0">
        <w:rPr>
          <w:rFonts w:ascii="Times New Roman" w:hAnsi="Times New Roman" w:cs="Times New Roman"/>
        </w:rPr>
        <w:t xml:space="preserve">Three of the experimental sites </w:t>
      </w:r>
      <w:r w:rsidR="00945AF4">
        <w:rPr>
          <w:rFonts w:ascii="Times New Roman" w:hAnsi="Times New Roman" w:cs="Times New Roman"/>
        </w:rPr>
        <w:t xml:space="preserve">were within </w:t>
      </w:r>
      <w:r w:rsidRPr="002934F0">
        <w:rPr>
          <w:rFonts w:ascii="Times New Roman" w:hAnsi="Times New Roman" w:cs="Times New Roman"/>
        </w:rPr>
        <w:t xml:space="preserve">Lake Washington near the SR-520 and I-90 bridges, one within the Lake Union ship canal, and three in South Puget Sound near the Nisqually river delta, Henderson Inlet, and Budd Inlet.  Control sites were chosen to be farther away from road runoff within the same </w:t>
      </w:r>
      <w:r w:rsidR="0055442C">
        <w:rPr>
          <w:rFonts w:ascii="Times New Roman" w:hAnsi="Times New Roman" w:cs="Times New Roman"/>
        </w:rPr>
        <w:t>catchments</w:t>
      </w:r>
      <w:r w:rsidR="0055442C" w:rsidRPr="002934F0">
        <w:rPr>
          <w:rFonts w:ascii="Times New Roman" w:hAnsi="Times New Roman" w:cs="Times New Roman"/>
        </w:rPr>
        <w:t xml:space="preserve"> </w:t>
      </w:r>
      <w:r w:rsidRPr="002934F0">
        <w:rPr>
          <w:rFonts w:ascii="Times New Roman" w:hAnsi="Times New Roman" w:cs="Times New Roman"/>
        </w:rPr>
        <w:t xml:space="preserve">of Lake Washington (near St. Edward State park) and South Puget Sound (within Case Inlet).  </w:t>
      </w:r>
    </w:p>
    <w:p w14:paraId="4A7E7393" w14:textId="77777777" w:rsidR="002934F0" w:rsidRDefault="002934F0" w:rsidP="002934F0">
      <w:pPr>
        <w:spacing w:line="480" w:lineRule="auto"/>
        <w:ind w:firstLine="720"/>
        <w:rPr>
          <w:rFonts w:ascii="Times New Roman" w:hAnsi="Times New Roman" w:cs="Times New Roman"/>
        </w:rPr>
      </w:pPr>
      <w:r w:rsidRPr="002934F0">
        <w:rPr>
          <w:rFonts w:ascii="Times New Roman" w:hAnsi="Times New Roman" w:cs="Times New Roman"/>
        </w:rPr>
        <w:t xml:space="preserve">Sediment samples were collected from the R/V Rachel Carson at the chosen sites on January </w:t>
      </w:r>
      <w:r w:rsidR="0055442C">
        <w:rPr>
          <w:rFonts w:ascii="Times New Roman" w:hAnsi="Times New Roman" w:cs="Times New Roman"/>
        </w:rPr>
        <w:t>11-13</w:t>
      </w:r>
      <w:r w:rsidRPr="002934F0">
        <w:rPr>
          <w:rFonts w:ascii="Times New Roman" w:hAnsi="Times New Roman" w:cs="Times New Roman"/>
        </w:rPr>
        <w:t xml:space="preserve">, 2019 through use of Shipek grab which brought up the top ~10 cm of benthic sediment.  A subsample of each grab was taken for metal and grain size analyses, and stored in labelled Ziploc bags in the on-board freezer.  The remainder of the sediment from each site was sieved through 64 um filters to separate invertebrate samples.  Invertebrate specimens were rinsed with DI water and stored in the on-ship freezer under guidance of Kathy Newell.   </w:t>
      </w:r>
    </w:p>
    <w:p w14:paraId="7024A7A4" w14:textId="77777777" w:rsidR="00A665CD" w:rsidRDefault="00A665CD" w:rsidP="00A665CD">
      <w:pPr>
        <w:pStyle w:val="Caption"/>
        <w:keepNext/>
      </w:pPr>
      <w:r>
        <w:t xml:space="preserve">Table </w:t>
      </w:r>
      <w:r w:rsidR="009B78B6">
        <w:rPr>
          <w:noProof/>
        </w:rPr>
        <w:fldChar w:fldCharType="begin"/>
      </w:r>
      <w:r w:rsidR="009B78B6">
        <w:rPr>
          <w:noProof/>
        </w:rPr>
        <w:instrText xml:space="preserve"> SEQ Table \* ARABIC </w:instrText>
      </w:r>
      <w:r w:rsidR="009B78B6">
        <w:rPr>
          <w:noProof/>
        </w:rPr>
        <w:fldChar w:fldCharType="separate"/>
      </w:r>
      <w:r w:rsidR="00813EF7">
        <w:rPr>
          <w:noProof/>
        </w:rPr>
        <w:t>1</w:t>
      </w:r>
      <w:r w:rsidR="009B78B6">
        <w:rPr>
          <w:noProof/>
        </w:rPr>
        <w:fldChar w:fldCharType="end"/>
      </w:r>
      <w:r>
        <w:t xml:space="preserve">- </w:t>
      </w:r>
      <w:r w:rsidR="00071A7F">
        <w:t xml:space="preserve">Sample </w:t>
      </w:r>
      <w:r>
        <w:t>Site Locations and Descriptions</w:t>
      </w:r>
    </w:p>
    <w:tbl>
      <w:tblPr>
        <w:tblStyle w:val="TableGrid"/>
        <w:tblW w:w="9715" w:type="dxa"/>
        <w:tblLook w:val="04A0" w:firstRow="1" w:lastRow="0" w:firstColumn="1" w:lastColumn="0" w:noHBand="0" w:noVBand="1"/>
      </w:tblPr>
      <w:tblGrid>
        <w:gridCol w:w="892"/>
        <w:gridCol w:w="4683"/>
        <w:gridCol w:w="1080"/>
        <w:gridCol w:w="1350"/>
        <w:gridCol w:w="1710"/>
      </w:tblGrid>
      <w:tr w:rsidR="00A665CD" w14:paraId="6CEB83CD" w14:textId="77777777" w:rsidTr="00945AF4">
        <w:tc>
          <w:tcPr>
            <w:tcW w:w="892" w:type="dxa"/>
          </w:tcPr>
          <w:p w14:paraId="4940253B" w14:textId="77777777" w:rsidR="00A665CD" w:rsidRDefault="00A665CD" w:rsidP="00A665CD">
            <w:pPr>
              <w:tabs>
                <w:tab w:val="left" w:pos="1200"/>
              </w:tabs>
              <w:rPr>
                <w:rFonts w:ascii="Times New Roman" w:hAnsi="Times New Roman" w:cs="Times New Roman"/>
                <w:i/>
                <w:u w:val="single"/>
              </w:rPr>
            </w:pPr>
            <w:r>
              <w:rPr>
                <w:rFonts w:ascii="Times New Roman" w:hAnsi="Times New Roman" w:cs="Times New Roman"/>
              </w:rPr>
              <w:t>Site</w:t>
            </w:r>
          </w:p>
        </w:tc>
        <w:tc>
          <w:tcPr>
            <w:tcW w:w="4683" w:type="dxa"/>
          </w:tcPr>
          <w:p w14:paraId="3CE11C94" w14:textId="77777777" w:rsidR="00A665CD" w:rsidRPr="00705C12" w:rsidRDefault="00A665CD" w:rsidP="00A665CD">
            <w:pPr>
              <w:rPr>
                <w:rFonts w:ascii="Times New Roman" w:hAnsi="Times New Roman" w:cs="Times New Roman"/>
              </w:rPr>
            </w:pPr>
            <w:r>
              <w:rPr>
                <w:rFonts w:ascii="Times New Roman" w:hAnsi="Times New Roman" w:cs="Times New Roman"/>
              </w:rPr>
              <w:t>Location</w:t>
            </w:r>
          </w:p>
        </w:tc>
        <w:tc>
          <w:tcPr>
            <w:tcW w:w="1080" w:type="dxa"/>
          </w:tcPr>
          <w:p w14:paraId="231232EF" w14:textId="77777777" w:rsidR="00A665CD" w:rsidRPr="00705C12" w:rsidRDefault="00A665CD" w:rsidP="00A665CD">
            <w:pPr>
              <w:rPr>
                <w:rFonts w:ascii="Times New Roman" w:hAnsi="Times New Roman" w:cs="Times New Roman"/>
              </w:rPr>
            </w:pPr>
            <w:r>
              <w:rPr>
                <w:rFonts w:ascii="Times New Roman" w:hAnsi="Times New Roman" w:cs="Times New Roman"/>
              </w:rPr>
              <w:t>Latitude</w:t>
            </w:r>
          </w:p>
        </w:tc>
        <w:tc>
          <w:tcPr>
            <w:tcW w:w="1350" w:type="dxa"/>
          </w:tcPr>
          <w:p w14:paraId="0C38B426" w14:textId="77777777" w:rsidR="00A665CD" w:rsidRPr="00705C12" w:rsidRDefault="00A665CD" w:rsidP="00A665CD">
            <w:pPr>
              <w:rPr>
                <w:rFonts w:ascii="Times New Roman" w:hAnsi="Times New Roman" w:cs="Times New Roman"/>
              </w:rPr>
            </w:pPr>
            <w:r>
              <w:rPr>
                <w:rFonts w:ascii="Times New Roman" w:hAnsi="Times New Roman" w:cs="Times New Roman"/>
              </w:rPr>
              <w:t>Longitude</w:t>
            </w:r>
          </w:p>
        </w:tc>
        <w:tc>
          <w:tcPr>
            <w:tcW w:w="1710" w:type="dxa"/>
          </w:tcPr>
          <w:p w14:paraId="7663C78E" w14:textId="77777777" w:rsidR="00A665CD" w:rsidRPr="00705C12" w:rsidRDefault="00A665CD" w:rsidP="00A665CD">
            <w:pPr>
              <w:rPr>
                <w:rFonts w:ascii="Times New Roman" w:hAnsi="Times New Roman" w:cs="Times New Roman"/>
              </w:rPr>
            </w:pPr>
            <w:r>
              <w:rPr>
                <w:rFonts w:ascii="Times New Roman" w:hAnsi="Times New Roman" w:cs="Times New Roman"/>
              </w:rPr>
              <w:t>Sampling depth</w:t>
            </w:r>
          </w:p>
        </w:tc>
      </w:tr>
      <w:tr w:rsidR="00A665CD" w14:paraId="17DB795C" w14:textId="77777777" w:rsidTr="00945AF4">
        <w:tc>
          <w:tcPr>
            <w:tcW w:w="892" w:type="dxa"/>
          </w:tcPr>
          <w:p w14:paraId="222C3AFF" w14:textId="77777777" w:rsidR="00A665CD" w:rsidRPr="00705C12" w:rsidRDefault="00A665CD" w:rsidP="00A665CD">
            <w:pPr>
              <w:rPr>
                <w:rFonts w:ascii="Times New Roman" w:hAnsi="Times New Roman" w:cs="Times New Roman"/>
              </w:rPr>
            </w:pPr>
            <w:r>
              <w:rPr>
                <w:rFonts w:ascii="Times New Roman" w:hAnsi="Times New Roman" w:cs="Times New Roman"/>
              </w:rPr>
              <w:t>AM01</w:t>
            </w:r>
          </w:p>
        </w:tc>
        <w:tc>
          <w:tcPr>
            <w:tcW w:w="4683" w:type="dxa"/>
          </w:tcPr>
          <w:p w14:paraId="15E0154B" w14:textId="77777777" w:rsidR="00A665CD" w:rsidRPr="00705C12" w:rsidRDefault="00A665CD" w:rsidP="00A665CD">
            <w:pPr>
              <w:rPr>
                <w:rFonts w:ascii="Times New Roman" w:hAnsi="Times New Roman" w:cs="Times New Roman"/>
              </w:rPr>
            </w:pPr>
            <w:r>
              <w:rPr>
                <w:rFonts w:ascii="Times New Roman" w:hAnsi="Times New Roman" w:cs="Times New Roman"/>
              </w:rPr>
              <w:t>Lake Washington Control – St. Edward State Park</w:t>
            </w:r>
          </w:p>
        </w:tc>
        <w:tc>
          <w:tcPr>
            <w:tcW w:w="1080" w:type="dxa"/>
          </w:tcPr>
          <w:p w14:paraId="509D8AC1" w14:textId="77777777" w:rsidR="00A665CD" w:rsidRPr="00705C12" w:rsidRDefault="00A665CD" w:rsidP="00A665CD">
            <w:pPr>
              <w:rPr>
                <w:rFonts w:ascii="Times New Roman" w:hAnsi="Times New Roman" w:cs="Times New Roman"/>
              </w:rPr>
            </w:pPr>
            <w:r>
              <w:rPr>
                <w:rFonts w:ascii="Times New Roman" w:hAnsi="Times New Roman" w:cs="Times New Roman"/>
              </w:rPr>
              <w:t>47.731 N</w:t>
            </w:r>
          </w:p>
        </w:tc>
        <w:tc>
          <w:tcPr>
            <w:tcW w:w="1350" w:type="dxa"/>
          </w:tcPr>
          <w:p w14:paraId="46E0E3E8" w14:textId="77777777" w:rsidR="00A665CD" w:rsidRPr="00705C12" w:rsidRDefault="00A665CD" w:rsidP="00A665CD">
            <w:pPr>
              <w:rPr>
                <w:rFonts w:ascii="Times New Roman" w:hAnsi="Times New Roman" w:cs="Times New Roman"/>
              </w:rPr>
            </w:pPr>
            <w:r>
              <w:rPr>
                <w:rFonts w:ascii="Times New Roman" w:hAnsi="Times New Roman" w:cs="Times New Roman"/>
              </w:rPr>
              <w:t>122.265 W</w:t>
            </w:r>
          </w:p>
        </w:tc>
        <w:tc>
          <w:tcPr>
            <w:tcW w:w="1710" w:type="dxa"/>
          </w:tcPr>
          <w:p w14:paraId="3C94144C" w14:textId="77777777" w:rsidR="00A665CD" w:rsidRPr="00705C12" w:rsidRDefault="00A665CD" w:rsidP="00A665CD">
            <w:pPr>
              <w:rPr>
                <w:rFonts w:ascii="Times New Roman" w:hAnsi="Times New Roman" w:cs="Times New Roman"/>
              </w:rPr>
            </w:pPr>
            <w:r>
              <w:rPr>
                <w:rFonts w:ascii="Times New Roman" w:hAnsi="Times New Roman" w:cs="Times New Roman"/>
              </w:rPr>
              <w:t>20 m</w:t>
            </w:r>
          </w:p>
        </w:tc>
      </w:tr>
      <w:tr w:rsidR="00A665CD" w14:paraId="5170EBAA" w14:textId="77777777" w:rsidTr="00945AF4">
        <w:tc>
          <w:tcPr>
            <w:tcW w:w="892" w:type="dxa"/>
          </w:tcPr>
          <w:p w14:paraId="59CB786A" w14:textId="77777777" w:rsidR="00A665CD" w:rsidRPr="00705C12" w:rsidRDefault="00A665CD" w:rsidP="00A665CD">
            <w:pPr>
              <w:rPr>
                <w:rFonts w:ascii="Times New Roman" w:hAnsi="Times New Roman" w:cs="Times New Roman"/>
              </w:rPr>
            </w:pPr>
            <w:r>
              <w:rPr>
                <w:rFonts w:ascii="Times New Roman" w:hAnsi="Times New Roman" w:cs="Times New Roman"/>
              </w:rPr>
              <w:t>AM02</w:t>
            </w:r>
          </w:p>
        </w:tc>
        <w:tc>
          <w:tcPr>
            <w:tcW w:w="4683" w:type="dxa"/>
          </w:tcPr>
          <w:p w14:paraId="6DD76AF9" w14:textId="77777777" w:rsidR="00A665CD" w:rsidRPr="00705C12" w:rsidRDefault="00A665CD" w:rsidP="00A665CD">
            <w:pPr>
              <w:rPr>
                <w:rFonts w:ascii="Times New Roman" w:hAnsi="Times New Roman" w:cs="Times New Roman"/>
              </w:rPr>
            </w:pPr>
            <w:r>
              <w:rPr>
                <w:rFonts w:ascii="Times New Roman" w:hAnsi="Times New Roman" w:cs="Times New Roman"/>
              </w:rPr>
              <w:t>Lake W. NW 520 Bridge</w:t>
            </w:r>
          </w:p>
        </w:tc>
        <w:tc>
          <w:tcPr>
            <w:tcW w:w="1080" w:type="dxa"/>
          </w:tcPr>
          <w:p w14:paraId="7C2FC4F2" w14:textId="77777777" w:rsidR="00A665CD" w:rsidRPr="00705C12" w:rsidRDefault="00A665CD" w:rsidP="00A665CD">
            <w:pPr>
              <w:rPr>
                <w:rFonts w:ascii="Times New Roman" w:hAnsi="Times New Roman" w:cs="Times New Roman"/>
              </w:rPr>
            </w:pPr>
            <w:r>
              <w:rPr>
                <w:rFonts w:ascii="Times New Roman" w:hAnsi="Times New Roman" w:cs="Times New Roman"/>
              </w:rPr>
              <w:t>47.642 N</w:t>
            </w:r>
          </w:p>
        </w:tc>
        <w:tc>
          <w:tcPr>
            <w:tcW w:w="1350" w:type="dxa"/>
          </w:tcPr>
          <w:p w14:paraId="4FA366BB" w14:textId="77777777" w:rsidR="00A665CD" w:rsidRPr="00705C12" w:rsidRDefault="00A665CD" w:rsidP="00A665CD">
            <w:pPr>
              <w:rPr>
                <w:rFonts w:ascii="Times New Roman" w:hAnsi="Times New Roman" w:cs="Times New Roman"/>
              </w:rPr>
            </w:pPr>
            <w:r>
              <w:rPr>
                <w:rFonts w:ascii="Times New Roman" w:hAnsi="Times New Roman" w:cs="Times New Roman"/>
              </w:rPr>
              <w:t>122.274 W</w:t>
            </w:r>
          </w:p>
        </w:tc>
        <w:tc>
          <w:tcPr>
            <w:tcW w:w="1710" w:type="dxa"/>
          </w:tcPr>
          <w:p w14:paraId="4AA906A6" w14:textId="77777777" w:rsidR="00A665CD" w:rsidRPr="00705C12" w:rsidRDefault="00A665CD" w:rsidP="00A665CD">
            <w:pPr>
              <w:rPr>
                <w:rFonts w:ascii="Times New Roman" w:hAnsi="Times New Roman" w:cs="Times New Roman"/>
              </w:rPr>
            </w:pPr>
            <w:r>
              <w:rPr>
                <w:rFonts w:ascii="Times New Roman" w:hAnsi="Times New Roman" w:cs="Times New Roman"/>
              </w:rPr>
              <w:t>57 m</w:t>
            </w:r>
          </w:p>
        </w:tc>
      </w:tr>
      <w:tr w:rsidR="00A665CD" w14:paraId="0C800B1F" w14:textId="77777777" w:rsidTr="00945AF4">
        <w:tc>
          <w:tcPr>
            <w:tcW w:w="892" w:type="dxa"/>
          </w:tcPr>
          <w:p w14:paraId="740DBF08" w14:textId="77777777" w:rsidR="00A665CD" w:rsidRPr="00705C12" w:rsidRDefault="00A665CD" w:rsidP="00A665CD">
            <w:pPr>
              <w:rPr>
                <w:rFonts w:ascii="Times New Roman" w:hAnsi="Times New Roman" w:cs="Times New Roman"/>
              </w:rPr>
            </w:pPr>
            <w:r>
              <w:rPr>
                <w:rFonts w:ascii="Times New Roman" w:hAnsi="Times New Roman" w:cs="Times New Roman"/>
              </w:rPr>
              <w:t>SB02</w:t>
            </w:r>
          </w:p>
        </w:tc>
        <w:tc>
          <w:tcPr>
            <w:tcW w:w="4683" w:type="dxa"/>
          </w:tcPr>
          <w:p w14:paraId="4E6693C9" w14:textId="77777777" w:rsidR="00A665CD" w:rsidRPr="00705C12" w:rsidRDefault="00A665CD" w:rsidP="00A665CD">
            <w:pPr>
              <w:rPr>
                <w:rFonts w:ascii="Times New Roman" w:hAnsi="Times New Roman" w:cs="Times New Roman"/>
              </w:rPr>
            </w:pPr>
            <w:r>
              <w:rPr>
                <w:rFonts w:ascii="Times New Roman" w:hAnsi="Times New Roman" w:cs="Times New Roman"/>
              </w:rPr>
              <w:t>Lake W. SE 520 Bridge</w:t>
            </w:r>
          </w:p>
        </w:tc>
        <w:tc>
          <w:tcPr>
            <w:tcW w:w="1080" w:type="dxa"/>
          </w:tcPr>
          <w:p w14:paraId="504065DA" w14:textId="77777777" w:rsidR="00A665CD" w:rsidRPr="00705C12" w:rsidRDefault="00A665CD" w:rsidP="00A665CD">
            <w:pPr>
              <w:rPr>
                <w:rFonts w:ascii="Times New Roman" w:hAnsi="Times New Roman" w:cs="Times New Roman"/>
              </w:rPr>
            </w:pPr>
            <w:r>
              <w:rPr>
                <w:rFonts w:ascii="Times New Roman" w:hAnsi="Times New Roman" w:cs="Times New Roman"/>
              </w:rPr>
              <w:t>47.635 N</w:t>
            </w:r>
          </w:p>
        </w:tc>
        <w:tc>
          <w:tcPr>
            <w:tcW w:w="1350" w:type="dxa"/>
          </w:tcPr>
          <w:p w14:paraId="5190423F" w14:textId="77777777" w:rsidR="00A665CD" w:rsidRPr="00705C12" w:rsidRDefault="00A665CD" w:rsidP="00A665CD">
            <w:pPr>
              <w:rPr>
                <w:rFonts w:ascii="Times New Roman" w:hAnsi="Times New Roman" w:cs="Times New Roman"/>
              </w:rPr>
            </w:pPr>
            <w:r>
              <w:rPr>
                <w:rFonts w:ascii="Times New Roman" w:hAnsi="Times New Roman" w:cs="Times New Roman"/>
              </w:rPr>
              <w:t>122.246 W</w:t>
            </w:r>
          </w:p>
        </w:tc>
        <w:tc>
          <w:tcPr>
            <w:tcW w:w="1710" w:type="dxa"/>
          </w:tcPr>
          <w:p w14:paraId="264A53DD" w14:textId="77777777" w:rsidR="00A665CD" w:rsidRPr="00705C12" w:rsidRDefault="00A665CD" w:rsidP="00A665CD">
            <w:pPr>
              <w:rPr>
                <w:rFonts w:ascii="Times New Roman" w:hAnsi="Times New Roman" w:cs="Times New Roman"/>
              </w:rPr>
            </w:pPr>
            <w:r>
              <w:rPr>
                <w:rFonts w:ascii="Times New Roman" w:hAnsi="Times New Roman" w:cs="Times New Roman"/>
              </w:rPr>
              <w:t>37 m</w:t>
            </w:r>
          </w:p>
        </w:tc>
      </w:tr>
      <w:tr w:rsidR="00A665CD" w14:paraId="4A9BA935" w14:textId="77777777" w:rsidTr="00945AF4">
        <w:tc>
          <w:tcPr>
            <w:tcW w:w="892" w:type="dxa"/>
          </w:tcPr>
          <w:p w14:paraId="273762D4" w14:textId="77777777" w:rsidR="00A665CD" w:rsidRPr="00705C12" w:rsidRDefault="00A665CD" w:rsidP="00A665CD">
            <w:pPr>
              <w:rPr>
                <w:rFonts w:ascii="Times New Roman" w:hAnsi="Times New Roman" w:cs="Times New Roman"/>
              </w:rPr>
            </w:pPr>
            <w:r>
              <w:rPr>
                <w:rFonts w:ascii="Times New Roman" w:hAnsi="Times New Roman" w:cs="Times New Roman"/>
              </w:rPr>
              <w:t>AM04</w:t>
            </w:r>
          </w:p>
        </w:tc>
        <w:tc>
          <w:tcPr>
            <w:tcW w:w="4683" w:type="dxa"/>
          </w:tcPr>
          <w:p w14:paraId="12D72C32" w14:textId="77777777" w:rsidR="00A665CD" w:rsidRPr="00705C12" w:rsidRDefault="00A665CD" w:rsidP="00A665CD">
            <w:pPr>
              <w:rPr>
                <w:rFonts w:ascii="Times New Roman" w:hAnsi="Times New Roman" w:cs="Times New Roman"/>
              </w:rPr>
            </w:pPr>
            <w:r>
              <w:rPr>
                <w:rFonts w:ascii="Times New Roman" w:hAnsi="Times New Roman" w:cs="Times New Roman"/>
              </w:rPr>
              <w:t>Shipping Canal – under I-99</w:t>
            </w:r>
          </w:p>
        </w:tc>
        <w:tc>
          <w:tcPr>
            <w:tcW w:w="1080" w:type="dxa"/>
          </w:tcPr>
          <w:p w14:paraId="63C73116" w14:textId="77777777" w:rsidR="00A665CD" w:rsidRPr="00705C12" w:rsidRDefault="00A665CD" w:rsidP="00A665CD">
            <w:pPr>
              <w:rPr>
                <w:rFonts w:ascii="Times New Roman" w:hAnsi="Times New Roman" w:cs="Times New Roman"/>
              </w:rPr>
            </w:pPr>
            <w:r>
              <w:rPr>
                <w:rFonts w:ascii="Times New Roman" w:hAnsi="Times New Roman" w:cs="Times New Roman"/>
              </w:rPr>
              <w:t>47.647 N</w:t>
            </w:r>
          </w:p>
        </w:tc>
        <w:tc>
          <w:tcPr>
            <w:tcW w:w="1350" w:type="dxa"/>
          </w:tcPr>
          <w:p w14:paraId="6BB2F84C" w14:textId="77777777" w:rsidR="00A665CD" w:rsidRPr="00705C12" w:rsidRDefault="00A665CD" w:rsidP="00A665CD">
            <w:pPr>
              <w:rPr>
                <w:rFonts w:ascii="Times New Roman" w:hAnsi="Times New Roman" w:cs="Times New Roman"/>
              </w:rPr>
            </w:pPr>
            <w:r>
              <w:rPr>
                <w:rFonts w:ascii="Times New Roman" w:hAnsi="Times New Roman" w:cs="Times New Roman"/>
              </w:rPr>
              <w:t>122.347 W</w:t>
            </w:r>
          </w:p>
        </w:tc>
        <w:tc>
          <w:tcPr>
            <w:tcW w:w="1710" w:type="dxa"/>
          </w:tcPr>
          <w:p w14:paraId="4BEC7D9C" w14:textId="77777777" w:rsidR="00A665CD" w:rsidRPr="00705C12" w:rsidRDefault="00A665CD" w:rsidP="00A665CD">
            <w:pPr>
              <w:rPr>
                <w:rFonts w:ascii="Times New Roman" w:hAnsi="Times New Roman" w:cs="Times New Roman"/>
              </w:rPr>
            </w:pPr>
            <w:r>
              <w:rPr>
                <w:rFonts w:ascii="Times New Roman" w:hAnsi="Times New Roman" w:cs="Times New Roman"/>
              </w:rPr>
              <w:t>12 m</w:t>
            </w:r>
          </w:p>
        </w:tc>
      </w:tr>
      <w:tr w:rsidR="00A665CD" w14:paraId="4B187BC7" w14:textId="77777777" w:rsidTr="00945AF4">
        <w:tc>
          <w:tcPr>
            <w:tcW w:w="892" w:type="dxa"/>
          </w:tcPr>
          <w:p w14:paraId="50B7206F" w14:textId="77777777" w:rsidR="00A665CD" w:rsidRPr="00705C12" w:rsidRDefault="00A665CD" w:rsidP="00A665CD">
            <w:pPr>
              <w:rPr>
                <w:rFonts w:ascii="Times New Roman" w:hAnsi="Times New Roman" w:cs="Times New Roman"/>
              </w:rPr>
            </w:pPr>
            <w:r>
              <w:rPr>
                <w:rFonts w:ascii="Times New Roman" w:hAnsi="Times New Roman" w:cs="Times New Roman"/>
              </w:rPr>
              <w:t>AM05</w:t>
            </w:r>
          </w:p>
        </w:tc>
        <w:tc>
          <w:tcPr>
            <w:tcW w:w="4683" w:type="dxa"/>
          </w:tcPr>
          <w:p w14:paraId="1C64156C" w14:textId="77777777" w:rsidR="00A665CD" w:rsidRPr="00705C12" w:rsidRDefault="00A665CD" w:rsidP="00A665CD">
            <w:pPr>
              <w:rPr>
                <w:rFonts w:ascii="Times New Roman" w:hAnsi="Times New Roman" w:cs="Times New Roman"/>
              </w:rPr>
            </w:pPr>
            <w:r>
              <w:rPr>
                <w:rFonts w:ascii="Times New Roman" w:hAnsi="Times New Roman" w:cs="Times New Roman"/>
              </w:rPr>
              <w:t>South Sound – Nisqually R. Delta</w:t>
            </w:r>
          </w:p>
        </w:tc>
        <w:tc>
          <w:tcPr>
            <w:tcW w:w="1080" w:type="dxa"/>
          </w:tcPr>
          <w:p w14:paraId="46969492" w14:textId="77777777" w:rsidR="00A665CD" w:rsidRPr="00705C12" w:rsidRDefault="00A665CD" w:rsidP="00A665CD">
            <w:pPr>
              <w:rPr>
                <w:rFonts w:ascii="Times New Roman" w:hAnsi="Times New Roman" w:cs="Times New Roman"/>
              </w:rPr>
            </w:pPr>
            <w:r>
              <w:rPr>
                <w:rFonts w:ascii="Times New Roman" w:hAnsi="Times New Roman" w:cs="Times New Roman"/>
              </w:rPr>
              <w:t>47.109 N</w:t>
            </w:r>
          </w:p>
        </w:tc>
        <w:tc>
          <w:tcPr>
            <w:tcW w:w="1350" w:type="dxa"/>
          </w:tcPr>
          <w:p w14:paraId="19CE71B2" w14:textId="77777777" w:rsidR="00A665CD" w:rsidRPr="00705C12" w:rsidRDefault="00A665CD" w:rsidP="00A665CD">
            <w:pPr>
              <w:rPr>
                <w:rFonts w:ascii="Times New Roman" w:hAnsi="Times New Roman" w:cs="Times New Roman"/>
              </w:rPr>
            </w:pPr>
            <w:r>
              <w:rPr>
                <w:rFonts w:ascii="Times New Roman" w:hAnsi="Times New Roman" w:cs="Times New Roman"/>
              </w:rPr>
              <w:t>122.704 W</w:t>
            </w:r>
          </w:p>
        </w:tc>
        <w:tc>
          <w:tcPr>
            <w:tcW w:w="1710" w:type="dxa"/>
          </w:tcPr>
          <w:p w14:paraId="1FEC662C" w14:textId="77777777" w:rsidR="00A665CD" w:rsidRPr="00705C12" w:rsidRDefault="00A665CD" w:rsidP="00A665CD">
            <w:pPr>
              <w:rPr>
                <w:rFonts w:ascii="Times New Roman" w:hAnsi="Times New Roman" w:cs="Times New Roman"/>
              </w:rPr>
            </w:pPr>
            <w:r>
              <w:rPr>
                <w:rFonts w:ascii="Times New Roman" w:hAnsi="Times New Roman" w:cs="Times New Roman"/>
              </w:rPr>
              <w:t>29 m</w:t>
            </w:r>
          </w:p>
        </w:tc>
      </w:tr>
      <w:tr w:rsidR="00A665CD" w14:paraId="7F544B61" w14:textId="77777777" w:rsidTr="00945AF4">
        <w:tc>
          <w:tcPr>
            <w:tcW w:w="892" w:type="dxa"/>
          </w:tcPr>
          <w:p w14:paraId="05515A50" w14:textId="77777777" w:rsidR="00A665CD" w:rsidRPr="00705C12" w:rsidRDefault="00A665CD" w:rsidP="00A665CD">
            <w:pPr>
              <w:rPr>
                <w:rFonts w:ascii="Times New Roman" w:hAnsi="Times New Roman" w:cs="Times New Roman"/>
              </w:rPr>
            </w:pPr>
            <w:r>
              <w:rPr>
                <w:rFonts w:ascii="Times New Roman" w:hAnsi="Times New Roman" w:cs="Times New Roman"/>
              </w:rPr>
              <w:t>AM06</w:t>
            </w:r>
          </w:p>
        </w:tc>
        <w:tc>
          <w:tcPr>
            <w:tcW w:w="4683" w:type="dxa"/>
          </w:tcPr>
          <w:p w14:paraId="1D025A73" w14:textId="77777777" w:rsidR="00A665CD" w:rsidRPr="00705C12" w:rsidRDefault="00A665CD" w:rsidP="00A665CD">
            <w:pPr>
              <w:rPr>
                <w:rFonts w:ascii="Times New Roman" w:hAnsi="Times New Roman" w:cs="Times New Roman"/>
              </w:rPr>
            </w:pPr>
            <w:r>
              <w:rPr>
                <w:rFonts w:ascii="Times New Roman" w:hAnsi="Times New Roman" w:cs="Times New Roman"/>
              </w:rPr>
              <w:t>S. Sound – Henderson Inlet</w:t>
            </w:r>
          </w:p>
        </w:tc>
        <w:tc>
          <w:tcPr>
            <w:tcW w:w="1080" w:type="dxa"/>
          </w:tcPr>
          <w:p w14:paraId="7E54A7C5" w14:textId="77777777" w:rsidR="00A665CD" w:rsidRPr="00705C12" w:rsidRDefault="00A665CD" w:rsidP="00A665CD">
            <w:pPr>
              <w:rPr>
                <w:rFonts w:ascii="Times New Roman" w:hAnsi="Times New Roman" w:cs="Times New Roman"/>
              </w:rPr>
            </w:pPr>
            <w:r>
              <w:rPr>
                <w:rFonts w:ascii="Times New Roman" w:hAnsi="Times New Roman" w:cs="Times New Roman"/>
              </w:rPr>
              <w:t>47.156 N</w:t>
            </w:r>
          </w:p>
        </w:tc>
        <w:tc>
          <w:tcPr>
            <w:tcW w:w="1350" w:type="dxa"/>
          </w:tcPr>
          <w:p w14:paraId="10B52109" w14:textId="77777777" w:rsidR="00A665CD" w:rsidRPr="00705C12" w:rsidRDefault="00A665CD" w:rsidP="00A665CD">
            <w:pPr>
              <w:rPr>
                <w:rFonts w:ascii="Times New Roman" w:hAnsi="Times New Roman" w:cs="Times New Roman"/>
              </w:rPr>
            </w:pPr>
            <w:r>
              <w:rPr>
                <w:rFonts w:ascii="Times New Roman" w:hAnsi="Times New Roman" w:cs="Times New Roman"/>
              </w:rPr>
              <w:t>122.834 W</w:t>
            </w:r>
          </w:p>
        </w:tc>
        <w:tc>
          <w:tcPr>
            <w:tcW w:w="1710" w:type="dxa"/>
          </w:tcPr>
          <w:p w14:paraId="0FC1227A" w14:textId="77777777" w:rsidR="00A665CD" w:rsidRPr="00705C12" w:rsidRDefault="00A665CD" w:rsidP="00A665CD">
            <w:pPr>
              <w:rPr>
                <w:rFonts w:ascii="Times New Roman" w:hAnsi="Times New Roman" w:cs="Times New Roman"/>
              </w:rPr>
            </w:pPr>
            <w:r>
              <w:rPr>
                <w:rFonts w:ascii="Times New Roman" w:hAnsi="Times New Roman" w:cs="Times New Roman"/>
              </w:rPr>
              <w:t>14 m</w:t>
            </w:r>
          </w:p>
        </w:tc>
      </w:tr>
      <w:tr w:rsidR="00A665CD" w14:paraId="761DAB10" w14:textId="77777777" w:rsidTr="00945AF4">
        <w:tc>
          <w:tcPr>
            <w:tcW w:w="892" w:type="dxa"/>
          </w:tcPr>
          <w:p w14:paraId="5FDCB6C2" w14:textId="77777777" w:rsidR="00A665CD" w:rsidRPr="00705C12" w:rsidRDefault="00A665CD" w:rsidP="00A665CD">
            <w:pPr>
              <w:rPr>
                <w:rFonts w:ascii="Times New Roman" w:hAnsi="Times New Roman" w:cs="Times New Roman"/>
              </w:rPr>
            </w:pPr>
            <w:r>
              <w:rPr>
                <w:rFonts w:ascii="Times New Roman" w:hAnsi="Times New Roman" w:cs="Times New Roman"/>
              </w:rPr>
              <w:t>AM07</w:t>
            </w:r>
          </w:p>
        </w:tc>
        <w:tc>
          <w:tcPr>
            <w:tcW w:w="4683" w:type="dxa"/>
          </w:tcPr>
          <w:p w14:paraId="315C0752" w14:textId="77777777" w:rsidR="00A665CD" w:rsidRPr="00705C12" w:rsidRDefault="00A665CD" w:rsidP="00A665CD">
            <w:pPr>
              <w:rPr>
                <w:rFonts w:ascii="Times New Roman" w:hAnsi="Times New Roman" w:cs="Times New Roman"/>
              </w:rPr>
            </w:pPr>
            <w:r>
              <w:rPr>
                <w:rFonts w:ascii="Times New Roman" w:hAnsi="Times New Roman" w:cs="Times New Roman"/>
              </w:rPr>
              <w:t>S. Sound – Case Inlet</w:t>
            </w:r>
          </w:p>
        </w:tc>
        <w:tc>
          <w:tcPr>
            <w:tcW w:w="1080" w:type="dxa"/>
          </w:tcPr>
          <w:p w14:paraId="32919C46" w14:textId="77777777" w:rsidR="00A665CD" w:rsidRPr="00705C12" w:rsidRDefault="00A665CD" w:rsidP="00A665CD">
            <w:pPr>
              <w:rPr>
                <w:rFonts w:ascii="Times New Roman" w:hAnsi="Times New Roman" w:cs="Times New Roman"/>
              </w:rPr>
            </w:pPr>
            <w:r>
              <w:rPr>
                <w:rFonts w:ascii="Times New Roman" w:hAnsi="Times New Roman" w:cs="Times New Roman"/>
              </w:rPr>
              <w:t>47.236 N</w:t>
            </w:r>
          </w:p>
        </w:tc>
        <w:tc>
          <w:tcPr>
            <w:tcW w:w="1350" w:type="dxa"/>
          </w:tcPr>
          <w:p w14:paraId="1724E7D9" w14:textId="77777777" w:rsidR="00A665CD" w:rsidRPr="00705C12" w:rsidRDefault="00A665CD" w:rsidP="00A665CD">
            <w:pPr>
              <w:rPr>
                <w:rFonts w:ascii="Times New Roman" w:hAnsi="Times New Roman" w:cs="Times New Roman"/>
              </w:rPr>
            </w:pPr>
            <w:r>
              <w:rPr>
                <w:rFonts w:ascii="Times New Roman" w:hAnsi="Times New Roman" w:cs="Times New Roman"/>
              </w:rPr>
              <w:t>122.847 W</w:t>
            </w:r>
          </w:p>
        </w:tc>
        <w:tc>
          <w:tcPr>
            <w:tcW w:w="1710" w:type="dxa"/>
          </w:tcPr>
          <w:p w14:paraId="7DDF2F11" w14:textId="77777777" w:rsidR="00A665CD" w:rsidRPr="00705C12" w:rsidRDefault="00A665CD" w:rsidP="00A665CD">
            <w:pPr>
              <w:rPr>
                <w:rFonts w:ascii="Times New Roman" w:hAnsi="Times New Roman" w:cs="Times New Roman"/>
              </w:rPr>
            </w:pPr>
            <w:r>
              <w:rPr>
                <w:rFonts w:ascii="Times New Roman" w:hAnsi="Times New Roman" w:cs="Times New Roman"/>
              </w:rPr>
              <w:t>80 m</w:t>
            </w:r>
          </w:p>
        </w:tc>
      </w:tr>
      <w:tr w:rsidR="00A665CD" w14:paraId="20DA552F" w14:textId="77777777" w:rsidTr="00945AF4">
        <w:tc>
          <w:tcPr>
            <w:tcW w:w="892" w:type="dxa"/>
          </w:tcPr>
          <w:p w14:paraId="6B3889CF" w14:textId="77777777" w:rsidR="00A665CD" w:rsidRPr="00705C12" w:rsidRDefault="00A665CD" w:rsidP="00A665CD">
            <w:pPr>
              <w:rPr>
                <w:rFonts w:ascii="Times New Roman" w:hAnsi="Times New Roman" w:cs="Times New Roman"/>
              </w:rPr>
            </w:pPr>
            <w:r>
              <w:rPr>
                <w:rFonts w:ascii="Times New Roman" w:hAnsi="Times New Roman" w:cs="Times New Roman"/>
              </w:rPr>
              <w:t>AM08</w:t>
            </w:r>
          </w:p>
        </w:tc>
        <w:tc>
          <w:tcPr>
            <w:tcW w:w="4683" w:type="dxa"/>
          </w:tcPr>
          <w:p w14:paraId="730BB3EC" w14:textId="77777777" w:rsidR="00A665CD" w:rsidRPr="00705C12" w:rsidRDefault="00A665CD" w:rsidP="00A665CD">
            <w:pPr>
              <w:rPr>
                <w:rFonts w:ascii="Times New Roman" w:hAnsi="Times New Roman" w:cs="Times New Roman"/>
              </w:rPr>
            </w:pPr>
            <w:r>
              <w:rPr>
                <w:rFonts w:ascii="Times New Roman" w:hAnsi="Times New Roman" w:cs="Times New Roman"/>
              </w:rPr>
              <w:t>S. Sound – Budd Inlet</w:t>
            </w:r>
          </w:p>
        </w:tc>
        <w:tc>
          <w:tcPr>
            <w:tcW w:w="1080" w:type="dxa"/>
          </w:tcPr>
          <w:p w14:paraId="230249F7" w14:textId="77777777" w:rsidR="00A665CD" w:rsidRPr="00705C12" w:rsidRDefault="00A665CD" w:rsidP="00A665CD">
            <w:pPr>
              <w:rPr>
                <w:rFonts w:ascii="Times New Roman" w:hAnsi="Times New Roman" w:cs="Times New Roman"/>
              </w:rPr>
            </w:pPr>
            <w:r>
              <w:rPr>
                <w:rFonts w:ascii="Times New Roman" w:hAnsi="Times New Roman" w:cs="Times New Roman"/>
              </w:rPr>
              <w:t>47.087 N</w:t>
            </w:r>
          </w:p>
        </w:tc>
        <w:tc>
          <w:tcPr>
            <w:tcW w:w="1350" w:type="dxa"/>
          </w:tcPr>
          <w:p w14:paraId="29DC4B7E" w14:textId="77777777" w:rsidR="00A665CD" w:rsidRPr="00705C12" w:rsidRDefault="00A665CD" w:rsidP="00A665CD">
            <w:pPr>
              <w:rPr>
                <w:rFonts w:ascii="Times New Roman" w:hAnsi="Times New Roman" w:cs="Times New Roman"/>
              </w:rPr>
            </w:pPr>
            <w:r>
              <w:rPr>
                <w:rFonts w:ascii="Times New Roman" w:hAnsi="Times New Roman" w:cs="Times New Roman"/>
              </w:rPr>
              <w:t>122.921 W</w:t>
            </w:r>
          </w:p>
        </w:tc>
        <w:tc>
          <w:tcPr>
            <w:tcW w:w="1710" w:type="dxa"/>
          </w:tcPr>
          <w:p w14:paraId="0348F48C" w14:textId="77777777" w:rsidR="00A665CD" w:rsidRPr="00705C12" w:rsidRDefault="00A665CD" w:rsidP="00A665CD">
            <w:pPr>
              <w:rPr>
                <w:rFonts w:ascii="Times New Roman" w:hAnsi="Times New Roman" w:cs="Times New Roman"/>
              </w:rPr>
            </w:pPr>
            <w:r>
              <w:rPr>
                <w:rFonts w:ascii="Times New Roman" w:hAnsi="Times New Roman" w:cs="Times New Roman"/>
              </w:rPr>
              <w:t>19 m</w:t>
            </w:r>
          </w:p>
        </w:tc>
      </w:tr>
      <w:tr w:rsidR="00A665CD" w14:paraId="514E1EF1" w14:textId="77777777" w:rsidTr="00945AF4">
        <w:tc>
          <w:tcPr>
            <w:tcW w:w="892" w:type="dxa"/>
          </w:tcPr>
          <w:p w14:paraId="7302BA00" w14:textId="77777777" w:rsidR="00A665CD" w:rsidRPr="00705C12" w:rsidRDefault="00A665CD" w:rsidP="00A665CD">
            <w:pPr>
              <w:rPr>
                <w:rFonts w:ascii="Times New Roman" w:hAnsi="Times New Roman" w:cs="Times New Roman"/>
              </w:rPr>
            </w:pPr>
            <w:r>
              <w:rPr>
                <w:rFonts w:ascii="Times New Roman" w:hAnsi="Times New Roman" w:cs="Times New Roman"/>
              </w:rPr>
              <w:t>AM09</w:t>
            </w:r>
          </w:p>
        </w:tc>
        <w:tc>
          <w:tcPr>
            <w:tcW w:w="4683" w:type="dxa"/>
          </w:tcPr>
          <w:p w14:paraId="4AA67F3F" w14:textId="77777777" w:rsidR="00A665CD" w:rsidRPr="00705C12" w:rsidRDefault="00A665CD" w:rsidP="00A665CD">
            <w:pPr>
              <w:rPr>
                <w:rFonts w:ascii="Times New Roman" w:hAnsi="Times New Roman" w:cs="Times New Roman"/>
              </w:rPr>
            </w:pPr>
            <w:r>
              <w:rPr>
                <w:rFonts w:ascii="Times New Roman" w:hAnsi="Times New Roman" w:cs="Times New Roman"/>
              </w:rPr>
              <w:t>Lake W. I-90 &amp; Mercer Is.</w:t>
            </w:r>
          </w:p>
        </w:tc>
        <w:tc>
          <w:tcPr>
            <w:tcW w:w="1080" w:type="dxa"/>
          </w:tcPr>
          <w:p w14:paraId="706C676E" w14:textId="77777777" w:rsidR="00A665CD" w:rsidRPr="00705C12" w:rsidRDefault="00A665CD" w:rsidP="00A665CD">
            <w:pPr>
              <w:rPr>
                <w:rFonts w:ascii="Times New Roman" w:hAnsi="Times New Roman" w:cs="Times New Roman"/>
              </w:rPr>
            </w:pPr>
            <w:r>
              <w:rPr>
                <w:rFonts w:ascii="Times New Roman" w:hAnsi="Times New Roman" w:cs="Times New Roman"/>
              </w:rPr>
              <w:t>47.580 N</w:t>
            </w:r>
          </w:p>
        </w:tc>
        <w:tc>
          <w:tcPr>
            <w:tcW w:w="1350" w:type="dxa"/>
          </w:tcPr>
          <w:p w14:paraId="09C8D51C" w14:textId="77777777" w:rsidR="00A665CD" w:rsidRPr="00705C12" w:rsidRDefault="00A665CD" w:rsidP="00A665CD">
            <w:pPr>
              <w:rPr>
                <w:rFonts w:ascii="Times New Roman" w:hAnsi="Times New Roman" w:cs="Times New Roman"/>
              </w:rPr>
            </w:pPr>
            <w:r>
              <w:rPr>
                <w:rFonts w:ascii="Times New Roman" w:hAnsi="Times New Roman" w:cs="Times New Roman"/>
              </w:rPr>
              <w:t>122.201 W</w:t>
            </w:r>
          </w:p>
        </w:tc>
        <w:tc>
          <w:tcPr>
            <w:tcW w:w="1710" w:type="dxa"/>
          </w:tcPr>
          <w:p w14:paraId="78A4473E" w14:textId="77777777" w:rsidR="00A665CD" w:rsidRPr="00705C12" w:rsidRDefault="00A665CD" w:rsidP="00A665CD">
            <w:pPr>
              <w:rPr>
                <w:rFonts w:ascii="Times New Roman" w:hAnsi="Times New Roman" w:cs="Times New Roman"/>
              </w:rPr>
            </w:pPr>
            <w:r>
              <w:rPr>
                <w:rFonts w:ascii="Times New Roman" w:hAnsi="Times New Roman" w:cs="Times New Roman"/>
              </w:rPr>
              <w:t>12 m</w:t>
            </w:r>
          </w:p>
        </w:tc>
      </w:tr>
    </w:tbl>
    <w:p w14:paraId="5F8A4D80" w14:textId="77777777" w:rsidR="003957F5" w:rsidRDefault="003957F5" w:rsidP="00AA620B">
      <w:pPr>
        <w:ind w:left="-720" w:right="-720"/>
        <w:jc w:val="center"/>
      </w:pPr>
    </w:p>
    <w:p w14:paraId="3D05E27C" w14:textId="77777777" w:rsidR="00AA620B" w:rsidRDefault="00AA620B" w:rsidP="00AA620B">
      <w:pPr>
        <w:ind w:left="-720" w:right="-720"/>
        <w:jc w:val="center"/>
      </w:pPr>
      <w:r>
        <w:rPr>
          <w:noProof/>
        </w:rPr>
        <w:lastRenderedPageBreak/>
        <mc:AlternateContent>
          <mc:Choice Requires="wps">
            <w:drawing>
              <wp:anchor distT="0" distB="0" distL="114300" distR="114300" simplePos="0" relativeHeight="251663360" behindDoc="0" locked="0" layoutInCell="1" allowOverlap="1" wp14:anchorId="08D4A1EE" wp14:editId="6054EA98">
                <wp:simplePos x="0" y="0"/>
                <wp:positionH relativeFrom="column">
                  <wp:posOffset>4692580</wp:posOffset>
                </wp:positionH>
                <wp:positionV relativeFrom="paragraph">
                  <wp:posOffset>338503</wp:posOffset>
                </wp:positionV>
                <wp:extent cx="1182245" cy="5245239"/>
                <wp:effectExtent l="0" t="0" r="37465" b="31750"/>
                <wp:wrapNone/>
                <wp:docPr id="13" name="Straight Connector 13"/>
                <wp:cNvGraphicFramePr/>
                <a:graphic xmlns:a="http://schemas.openxmlformats.org/drawingml/2006/main">
                  <a:graphicData uri="http://schemas.microsoft.com/office/word/2010/wordprocessingShape">
                    <wps:wsp>
                      <wps:cNvCnPr/>
                      <wps:spPr>
                        <a:xfrm>
                          <a:off x="0" y="0"/>
                          <a:ext cx="1182245" cy="5245239"/>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FA7971" id="Straight Connector 1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5pt,26.65pt" to="462.6pt,4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" strokecolor="black [3213]">
                <v:stroke dashstyle="dash" joinstyle="miter"/>
              </v:line>
            </w:pict>
          </mc:Fallback>
        </mc:AlternateContent>
      </w:r>
      <w:r>
        <w:rPr>
          <w:noProof/>
        </w:rPr>
        <mc:AlternateContent>
          <mc:Choice Requires="wps">
            <w:drawing>
              <wp:anchor distT="0" distB="0" distL="114300" distR="114300" simplePos="0" relativeHeight="251661312" behindDoc="0" locked="0" layoutInCell="1" allowOverlap="1" wp14:anchorId="34B8BFD5" wp14:editId="2EA41676">
                <wp:simplePos x="0" y="0"/>
                <wp:positionH relativeFrom="column">
                  <wp:posOffset>4692580</wp:posOffset>
                </wp:positionH>
                <wp:positionV relativeFrom="paragraph">
                  <wp:posOffset>1659862</wp:posOffset>
                </wp:positionV>
                <wp:extent cx="668216" cy="3923107"/>
                <wp:effectExtent l="0" t="0" r="36830" b="20320"/>
                <wp:wrapNone/>
                <wp:docPr id="12" name="Straight Connector 12"/>
                <wp:cNvGraphicFramePr/>
                <a:graphic xmlns:a="http://schemas.openxmlformats.org/drawingml/2006/main">
                  <a:graphicData uri="http://schemas.microsoft.com/office/word/2010/wordprocessingShape">
                    <wps:wsp>
                      <wps:cNvCnPr/>
                      <wps:spPr>
                        <a:xfrm>
                          <a:off x="0" y="0"/>
                          <a:ext cx="668216" cy="3923107"/>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89324C" id="Straight Connector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5pt,130.7pt" to="422.1pt,4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" strokecolor="black [3213]">
                <v:stroke dashstyle="dash" joinstyle="miter"/>
              </v:line>
            </w:pict>
          </mc:Fallback>
        </mc:AlternateContent>
      </w:r>
      <w:r>
        <w:rPr>
          <w:noProof/>
        </w:rPr>
        <mc:AlternateContent>
          <mc:Choice Requires="wps">
            <w:drawing>
              <wp:anchor distT="0" distB="0" distL="114300" distR="114300" simplePos="0" relativeHeight="251667456" behindDoc="0" locked="0" layoutInCell="1" allowOverlap="1" wp14:anchorId="67FE7CAA" wp14:editId="290170C2">
                <wp:simplePos x="0" y="0"/>
                <wp:positionH relativeFrom="column">
                  <wp:posOffset>3446585</wp:posOffset>
                </wp:positionH>
                <wp:positionV relativeFrom="paragraph">
                  <wp:posOffset>338505</wp:posOffset>
                </wp:positionV>
                <wp:extent cx="306474" cy="5244674"/>
                <wp:effectExtent l="0" t="0" r="36830" b="32385"/>
                <wp:wrapNone/>
                <wp:docPr id="15" name="Straight Connector 15"/>
                <wp:cNvGraphicFramePr/>
                <a:graphic xmlns:a="http://schemas.openxmlformats.org/drawingml/2006/main">
                  <a:graphicData uri="http://schemas.microsoft.com/office/word/2010/wordprocessingShape">
                    <wps:wsp>
                      <wps:cNvCnPr/>
                      <wps:spPr>
                        <a:xfrm flipH="1">
                          <a:off x="0" y="0"/>
                          <a:ext cx="306474" cy="5244674"/>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484DC2" id="Straight Connector 15"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4pt,26.65pt" to="295.55pt,4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" strokecolor="black [3213]">
                <v:stroke dashstyle="dash" joinstyle="miter"/>
              </v:line>
            </w:pict>
          </mc:Fallback>
        </mc:AlternateContent>
      </w:r>
      <w:r>
        <w:rPr>
          <w:noProof/>
        </w:rPr>
        <mc:AlternateContent>
          <mc:Choice Requires="wps">
            <w:drawing>
              <wp:anchor distT="0" distB="0" distL="114300" distR="114300" simplePos="0" relativeHeight="251665408" behindDoc="0" locked="0" layoutInCell="1" allowOverlap="1" wp14:anchorId="374F84A4" wp14:editId="00A049F8">
                <wp:simplePos x="0" y="0"/>
                <wp:positionH relativeFrom="column">
                  <wp:posOffset>3582237</wp:posOffset>
                </wp:positionH>
                <wp:positionV relativeFrom="paragraph">
                  <wp:posOffset>1654838</wp:posOffset>
                </wp:positionV>
                <wp:extent cx="170822" cy="3928905"/>
                <wp:effectExtent l="0" t="0" r="19685" b="33655"/>
                <wp:wrapNone/>
                <wp:docPr id="14" name="Straight Connector 14"/>
                <wp:cNvGraphicFramePr/>
                <a:graphic xmlns:a="http://schemas.openxmlformats.org/drawingml/2006/main">
                  <a:graphicData uri="http://schemas.microsoft.com/office/word/2010/wordprocessingShape">
                    <wps:wsp>
                      <wps:cNvCnPr/>
                      <wps:spPr>
                        <a:xfrm flipH="1">
                          <a:off x="0" y="0"/>
                          <a:ext cx="170822" cy="3928905"/>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271EC0" id="Straight Connector 14"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05pt,130.3pt" to="295.5pt,4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" strokecolor="black [3213]">
                <v:stroke dashstyle="dash" joinstyle="miter"/>
              </v:line>
            </w:pict>
          </mc:Fallback>
        </mc:AlternateContent>
      </w:r>
      <w:r>
        <w:rPr>
          <w:noProof/>
        </w:rPr>
        <mc:AlternateContent>
          <mc:Choice Requires="wps">
            <w:drawing>
              <wp:anchor distT="0" distB="0" distL="114300" distR="114300" simplePos="0" relativeHeight="251657216" behindDoc="0" locked="0" layoutInCell="1" allowOverlap="1" wp14:anchorId="20426006" wp14:editId="2D6A911C">
                <wp:simplePos x="0" y="0"/>
                <wp:positionH relativeFrom="column">
                  <wp:posOffset>2296048</wp:posOffset>
                </wp:positionH>
                <wp:positionV relativeFrom="paragraph">
                  <wp:posOffset>4960746</wp:posOffset>
                </wp:positionV>
                <wp:extent cx="160774" cy="643094"/>
                <wp:effectExtent l="0" t="0" r="29845" b="5080"/>
                <wp:wrapNone/>
                <wp:docPr id="10" name="Straight Connector 10"/>
                <wp:cNvGraphicFramePr/>
                <a:graphic xmlns:a="http://schemas.openxmlformats.org/drawingml/2006/main">
                  <a:graphicData uri="http://schemas.microsoft.com/office/word/2010/wordprocessingShape">
                    <wps:wsp>
                      <wps:cNvCnPr/>
                      <wps:spPr>
                        <a:xfrm>
                          <a:off x="0" y="0"/>
                          <a:ext cx="160774" cy="643094"/>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F5DED1" id="Straight Connector 10"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8pt,390.6pt" to="193.45pt,4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" strokecolor="black [3213]">
                <v:stroke dashstyle="dash" joinstyle="miter"/>
              </v:line>
            </w:pict>
          </mc:Fallback>
        </mc:AlternateContent>
      </w:r>
      <w:r>
        <w:rPr>
          <w:noProof/>
        </w:rPr>
        <mc:AlternateContent>
          <mc:Choice Requires="wps">
            <w:drawing>
              <wp:anchor distT="0" distB="0" distL="114300" distR="114300" simplePos="0" relativeHeight="251659264" behindDoc="0" locked="0" layoutInCell="1" allowOverlap="1" wp14:anchorId="6C4DB6B9" wp14:editId="7C67CDB4">
                <wp:simplePos x="0" y="0"/>
                <wp:positionH relativeFrom="column">
                  <wp:posOffset>2296048</wp:posOffset>
                </wp:positionH>
                <wp:positionV relativeFrom="paragraph">
                  <wp:posOffset>3704702</wp:posOffset>
                </wp:positionV>
                <wp:extent cx="956422" cy="1898029"/>
                <wp:effectExtent l="0" t="0" r="34290" b="26035"/>
                <wp:wrapNone/>
                <wp:docPr id="11" name="Straight Connector 11"/>
                <wp:cNvGraphicFramePr/>
                <a:graphic xmlns:a="http://schemas.openxmlformats.org/drawingml/2006/main">
                  <a:graphicData uri="http://schemas.microsoft.com/office/word/2010/wordprocessingShape">
                    <wps:wsp>
                      <wps:cNvCnPr/>
                      <wps:spPr>
                        <a:xfrm>
                          <a:off x="0" y="0"/>
                          <a:ext cx="956422" cy="1898029"/>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F62C12" id="Straight Connector 1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8pt,291.7pt" to="256.1pt,4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" strokecolor="black [3213]">
                <v:stroke dashstyle="dash" joinstyle="miter"/>
              </v:line>
            </w:pict>
          </mc:Fallback>
        </mc:AlternateContent>
      </w:r>
      <w:r>
        <w:rPr>
          <w:noProof/>
        </w:rPr>
        <mc:AlternateContent>
          <mc:Choice Requires="wps">
            <w:drawing>
              <wp:anchor distT="0" distB="0" distL="114300" distR="114300" simplePos="0" relativeHeight="251655168" behindDoc="0" locked="0" layoutInCell="1" allowOverlap="1" wp14:anchorId="354B699A" wp14:editId="291F127D">
                <wp:simplePos x="0" y="0"/>
                <wp:positionH relativeFrom="column">
                  <wp:posOffset>909375</wp:posOffset>
                </wp:positionH>
                <wp:positionV relativeFrom="paragraph">
                  <wp:posOffset>4960746</wp:posOffset>
                </wp:positionV>
                <wp:extent cx="185734" cy="643094"/>
                <wp:effectExtent l="0" t="0" r="24130" b="24130"/>
                <wp:wrapNone/>
                <wp:docPr id="9" name="Straight Connector 9"/>
                <wp:cNvGraphicFramePr/>
                <a:graphic xmlns:a="http://schemas.openxmlformats.org/drawingml/2006/main">
                  <a:graphicData uri="http://schemas.microsoft.com/office/word/2010/wordprocessingShape">
                    <wps:wsp>
                      <wps:cNvCnPr/>
                      <wps:spPr>
                        <a:xfrm flipH="1">
                          <a:off x="0" y="0"/>
                          <a:ext cx="185734" cy="643094"/>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B44A52" id="Straight Connector 9" o:spid="_x0000_s1026" style="position:absolute;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6pt,390.6pt" to="86.2pt,4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" strokecolor="black [3213]">
                <v:stroke dashstyle="dash" joinstyle="miter"/>
              </v:line>
            </w:pict>
          </mc:Fallback>
        </mc:AlternateContent>
      </w:r>
      <w:r>
        <w:rPr>
          <w:noProof/>
        </w:rPr>
        <mc:AlternateContent>
          <mc:Choice Requires="wps">
            <w:drawing>
              <wp:anchor distT="0" distB="0" distL="114300" distR="114300" simplePos="0" relativeHeight="251653120" behindDoc="0" locked="0" layoutInCell="1" allowOverlap="1" wp14:anchorId="2814FB36" wp14:editId="47F60A21">
                <wp:simplePos x="0" y="0"/>
                <wp:positionH relativeFrom="column">
                  <wp:posOffset>0</wp:posOffset>
                </wp:positionH>
                <wp:positionV relativeFrom="paragraph">
                  <wp:posOffset>3704702</wp:posOffset>
                </wp:positionV>
                <wp:extent cx="1095270" cy="1899138"/>
                <wp:effectExtent l="0" t="0" r="29210" b="25400"/>
                <wp:wrapNone/>
                <wp:docPr id="8" name="Straight Connector 8"/>
                <wp:cNvGraphicFramePr/>
                <a:graphic xmlns:a="http://schemas.openxmlformats.org/drawingml/2006/main">
                  <a:graphicData uri="http://schemas.microsoft.com/office/word/2010/wordprocessingShape">
                    <wps:wsp>
                      <wps:cNvCnPr/>
                      <wps:spPr>
                        <a:xfrm flipH="1">
                          <a:off x="0" y="0"/>
                          <a:ext cx="1095270" cy="1899138"/>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509C107" id="Straight Connector 8" o:spid="_x0000_s1026" style="position:absolute;flip:x;z-index:251653120;visibility:visible;mso-wrap-style:square;mso-wrap-distance-left:9pt;mso-wrap-distance-top:0;mso-wrap-distance-right:9pt;mso-wrap-distance-bottom:0;mso-position-horizontal:absolute;mso-position-horizontal-relative:text;mso-position-vertical:absolute;mso-position-vertical-relative:text" from="0,291.7pt" to="86.25pt,4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" strokecolor="black [3213]">
                <v:stroke dashstyle="dash" joinstyle="miter"/>
              </v:line>
            </w:pict>
          </mc:Fallback>
        </mc:AlternateContent>
      </w:r>
      <w:r>
        <w:rPr>
          <w:noProof/>
        </w:rPr>
        <mc:AlternateContent>
          <mc:Choice Requires="wps">
            <w:drawing>
              <wp:anchor distT="0" distB="0" distL="114300" distR="114300" simplePos="0" relativeHeight="251651072" behindDoc="0" locked="0" layoutInCell="1" allowOverlap="1" wp14:anchorId="44EF60B7" wp14:editId="2E5E2652">
                <wp:simplePos x="0" y="0"/>
                <wp:positionH relativeFrom="column">
                  <wp:posOffset>3753016</wp:posOffset>
                </wp:positionH>
                <wp:positionV relativeFrom="paragraph">
                  <wp:posOffset>339421</wp:posOffset>
                </wp:positionV>
                <wp:extent cx="938254" cy="1319917"/>
                <wp:effectExtent l="0" t="0" r="14605" b="13970"/>
                <wp:wrapNone/>
                <wp:docPr id="5" name="Rectangle 5"/>
                <wp:cNvGraphicFramePr/>
                <a:graphic xmlns:a="http://schemas.openxmlformats.org/drawingml/2006/main">
                  <a:graphicData uri="http://schemas.microsoft.com/office/word/2010/wordprocessingShape">
                    <wps:wsp>
                      <wps:cNvSpPr/>
                      <wps:spPr>
                        <a:xfrm>
                          <a:off x="0" y="0"/>
                          <a:ext cx="938254" cy="1319917"/>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12A9F0" id="Rectangle 5" o:spid="_x0000_s1026" style="position:absolute;margin-left:295.5pt;margin-top:26.75pt;width:73.9pt;height:103.9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" filled="f" strokecolor="black [3213]" strokeweight="1.5pt"/>
            </w:pict>
          </mc:Fallback>
        </mc:AlternateContent>
      </w:r>
      <w:r>
        <w:rPr>
          <w:noProof/>
        </w:rPr>
        <mc:AlternateContent>
          <mc:Choice Requires="wps">
            <w:drawing>
              <wp:anchor distT="0" distB="0" distL="114300" distR="114300" simplePos="0" relativeHeight="251649024" behindDoc="0" locked="0" layoutInCell="1" allowOverlap="1" wp14:anchorId="6CF0E975" wp14:editId="71392D41">
                <wp:simplePos x="0" y="0"/>
                <wp:positionH relativeFrom="column">
                  <wp:posOffset>1097280</wp:posOffset>
                </wp:positionH>
                <wp:positionV relativeFrom="paragraph">
                  <wp:posOffset>3702823</wp:posOffset>
                </wp:positionV>
                <wp:extent cx="1200647" cy="1256306"/>
                <wp:effectExtent l="0" t="0" r="19050" b="20320"/>
                <wp:wrapNone/>
                <wp:docPr id="6" name="Rectangle 6"/>
                <wp:cNvGraphicFramePr/>
                <a:graphic xmlns:a="http://schemas.openxmlformats.org/drawingml/2006/main">
                  <a:graphicData uri="http://schemas.microsoft.com/office/word/2010/wordprocessingShape">
                    <wps:wsp>
                      <wps:cNvSpPr/>
                      <wps:spPr>
                        <a:xfrm>
                          <a:off x="0" y="0"/>
                          <a:ext cx="1200647" cy="1256306"/>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439FA4" id="Rectangle 6" o:spid="_x0000_s1026" style="position:absolute;margin-left:86.4pt;margin-top:291.55pt;width:94.55pt;height:98.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" filled="f" strokecolor="black [3213]" strokeweight="1.5pt"/>
            </w:pict>
          </mc:Fallback>
        </mc:AlternateContent>
      </w:r>
      <w:r>
        <w:rPr>
          <w:noProof/>
        </w:rPr>
        <w:drawing>
          <wp:inline distT="0" distB="0" distL="0" distR="0" wp14:anchorId="398A0B47" wp14:editId="7FDF7596">
            <wp:extent cx="4985468" cy="5467846"/>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23465" cy="5509520"/>
                    </a:xfrm>
                    <a:prstGeom prst="rect">
                      <a:avLst/>
                    </a:prstGeom>
                    <a:noFill/>
                    <a:ln>
                      <a:noFill/>
                    </a:ln>
                  </pic:spPr>
                </pic:pic>
              </a:graphicData>
            </a:graphic>
          </wp:inline>
        </w:drawing>
      </w:r>
    </w:p>
    <w:p w14:paraId="25CE8E35" w14:textId="77777777" w:rsidR="002934F0" w:rsidRPr="002934F0" w:rsidRDefault="00AA620B" w:rsidP="002934F0">
      <w:pPr>
        <w:pStyle w:val="Caption"/>
        <w:spacing w:line="480" w:lineRule="auto"/>
        <w:rPr>
          <w:rFonts w:ascii="Times New Roman" w:hAnsi="Times New Roman" w:cs="Times New Roman"/>
        </w:rPr>
      </w:pPr>
      <w:r>
        <w:rPr>
          <w:noProof/>
        </w:rPr>
        <w:drawing>
          <wp:inline distT="0" distB="0" distL="0" distR="0" wp14:anchorId="0BFF4B18" wp14:editId="5BF097C8">
            <wp:extent cx="3253088" cy="3066743"/>
            <wp:effectExtent l="0" t="0" r="508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361302" cy="3168758"/>
                    </a:xfrm>
                    <a:prstGeom prst="rect">
                      <a:avLst/>
                    </a:prstGeom>
                  </pic:spPr>
                </pic:pic>
              </a:graphicData>
            </a:graphic>
          </wp:inline>
        </w:drawing>
      </w:r>
      <w:r>
        <w:rPr>
          <w:noProof/>
        </w:rPr>
        <w:t xml:space="preserve">      </w:t>
      </w:r>
      <w:r>
        <w:rPr>
          <w:noProof/>
        </w:rPr>
        <w:drawing>
          <wp:inline distT="0" distB="0" distL="0" distR="0" wp14:anchorId="37FBB91C" wp14:editId="4EF93EC3">
            <wp:extent cx="2428261" cy="3079503"/>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595186" cy="3291197"/>
                    </a:xfrm>
                    <a:prstGeom prst="rect">
                      <a:avLst/>
                    </a:prstGeom>
                  </pic:spPr>
                </pic:pic>
              </a:graphicData>
            </a:graphic>
          </wp:inline>
        </w:drawing>
      </w:r>
      <w:r w:rsidR="002934F0" w:rsidRPr="002934F0">
        <w:rPr>
          <w:rFonts w:ascii="Times New Roman" w:hAnsi="Times New Roman" w:cs="Times New Roman"/>
        </w:rPr>
        <w:t xml:space="preserve">Figure </w:t>
      </w:r>
      <w:r w:rsidR="002934F0" w:rsidRPr="002934F0">
        <w:rPr>
          <w:rFonts w:ascii="Times New Roman" w:hAnsi="Times New Roman" w:cs="Times New Roman"/>
          <w:noProof/>
        </w:rPr>
        <w:fldChar w:fldCharType="begin"/>
      </w:r>
      <w:r w:rsidR="002934F0" w:rsidRPr="002934F0">
        <w:rPr>
          <w:rFonts w:ascii="Times New Roman" w:hAnsi="Times New Roman" w:cs="Times New Roman"/>
          <w:noProof/>
        </w:rPr>
        <w:instrText xml:space="preserve"> SEQ Figure \* ARABIC </w:instrText>
      </w:r>
      <w:r w:rsidR="002934F0" w:rsidRPr="002934F0">
        <w:rPr>
          <w:rFonts w:ascii="Times New Roman" w:hAnsi="Times New Roman" w:cs="Times New Roman"/>
          <w:noProof/>
        </w:rPr>
        <w:fldChar w:fldCharType="separate"/>
      </w:r>
      <w:r w:rsidR="00813EF7">
        <w:rPr>
          <w:rFonts w:ascii="Times New Roman" w:hAnsi="Times New Roman" w:cs="Times New Roman"/>
          <w:noProof/>
        </w:rPr>
        <w:t>2</w:t>
      </w:r>
      <w:r w:rsidR="002934F0" w:rsidRPr="002934F0">
        <w:rPr>
          <w:rFonts w:ascii="Times New Roman" w:hAnsi="Times New Roman" w:cs="Times New Roman"/>
          <w:noProof/>
        </w:rPr>
        <w:fldChar w:fldCharType="end"/>
      </w:r>
      <w:r w:rsidR="002934F0" w:rsidRPr="002934F0">
        <w:rPr>
          <w:rFonts w:ascii="Times New Roman" w:hAnsi="Times New Roman" w:cs="Times New Roman"/>
        </w:rPr>
        <w:t xml:space="preserve"> - Site Locations in Puget Sound region</w:t>
      </w:r>
    </w:p>
    <w:p w14:paraId="003254F5" w14:textId="77777777" w:rsidR="002934F0" w:rsidRPr="002934F0" w:rsidRDefault="002934F0" w:rsidP="002934F0">
      <w:pPr>
        <w:spacing w:line="480" w:lineRule="auto"/>
        <w:rPr>
          <w:rFonts w:ascii="Times New Roman" w:hAnsi="Times New Roman" w:cs="Times New Roman"/>
        </w:rPr>
      </w:pPr>
    </w:p>
    <w:p w14:paraId="25F1FC58" w14:textId="77777777" w:rsidR="002934F0" w:rsidRPr="002934F0" w:rsidRDefault="002934F0" w:rsidP="002934F0">
      <w:pPr>
        <w:spacing w:line="480" w:lineRule="auto"/>
        <w:rPr>
          <w:rFonts w:ascii="Times New Roman" w:hAnsi="Times New Roman" w:cs="Times New Roman"/>
          <w:i/>
          <w:u w:val="single"/>
        </w:rPr>
      </w:pPr>
      <w:r w:rsidRPr="002934F0">
        <w:rPr>
          <w:rFonts w:ascii="Times New Roman" w:hAnsi="Times New Roman" w:cs="Times New Roman"/>
          <w:i/>
          <w:u w:val="single"/>
        </w:rPr>
        <w:t>Grain Size Analysis</w:t>
      </w:r>
    </w:p>
    <w:p w14:paraId="4F6A7E6E" w14:textId="77777777"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rPr>
        <w:tab/>
        <w:t>Two samples of 4 g and 1 g were removed from each site’s collected sediment sample.  These were then sonicated for 30 minutes with a dispersant solution of 0.05% sodium hexametaphosphate ((NaPO3)6).  Sediment was then filtered through 63 um sieve into a pre-weighed glass bottle using DI water.  Samples of 4 g were placed in a Coulter Counter at the University of Washington for grain size distribution of silt and clay particles.  The 1 g samples were split between sand particles trapped in the 63 um sieve and sand-silt particles which fell through.  These samples were oven dried at 60°C in pre-weighed containers, and then re-weighed to calculate dry weight distribution of sand and non-sand (silts and clays).   With percent sand from dry weight measurement of the 1 g samples and percent silt and percent clay measured from the Coulter Counter, 3-bin grain size distribution for the eight sites.</w:t>
      </w:r>
    </w:p>
    <w:p w14:paraId="43812E9B" w14:textId="77777777"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i/>
          <w:u w:val="single"/>
        </w:rPr>
        <w:t>Metal Contamination Analysis</w:t>
      </w:r>
    </w:p>
    <w:p w14:paraId="4DE5D8AF" w14:textId="77777777"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rPr>
        <w:tab/>
        <w:t xml:space="preserve">20 mL samples of sediment from each site were oven dried at 60°C for 72 hours before being ground with mortar and pestle into a very fine, near-homogenous sediment.  Similarly, invertebrate samples from the sites with enough biomass were treated with oven drying and ground into a fine powder.  Samples were sent to Dr. Xue’s metal analysis lab in School of Forestry to analyze metal content in units of µg/g.  Samples were digested in acid in accordance with the EPA 3050B method to be analyzed through plasma-atomic emission spectrometry (ICP-AES) for the following metals: Al, As, B, Ba, Ca, Cd, Cr, Cu, Fe, K, Mg, Mn, Mo, Na, Ni, P, Pb, S, Se, Zn, Si, and Ag.  Metals found between the detection limit and quantitative limit were deemed to have been found in trace amounts, and beneath the detection limited were noted as ‘not detected’ (Table </w:t>
      </w:r>
      <w:r w:rsidR="001F29F2">
        <w:rPr>
          <w:rFonts w:ascii="Times New Roman" w:hAnsi="Times New Roman" w:cs="Times New Roman"/>
        </w:rPr>
        <w:t>2</w:t>
      </w:r>
      <w:r w:rsidRPr="002934F0">
        <w:rPr>
          <w:rFonts w:ascii="Times New Roman" w:hAnsi="Times New Roman" w:cs="Times New Roman"/>
        </w:rPr>
        <w:t>).  Metal concentrations (µg/g) were calibrated relative to naturally-occurring abundance relative to Aluminum levels in sample</w:t>
      </w:r>
      <w:r w:rsidR="0023427E">
        <w:rPr>
          <w:rFonts w:ascii="Times New Roman" w:hAnsi="Times New Roman" w:cs="Times New Roman"/>
        </w:rPr>
        <w:t xml:space="preserve">s (Table </w:t>
      </w:r>
      <w:r w:rsidR="00832D83">
        <w:rPr>
          <w:rFonts w:ascii="Times New Roman" w:hAnsi="Times New Roman" w:cs="Times New Roman"/>
        </w:rPr>
        <w:t>3</w:t>
      </w:r>
      <w:r w:rsidR="0023427E">
        <w:rPr>
          <w:rFonts w:ascii="Times New Roman" w:hAnsi="Times New Roman" w:cs="Times New Roman"/>
        </w:rPr>
        <w:t>) through Equation 1,</w:t>
      </w:r>
    </w:p>
    <w:p w14:paraId="05B68C64" w14:textId="77777777" w:rsidR="002934F0" w:rsidRPr="002934F0" w:rsidRDefault="002934F0" w:rsidP="002934F0">
      <w:pPr>
        <w:spacing w:line="480" w:lineRule="auto"/>
        <w:rPr>
          <w:rFonts w:ascii="Times New Roman" w:eastAsiaTheme="minorEastAsia" w:hAnsi="Times New Roman" w:cs="Times New Roman"/>
        </w:rPr>
      </w:pPr>
      <m:oMathPara>
        <m:oMath>
          <m:r>
            <w:rPr>
              <w:rFonts w:ascii="Cambria Math" w:hAnsi="Cambria Math" w:cs="Times New Roman"/>
            </w:rPr>
            <m:t>Equation 1:                                EF=</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M</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Al</m:t>
              </m:r>
            </m:sub>
          </m:sSub>
          <m:r>
            <w:rPr>
              <w:rFonts w:ascii="Cambria Math" w:hAnsi="Cambria Math" w:cs="Times New Roman"/>
            </w:rPr>
            <m:t>)</m:t>
          </m:r>
          <m:r>
            <m:rPr>
              <m:sty m:val="p"/>
            </m:rPr>
            <w:rPr>
              <w:rFonts w:ascii="Cambria Math" w:hAnsi="Cambria Math" w:cs="Times New Roman"/>
            </w:rPr>
            <m:t>exp⁡</m:t>
          </m:r>
          <m:r>
            <w:rPr>
              <w:rFonts w:ascii="Cambria Math" w:hAnsi="Cambria Math" w:cs="Times New Roman"/>
            </w:rPr>
            <m:t>/ (</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M</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Al</m:t>
              </m:r>
            </m:sub>
          </m:sSub>
          <m:r>
            <w:rPr>
              <w:rFonts w:ascii="Cambria Math" w:hAnsi="Cambria Math" w:cs="Times New Roman"/>
            </w:rPr>
            <m:t>)avg</m:t>
          </m:r>
        </m:oMath>
      </m:oMathPara>
    </w:p>
    <w:p w14:paraId="47349180" w14:textId="77777777" w:rsidR="002934F0" w:rsidRPr="002934F0" w:rsidRDefault="002934F0" w:rsidP="002934F0">
      <w:pPr>
        <w:spacing w:line="480" w:lineRule="auto"/>
        <w:rPr>
          <w:rFonts w:ascii="Times New Roman" w:eastAsiaTheme="minorEastAsia" w:hAnsi="Times New Roman" w:cs="Times New Roman"/>
        </w:rPr>
      </w:pPr>
      <w:r w:rsidRPr="002934F0">
        <w:rPr>
          <w:rFonts w:ascii="Times New Roman" w:eastAsiaTheme="minorEastAsia" w:hAnsi="Times New Roman" w:cs="Times New Roman"/>
        </w:rPr>
        <w:t xml:space="preserve">where EF is the enrichment factor,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M</m:t>
            </m:r>
          </m:sub>
        </m:sSub>
      </m:oMath>
      <w:r w:rsidRPr="002934F0">
        <w:rPr>
          <w:rFonts w:ascii="Times New Roman" w:eastAsiaTheme="minorEastAsia" w:hAnsi="Times New Roman" w:cs="Times New Roman"/>
        </w:rPr>
        <w:t xml:space="preserve"> is the concentration of the metal,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Al</m:t>
            </m:r>
          </m:sub>
        </m:sSub>
      </m:oMath>
      <w:r w:rsidRPr="002934F0">
        <w:rPr>
          <w:rFonts w:ascii="Times New Roman" w:eastAsiaTheme="minorEastAsia" w:hAnsi="Times New Roman" w:cs="Times New Roman"/>
        </w:rPr>
        <w:t xml:space="preserve"> is the concentration of Aluminum, and the ratio between them at experimental sites is divided by the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M</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Al</m:t>
            </m:r>
          </m:sub>
        </m:sSub>
      </m:oMath>
      <w:r w:rsidRPr="002934F0">
        <w:rPr>
          <w:rFonts w:ascii="Times New Roman" w:eastAsiaTheme="minorEastAsia" w:hAnsi="Times New Roman" w:cs="Times New Roman"/>
        </w:rPr>
        <w:t xml:space="preserve"> earth-shale average (Brumsack, 2006).  </w:t>
      </w:r>
    </w:p>
    <w:p w14:paraId="46BEA5AE" w14:textId="77777777" w:rsidR="002934F0" w:rsidRPr="002934F0" w:rsidRDefault="002934F0" w:rsidP="002934F0">
      <w:pPr>
        <w:pStyle w:val="Caption"/>
        <w:keepNext/>
        <w:spacing w:line="480" w:lineRule="auto"/>
        <w:rPr>
          <w:rFonts w:ascii="Times New Roman" w:hAnsi="Times New Roman" w:cs="Times New Roman"/>
        </w:rPr>
      </w:pPr>
      <w:r w:rsidRPr="002934F0">
        <w:rPr>
          <w:rFonts w:ascii="Times New Roman" w:hAnsi="Times New Roman" w:cs="Times New Roman"/>
        </w:rPr>
        <w:lastRenderedPageBreak/>
        <w:t xml:space="preserve">Table </w:t>
      </w:r>
      <w:r w:rsidRPr="002934F0">
        <w:rPr>
          <w:rFonts w:ascii="Times New Roman" w:hAnsi="Times New Roman" w:cs="Times New Roman"/>
          <w:noProof/>
        </w:rPr>
        <w:fldChar w:fldCharType="begin"/>
      </w:r>
      <w:r w:rsidRPr="002934F0">
        <w:rPr>
          <w:rFonts w:ascii="Times New Roman" w:hAnsi="Times New Roman" w:cs="Times New Roman"/>
          <w:noProof/>
        </w:rPr>
        <w:instrText xml:space="preserve"> SEQ Table \* ARABIC </w:instrText>
      </w:r>
      <w:r w:rsidRPr="002934F0">
        <w:rPr>
          <w:rFonts w:ascii="Times New Roman" w:hAnsi="Times New Roman" w:cs="Times New Roman"/>
          <w:noProof/>
        </w:rPr>
        <w:fldChar w:fldCharType="separate"/>
      </w:r>
      <w:r w:rsidR="00813EF7">
        <w:rPr>
          <w:rFonts w:ascii="Times New Roman" w:hAnsi="Times New Roman" w:cs="Times New Roman"/>
          <w:noProof/>
        </w:rPr>
        <w:t>2</w:t>
      </w:r>
      <w:r w:rsidRPr="002934F0">
        <w:rPr>
          <w:rFonts w:ascii="Times New Roman" w:hAnsi="Times New Roman" w:cs="Times New Roman"/>
          <w:noProof/>
        </w:rPr>
        <w:fldChar w:fldCharType="end"/>
      </w:r>
      <w:r w:rsidRPr="002934F0">
        <w:rPr>
          <w:rFonts w:ascii="Times New Roman" w:hAnsi="Times New Roman" w:cs="Times New Roman"/>
        </w:rPr>
        <w:t xml:space="preserve"> - Metal Concentration (µg/g) in samples with quantitative and detection limits (control sites highlighted)</w:t>
      </w:r>
      <w:r w:rsidR="0055442C">
        <w:rPr>
          <w:rFonts w:ascii="Times New Roman" w:hAnsi="Times New Roman" w:cs="Times New Roman"/>
        </w:rPr>
        <w:t xml:space="preserve"> </w:t>
      </w:r>
      <w:r w:rsidR="0055442C" w:rsidRPr="006558F1">
        <w:rPr>
          <w:rFonts w:ascii="Times New Roman" w:hAnsi="Times New Roman" w:cs="Times New Roman"/>
        </w:rPr>
        <w:t>*ND = not detected (beneath detection limit); ^TR = trace (above detection limit but below quant limit); +Marine Sediment Quality Standard for Washington State (EPA 2013)</w:t>
      </w:r>
    </w:p>
    <w:tbl>
      <w:tblPr>
        <w:tblW w:w="9576" w:type="dxa"/>
        <w:tblLook w:val="04A0" w:firstRow="1" w:lastRow="0" w:firstColumn="1" w:lastColumn="0" w:noHBand="0" w:noVBand="1"/>
      </w:tblPr>
      <w:tblGrid>
        <w:gridCol w:w="1368"/>
        <w:gridCol w:w="857"/>
        <w:gridCol w:w="959"/>
        <w:gridCol w:w="942"/>
        <w:gridCol w:w="959"/>
        <w:gridCol w:w="959"/>
        <w:gridCol w:w="959"/>
        <w:gridCol w:w="959"/>
        <w:gridCol w:w="959"/>
        <w:gridCol w:w="666"/>
      </w:tblGrid>
      <w:tr w:rsidR="002934F0" w:rsidRPr="002934F0" w14:paraId="64C56A9D" w14:textId="77777777" w:rsidTr="00B86277">
        <w:trPr>
          <w:trHeight w:val="315"/>
        </w:trPr>
        <w:tc>
          <w:tcPr>
            <w:tcW w:w="1368" w:type="dxa"/>
            <w:tcBorders>
              <w:top w:val="nil"/>
              <w:left w:val="single" w:sz="8" w:space="0" w:color="auto"/>
              <w:bottom w:val="single" w:sz="8" w:space="0" w:color="auto"/>
              <w:right w:val="single" w:sz="8" w:space="0" w:color="auto"/>
            </w:tcBorders>
            <w:shd w:val="clear" w:color="auto" w:fill="auto"/>
            <w:noWrap/>
            <w:vAlign w:val="bottom"/>
            <w:hideMark/>
          </w:tcPr>
          <w:p w14:paraId="1AE6D74F" w14:textId="77777777" w:rsidR="002934F0" w:rsidRPr="002934F0" w:rsidRDefault="002934F0" w:rsidP="0023427E">
            <w:pPr>
              <w:spacing w:after="0" w:line="276" w:lineRule="auto"/>
              <w:jc w:val="center"/>
              <w:rPr>
                <w:rFonts w:ascii="Times New Roman" w:eastAsia="Times New Roman" w:hAnsi="Times New Roman" w:cs="Times New Roman"/>
                <w:b/>
                <w:bCs/>
                <w:color w:val="000000"/>
              </w:rPr>
            </w:pPr>
            <w:r w:rsidRPr="002934F0">
              <w:rPr>
                <w:rFonts w:ascii="Times New Roman" w:hAnsi="Times New Roman" w:cs="Times New Roman"/>
                <w:b/>
                <w:bCs/>
                <w:color w:val="000000"/>
              </w:rPr>
              <w:t>Site</w:t>
            </w:r>
          </w:p>
        </w:tc>
        <w:tc>
          <w:tcPr>
            <w:tcW w:w="857" w:type="dxa"/>
            <w:tcBorders>
              <w:top w:val="nil"/>
              <w:left w:val="nil"/>
              <w:bottom w:val="single" w:sz="8" w:space="0" w:color="auto"/>
              <w:right w:val="single" w:sz="4" w:space="0" w:color="auto"/>
            </w:tcBorders>
            <w:shd w:val="clear" w:color="auto" w:fill="auto"/>
            <w:noWrap/>
            <w:vAlign w:val="bottom"/>
            <w:hideMark/>
          </w:tcPr>
          <w:p w14:paraId="24DEB609"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Al</w:t>
            </w:r>
          </w:p>
        </w:tc>
        <w:tc>
          <w:tcPr>
            <w:tcW w:w="959" w:type="dxa"/>
            <w:tcBorders>
              <w:top w:val="nil"/>
              <w:left w:val="nil"/>
              <w:bottom w:val="single" w:sz="8" w:space="0" w:color="auto"/>
              <w:right w:val="single" w:sz="4" w:space="0" w:color="auto"/>
            </w:tcBorders>
            <w:shd w:val="clear" w:color="auto" w:fill="auto"/>
            <w:noWrap/>
            <w:vAlign w:val="bottom"/>
            <w:hideMark/>
          </w:tcPr>
          <w:p w14:paraId="0EFA43ED"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As</w:t>
            </w:r>
          </w:p>
        </w:tc>
        <w:tc>
          <w:tcPr>
            <w:tcW w:w="942" w:type="dxa"/>
            <w:tcBorders>
              <w:top w:val="nil"/>
              <w:left w:val="nil"/>
              <w:bottom w:val="single" w:sz="8" w:space="0" w:color="auto"/>
              <w:right w:val="single" w:sz="4" w:space="0" w:color="auto"/>
            </w:tcBorders>
            <w:shd w:val="clear" w:color="auto" w:fill="auto"/>
            <w:noWrap/>
            <w:vAlign w:val="bottom"/>
            <w:hideMark/>
          </w:tcPr>
          <w:p w14:paraId="320C879B"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Cd</w:t>
            </w:r>
          </w:p>
        </w:tc>
        <w:tc>
          <w:tcPr>
            <w:tcW w:w="959" w:type="dxa"/>
            <w:tcBorders>
              <w:top w:val="nil"/>
              <w:left w:val="nil"/>
              <w:bottom w:val="single" w:sz="8" w:space="0" w:color="auto"/>
              <w:right w:val="single" w:sz="4" w:space="0" w:color="auto"/>
            </w:tcBorders>
            <w:shd w:val="clear" w:color="auto" w:fill="auto"/>
            <w:noWrap/>
            <w:vAlign w:val="bottom"/>
            <w:hideMark/>
          </w:tcPr>
          <w:p w14:paraId="25BB1B1A"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Cr</w:t>
            </w:r>
          </w:p>
        </w:tc>
        <w:tc>
          <w:tcPr>
            <w:tcW w:w="959" w:type="dxa"/>
            <w:tcBorders>
              <w:top w:val="nil"/>
              <w:left w:val="nil"/>
              <w:bottom w:val="single" w:sz="8" w:space="0" w:color="auto"/>
              <w:right w:val="single" w:sz="4" w:space="0" w:color="auto"/>
            </w:tcBorders>
            <w:shd w:val="clear" w:color="auto" w:fill="auto"/>
            <w:noWrap/>
            <w:vAlign w:val="bottom"/>
            <w:hideMark/>
          </w:tcPr>
          <w:p w14:paraId="160B8D77"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Cu</w:t>
            </w:r>
          </w:p>
        </w:tc>
        <w:tc>
          <w:tcPr>
            <w:tcW w:w="959" w:type="dxa"/>
            <w:tcBorders>
              <w:top w:val="nil"/>
              <w:left w:val="nil"/>
              <w:bottom w:val="single" w:sz="8" w:space="0" w:color="auto"/>
              <w:right w:val="single" w:sz="4" w:space="0" w:color="auto"/>
            </w:tcBorders>
            <w:shd w:val="clear" w:color="auto" w:fill="auto"/>
            <w:noWrap/>
            <w:vAlign w:val="bottom"/>
            <w:hideMark/>
          </w:tcPr>
          <w:p w14:paraId="543EB99D"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Ni</w:t>
            </w:r>
          </w:p>
        </w:tc>
        <w:tc>
          <w:tcPr>
            <w:tcW w:w="959" w:type="dxa"/>
            <w:tcBorders>
              <w:top w:val="nil"/>
              <w:left w:val="nil"/>
              <w:bottom w:val="single" w:sz="8" w:space="0" w:color="auto"/>
              <w:right w:val="single" w:sz="4" w:space="0" w:color="auto"/>
            </w:tcBorders>
            <w:shd w:val="clear" w:color="auto" w:fill="auto"/>
            <w:noWrap/>
            <w:vAlign w:val="bottom"/>
            <w:hideMark/>
          </w:tcPr>
          <w:p w14:paraId="05639C66"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Pb</w:t>
            </w:r>
          </w:p>
        </w:tc>
        <w:tc>
          <w:tcPr>
            <w:tcW w:w="959" w:type="dxa"/>
            <w:tcBorders>
              <w:top w:val="nil"/>
              <w:left w:val="nil"/>
              <w:bottom w:val="single" w:sz="8" w:space="0" w:color="auto"/>
              <w:right w:val="single" w:sz="4" w:space="0" w:color="auto"/>
            </w:tcBorders>
            <w:shd w:val="clear" w:color="auto" w:fill="auto"/>
            <w:noWrap/>
            <w:vAlign w:val="bottom"/>
            <w:hideMark/>
          </w:tcPr>
          <w:p w14:paraId="597398CB" w14:textId="77777777" w:rsidR="002934F0" w:rsidRPr="002934F0" w:rsidRDefault="002934F0" w:rsidP="0023427E">
            <w:pPr>
              <w:spacing w:after="0" w:line="276" w:lineRule="auto"/>
              <w:jc w:val="center"/>
              <w:rPr>
                <w:rFonts w:ascii="Times New Roman" w:eastAsia="Times New Roman" w:hAnsi="Times New Roman" w:cs="Times New Roman"/>
                <w:b/>
                <w:bCs/>
                <w:sz w:val="20"/>
                <w:szCs w:val="20"/>
              </w:rPr>
            </w:pPr>
            <w:r w:rsidRPr="002934F0">
              <w:rPr>
                <w:rFonts w:ascii="Times New Roman" w:hAnsi="Times New Roman" w:cs="Times New Roman"/>
                <w:b/>
                <w:bCs/>
                <w:sz w:val="20"/>
                <w:szCs w:val="20"/>
              </w:rPr>
              <w:t>Zn</w:t>
            </w:r>
          </w:p>
        </w:tc>
        <w:tc>
          <w:tcPr>
            <w:tcW w:w="655" w:type="dxa"/>
            <w:tcBorders>
              <w:top w:val="nil"/>
              <w:left w:val="nil"/>
              <w:bottom w:val="single" w:sz="8" w:space="0" w:color="auto"/>
              <w:right w:val="nil"/>
            </w:tcBorders>
            <w:vAlign w:val="bottom"/>
          </w:tcPr>
          <w:p w14:paraId="42B9963D" w14:textId="77777777" w:rsidR="002934F0" w:rsidRPr="002934F0" w:rsidRDefault="002934F0" w:rsidP="0023427E">
            <w:pPr>
              <w:spacing w:after="0" w:line="276" w:lineRule="auto"/>
              <w:jc w:val="center"/>
              <w:rPr>
                <w:rFonts w:ascii="Times New Roman" w:hAnsi="Times New Roman" w:cs="Times New Roman"/>
                <w:b/>
                <w:bCs/>
                <w:sz w:val="20"/>
                <w:szCs w:val="20"/>
              </w:rPr>
            </w:pPr>
            <w:r w:rsidRPr="002934F0">
              <w:rPr>
                <w:rFonts w:ascii="Times New Roman" w:hAnsi="Times New Roman" w:cs="Times New Roman"/>
                <w:b/>
                <w:bCs/>
                <w:sz w:val="20"/>
                <w:szCs w:val="20"/>
              </w:rPr>
              <w:t>Se</w:t>
            </w:r>
          </w:p>
        </w:tc>
      </w:tr>
      <w:tr w:rsidR="002934F0" w:rsidRPr="002934F0" w14:paraId="6FB3CD8F" w14:textId="77777777" w:rsidTr="00B86277">
        <w:trPr>
          <w:trHeight w:val="300"/>
        </w:trPr>
        <w:tc>
          <w:tcPr>
            <w:tcW w:w="1368" w:type="dxa"/>
            <w:tcBorders>
              <w:top w:val="single" w:sz="8" w:space="0" w:color="auto"/>
              <w:left w:val="single" w:sz="8" w:space="0" w:color="auto"/>
              <w:bottom w:val="single" w:sz="4" w:space="0" w:color="auto"/>
              <w:right w:val="single" w:sz="8" w:space="0" w:color="auto"/>
            </w:tcBorders>
            <w:shd w:val="clear" w:color="auto" w:fill="FFF2CC" w:themeFill="accent4" w:themeFillTint="33"/>
            <w:noWrap/>
            <w:vAlign w:val="bottom"/>
            <w:hideMark/>
          </w:tcPr>
          <w:p w14:paraId="0497FBAE"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AM01</w:t>
            </w:r>
          </w:p>
        </w:tc>
        <w:tc>
          <w:tcPr>
            <w:tcW w:w="857" w:type="dxa"/>
            <w:tcBorders>
              <w:top w:val="single" w:sz="8" w:space="0" w:color="auto"/>
              <w:left w:val="nil"/>
              <w:bottom w:val="single" w:sz="4" w:space="0" w:color="auto"/>
              <w:right w:val="nil"/>
            </w:tcBorders>
            <w:shd w:val="clear" w:color="auto" w:fill="FFF2CC" w:themeFill="accent4" w:themeFillTint="33"/>
            <w:noWrap/>
            <w:vAlign w:val="bottom"/>
            <w:hideMark/>
          </w:tcPr>
          <w:p w14:paraId="559EF23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5149</w:t>
            </w:r>
          </w:p>
        </w:tc>
        <w:tc>
          <w:tcPr>
            <w:tcW w:w="959" w:type="dxa"/>
            <w:tcBorders>
              <w:top w:val="single" w:sz="8" w:space="0" w:color="auto"/>
              <w:left w:val="nil"/>
              <w:bottom w:val="single" w:sz="4" w:space="0" w:color="auto"/>
              <w:right w:val="nil"/>
            </w:tcBorders>
            <w:shd w:val="clear" w:color="auto" w:fill="FFF2CC" w:themeFill="accent4" w:themeFillTint="33"/>
            <w:noWrap/>
            <w:vAlign w:val="bottom"/>
            <w:hideMark/>
          </w:tcPr>
          <w:p w14:paraId="4DBFF88F"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8" w:space="0" w:color="auto"/>
              <w:left w:val="nil"/>
              <w:bottom w:val="single" w:sz="4" w:space="0" w:color="auto"/>
              <w:right w:val="nil"/>
            </w:tcBorders>
            <w:shd w:val="clear" w:color="auto" w:fill="FFF2CC" w:themeFill="accent4" w:themeFillTint="33"/>
            <w:noWrap/>
            <w:vAlign w:val="bottom"/>
            <w:hideMark/>
          </w:tcPr>
          <w:p w14:paraId="58AF5D1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8" w:space="0" w:color="auto"/>
              <w:left w:val="nil"/>
              <w:bottom w:val="single" w:sz="4" w:space="0" w:color="auto"/>
              <w:right w:val="nil"/>
            </w:tcBorders>
            <w:shd w:val="clear" w:color="auto" w:fill="FFF2CC" w:themeFill="accent4" w:themeFillTint="33"/>
            <w:noWrap/>
            <w:vAlign w:val="bottom"/>
            <w:hideMark/>
          </w:tcPr>
          <w:p w14:paraId="5A931EB6"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22.60</w:t>
            </w:r>
          </w:p>
        </w:tc>
        <w:tc>
          <w:tcPr>
            <w:tcW w:w="959" w:type="dxa"/>
            <w:tcBorders>
              <w:top w:val="single" w:sz="8" w:space="0" w:color="auto"/>
              <w:left w:val="nil"/>
              <w:bottom w:val="single" w:sz="4" w:space="0" w:color="auto"/>
              <w:right w:val="nil"/>
            </w:tcBorders>
            <w:shd w:val="clear" w:color="auto" w:fill="FFF2CC" w:themeFill="accent4" w:themeFillTint="33"/>
            <w:noWrap/>
            <w:vAlign w:val="bottom"/>
            <w:hideMark/>
          </w:tcPr>
          <w:p w14:paraId="590E006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12.78</w:t>
            </w:r>
          </w:p>
        </w:tc>
        <w:tc>
          <w:tcPr>
            <w:tcW w:w="959" w:type="dxa"/>
            <w:tcBorders>
              <w:top w:val="single" w:sz="8" w:space="0" w:color="auto"/>
              <w:left w:val="nil"/>
              <w:bottom w:val="single" w:sz="4" w:space="0" w:color="auto"/>
              <w:right w:val="nil"/>
            </w:tcBorders>
            <w:shd w:val="clear" w:color="auto" w:fill="FFF2CC" w:themeFill="accent4" w:themeFillTint="33"/>
            <w:noWrap/>
            <w:vAlign w:val="bottom"/>
            <w:hideMark/>
          </w:tcPr>
          <w:p w14:paraId="0932A34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32.45</w:t>
            </w:r>
          </w:p>
        </w:tc>
        <w:tc>
          <w:tcPr>
            <w:tcW w:w="959" w:type="dxa"/>
            <w:tcBorders>
              <w:top w:val="single" w:sz="8" w:space="0" w:color="auto"/>
              <w:left w:val="nil"/>
              <w:bottom w:val="single" w:sz="4" w:space="0" w:color="auto"/>
              <w:right w:val="nil"/>
            </w:tcBorders>
            <w:shd w:val="clear" w:color="auto" w:fill="FFF2CC" w:themeFill="accent4" w:themeFillTint="33"/>
            <w:noWrap/>
            <w:vAlign w:val="bottom"/>
            <w:hideMark/>
          </w:tcPr>
          <w:p w14:paraId="76AD7F5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52.24</w:t>
            </w:r>
          </w:p>
        </w:tc>
        <w:tc>
          <w:tcPr>
            <w:tcW w:w="959" w:type="dxa"/>
            <w:tcBorders>
              <w:top w:val="single" w:sz="8" w:space="0" w:color="auto"/>
              <w:left w:val="nil"/>
              <w:bottom w:val="single" w:sz="4" w:space="0" w:color="auto"/>
              <w:right w:val="single" w:sz="4" w:space="0" w:color="auto"/>
            </w:tcBorders>
            <w:shd w:val="clear" w:color="auto" w:fill="FFF2CC" w:themeFill="accent4" w:themeFillTint="33"/>
            <w:noWrap/>
            <w:vAlign w:val="bottom"/>
            <w:hideMark/>
          </w:tcPr>
          <w:p w14:paraId="78FA9261"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31.18</w:t>
            </w:r>
          </w:p>
        </w:tc>
        <w:tc>
          <w:tcPr>
            <w:tcW w:w="655" w:type="dxa"/>
            <w:tcBorders>
              <w:top w:val="single" w:sz="8" w:space="0" w:color="auto"/>
              <w:left w:val="nil"/>
              <w:bottom w:val="single" w:sz="4" w:space="0" w:color="auto"/>
              <w:right w:val="nil"/>
            </w:tcBorders>
            <w:shd w:val="clear" w:color="auto" w:fill="FFF2CC" w:themeFill="accent4" w:themeFillTint="33"/>
            <w:vAlign w:val="bottom"/>
          </w:tcPr>
          <w:p w14:paraId="3FCE7D90"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102.2</w:t>
            </w:r>
          </w:p>
        </w:tc>
      </w:tr>
      <w:tr w:rsidR="002934F0" w:rsidRPr="002934F0" w14:paraId="522AAB2C"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5FE1D564"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AM02</w:t>
            </w:r>
          </w:p>
        </w:tc>
        <w:tc>
          <w:tcPr>
            <w:tcW w:w="857" w:type="dxa"/>
            <w:tcBorders>
              <w:top w:val="single" w:sz="4" w:space="0" w:color="auto"/>
              <w:left w:val="nil"/>
              <w:bottom w:val="single" w:sz="4" w:space="0" w:color="auto"/>
              <w:right w:val="nil"/>
            </w:tcBorders>
            <w:shd w:val="clear" w:color="auto" w:fill="auto"/>
            <w:noWrap/>
            <w:vAlign w:val="bottom"/>
            <w:hideMark/>
          </w:tcPr>
          <w:p w14:paraId="75C453A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8702</w:t>
            </w:r>
          </w:p>
        </w:tc>
        <w:tc>
          <w:tcPr>
            <w:tcW w:w="959" w:type="dxa"/>
            <w:tcBorders>
              <w:top w:val="single" w:sz="4" w:space="0" w:color="auto"/>
              <w:left w:val="nil"/>
              <w:bottom w:val="single" w:sz="4" w:space="0" w:color="auto"/>
              <w:right w:val="nil"/>
            </w:tcBorders>
            <w:shd w:val="clear" w:color="auto" w:fill="auto"/>
            <w:noWrap/>
            <w:vAlign w:val="bottom"/>
            <w:hideMark/>
          </w:tcPr>
          <w:p w14:paraId="07C98D2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auto"/>
            <w:noWrap/>
            <w:vAlign w:val="bottom"/>
            <w:hideMark/>
          </w:tcPr>
          <w:p w14:paraId="5A38CB3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4FD9B43B"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38.52</w:t>
            </w:r>
          </w:p>
        </w:tc>
        <w:tc>
          <w:tcPr>
            <w:tcW w:w="959" w:type="dxa"/>
            <w:tcBorders>
              <w:top w:val="single" w:sz="4" w:space="0" w:color="auto"/>
              <w:left w:val="nil"/>
              <w:bottom w:val="single" w:sz="4" w:space="0" w:color="auto"/>
              <w:right w:val="nil"/>
            </w:tcBorders>
            <w:shd w:val="clear" w:color="auto" w:fill="auto"/>
            <w:noWrap/>
            <w:vAlign w:val="bottom"/>
            <w:hideMark/>
          </w:tcPr>
          <w:p w14:paraId="6DE429C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37.89</w:t>
            </w:r>
          </w:p>
        </w:tc>
        <w:tc>
          <w:tcPr>
            <w:tcW w:w="959" w:type="dxa"/>
            <w:tcBorders>
              <w:top w:val="single" w:sz="4" w:space="0" w:color="auto"/>
              <w:left w:val="nil"/>
              <w:bottom w:val="single" w:sz="4" w:space="0" w:color="auto"/>
              <w:right w:val="nil"/>
            </w:tcBorders>
            <w:shd w:val="clear" w:color="auto" w:fill="auto"/>
            <w:noWrap/>
            <w:vAlign w:val="bottom"/>
            <w:hideMark/>
          </w:tcPr>
          <w:p w14:paraId="65248CA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44.05</w:t>
            </w:r>
          </w:p>
        </w:tc>
        <w:tc>
          <w:tcPr>
            <w:tcW w:w="959" w:type="dxa"/>
            <w:tcBorders>
              <w:top w:val="single" w:sz="4" w:space="0" w:color="auto"/>
              <w:left w:val="nil"/>
              <w:bottom w:val="single" w:sz="4" w:space="0" w:color="auto"/>
              <w:right w:val="nil"/>
            </w:tcBorders>
            <w:shd w:val="clear" w:color="auto" w:fill="auto"/>
            <w:noWrap/>
            <w:vAlign w:val="bottom"/>
            <w:hideMark/>
          </w:tcPr>
          <w:p w14:paraId="463544E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118.60</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04A02D8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111.42</w:t>
            </w:r>
          </w:p>
        </w:tc>
        <w:tc>
          <w:tcPr>
            <w:tcW w:w="655" w:type="dxa"/>
            <w:tcBorders>
              <w:top w:val="single" w:sz="4" w:space="0" w:color="auto"/>
              <w:left w:val="nil"/>
              <w:bottom w:val="single" w:sz="4" w:space="0" w:color="auto"/>
              <w:right w:val="nil"/>
            </w:tcBorders>
            <w:vAlign w:val="bottom"/>
          </w:tcPr>
          <w:p w14:paraId="0FFF59F4"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160.0</w:t>
            </w:r>
          </w:p>
        </w:tc>
      </w:tr>
      <w:tr w:rsidR="002934F0" w:rsidRPr="002934F0" w14:paraId="7D048939"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49F5A667"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SB02</w:t>
            </w:r>
          </w:p>
        </w:tc>
        <w:tc>
          <w:tcPr>
            <w:tcW w:w="857" w:type="dxa"/>
            <w:tcBorders>
              <w:top w:val="single" w:sz="4" w:space="0" w:color="auto"/>
              <w:left w:val="nil"/>
              <w:bottom w:val="single" w:sz="4" w:space="0" w:color="auto"/>
              <w:right w:val="nil"/>
            </w:tcBorders>
            <w:shd w:val="clear" w:color="auto" w:fill="auto"/>
            <w:noWrap/>
            <w:vAlign w:val="bottom"/>
            <w:hideMark/>
          </w:tcPr>
          <w:p w14:paraId="6FFD9B1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14975</w:t>
            </w:r>
          </w:p>
        </w:tc>
        <w:tc>
          <w:tcPr>
            <w:tcW w:w="959" w:type="dxa"/>
            <w:tcBorders>
              <w:top w:val="single" w:sz="4" w:space="0" w:color="auto"/>
              <w:left w:val="nil"/>
              <w:bottom w:val="single" w:sz="4" w:space="0" w:color="auto"/>
              <w:right w:val="nil"/>
            </w:tcBorders>
            <w:shd w:val="clear" w:color="auto" w:fill="auto"/>
            <w:noWrap/>
            <w:vAlign w:val="bottom"/>
            <w:hideMark/>
          </w:tcPr>
          <w:p w14:paraId="6F332A0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auto"/>
            <w:noWrap/>
            <w:vAlign w:val="bottom"/>
            <w:hideMark/>
          </w:tcPr>
          <w:p w14:paraId="18E12232"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TR^</w:t>
            </w:r>
          </w:p>
        </w:tc>
        <w:tc>
          <w:tcPr>
            <w:tcW w:w="959" w:type="dxa"/>
            <w:tcBorders>
              <w:top w:val="single" w:sz="4" w:space="0" w:color="auto"/>
              <w:left w:val="nil"/>
              <w:bottom w:val="single" w:sz="4" w:space="0" w:color="auto"/>
              <w:right w:val="nil"/>
            </w:tcBorders>
            <w:shd w:val="clear" w:color="auto" w:fill="auto"/>
            <w:noWrap/>
            <w:vAlign w:val="bottom"/>
            <w:hideMark/>
          </w:tcPr>
          <w:p w14:paraId="0FE99A2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53.74</w:t>
            </w:r>
          </w:p>
        </w:tc>
        <w:tc>
          <w:tcPr>
            <w:tcW w:w="959" w:type="dxa"/>
            <w:tcBorders>
              <w:top w:val="single" w:sz="4" w:space="0" w:color="auto"/>
              <w:left w:val="nil"/>
              <w:bottom w:val="single" w:sz="4" w:space="0" w:color="auto"/>
              <w:right w:val="nil"/>
            </w:tcBorders>
            <w:shd w:val="clear" w:color="auto" w:fill="auto"/>
            <w:noWrap/>
            <w:vAlign w:val="bottom"/>
            <w:hideMark/>
          </w:tcPr>
          <w:p w14:paraId="0FCC8B2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66.72</w:t>
            </w:r>
          </w:p>
        </w:tc>
        <w:tc>
          <w:tcPr>
            <w:tcW w:w="959" w:type="dxa"/>
            <w:tcBorders>
              <w:top w:val="single" w:sz="4" w:space="0" w:color="auto"/>
              <w:left w:val="nil"/>
              <w:bottom w:val="single" w:sz="4" w:space="0" w:color="auto"/>
              <w:right w:val="nil"/>
            </w:tcBorders>
            <w:shd w:val="clear" w:color="auto" w:fill="auto"/>
            <w:noWrap/>
            <w:vAlign w:val="bottom"/>
            <w:hideMark/>
          </w:tcPr>
          <w:p w14:paraId="3503836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71.50</w:t>
            </w:r>
          </w:p>
        </w:tc>
        <w:tc>
          <w:tcPr>
            <w:tcW w:w="959" w:type="dxa"/>
            <w:tcBorders>
              <w:top w:val="single" w:sz="4" w:space="0" w:color="auto"/>
              <w:left w:val="nil"/>
              <w:bottom w:val="single" w:sz="4" w:space="0" w:color="auto"/>
              <w:right w:val="nil"/>
            </w:tcBorders>
            <w:shd w:val="clear" w:color="auto" w:fill="auto"/>
            <w:noWrap/>
            <w:vAlign w:val="bottom"/>
            <w:hideMark/>
          </w:tcPr>
          <w:p w14:paraId="62D5DD2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248.38</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4191812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219.52</w:t>
            </w:r>
          </w:p>
        </w:tc>
        <w:tc>
          <w:tcPr>
            <w:tcW w:w="655" w:type="dxa"/>
            <w:tcBorders>
              <w:top w:val="single" w:sz="4" w:space="0" w:color="auto"/>
              <w:left w:val="nil"/>
              <w:bottom w:val="single" w:sz="4" w:space="0" w:color="auto"/>
              <w:right w:val="nil"/>
            </w:tcBorders>
            <w:vAlign w:val="bottom"/>
          </w:tcPr>
          <w:p w14:paraId="06155FB0"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309.8</w:t>
            </w:r>
          </w:p>
        </w:tc>
      </w:tr>
      <w:tr w:rsidR="002934F0" w:rsidRPr="002934F0" w14:paraId="5FFF7FC8"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321148F1"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AM04</w:t>
            </w:r>
          </w:p>
        </w:tc>
        <w:tc>
          <w:tcPr>
            <w:tcW w:w="857" w:type="dxa"/>
            <w:tcBorders>
              <w:top w:val="single" w:sz="4" w:space="0" w:color="auto"/>
              <w:left w:val="nil"/>
              <w:bottom w:val="single" w:sz="4" w:space="0" w:color="auto"/>
              <w:right w:val="nil"/>
            </w:tcBorders>
            <w:shd w:val="clear" w:color="auto" w:fill="auto"/>
            <w:noWrap/>
            <w:vAlign w:val="bottom"/>
            <w:hideMark/>
          </w:tcPr>
          <w:p w14:paraId="5C281B7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6770</w:t>
            </w:r>
          </w:p>
        </w:tc>
        <w:tc>
          <w:tcPr>
            <w:tcW w:w="959" w:type="dxa"/>
            <w:tcBorders>
              <w:top w:val="single" w:sz="4" w:space="0" w:color="auto"/>
              <w:left w:val="nil"/>
              <w:bottom w:val="single" w:sz="4" w:space="0" w:color="auto"/>
              <w:right w:val="nil"/>
            </w:tcBorders>
            <w:shd w:val="clear" w:color="auto" w:fill="auto"/>
            <w:noWrap/>
            <w:vAlign w:val="bottom"/>
            <w:hideMark/>
          </w:tcPr>
          <w:p w14:paraId="09B397BB"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auto"/>
            <w:noWrap/>
            <w:vAlign w:val="bottom"/>
            <w:hideMark/>
          </w:tcPr>
          <w:p w14:paraId="49D0841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5F67AE02"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45.94</w:t>
            </w:r>
          </w:p>
        </w:tc>
        <w:tc>
          <w:tcPr>
            <w:tcW w:w="959" w:type="dxa"/>
            <w:tcBorders>
              <w:top w:val="single" w:sz="4" w:space="0" w:color="auto"/>
              <w:left w:val="nil"/>
              <w:bottom w:val="single" w:sz="4" w:space="0" w:color="auto"/>
              <w:right w:val="nil"/>
            </w:tcBorders>
            <w:shd w:val="clear" w:color="auto" w:fill="auto"/>
            <w:noWrap/>
            <w:vAlign w:val="bottom"/>
            <w:hideMark/>
          </w:tcPr>
          <w:p w14:paraId="278B6C2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176.93</w:t>
            </w:r>
          </w:p>
        </w:tc>
        <w:tc>
          <w:tcPr>
            <w:tcW w:w="959" w:type="dxa"/>
            <w:tcBorders>
              <w:top w:val="single" w:sz="4" w:space="0" w:color="auto"/>
              <w:left w:val="nil"/>
              <w:bottom w:val="single" w:sz="4" w:space="0" w:color="auto"/>
              <w:right w:val="nil"/>
            </w:tcBorders>
            <w:shd w:val="clear" w:color="auto" w:fill="auto"/>
            <w:noWrap/>
            <w:vAlign w:val="bottom"/>
            <w:hideMark/>
          </w:tcPr>
          <w:p w14:paraId="2AC0DD7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48.24</w:t>
            </w:r>
          </w:p>
        </w:tc>
        <w:tc>
          <w:tcPr>
            <w:tcW w:w="959" w:type="dxa"/>
            <w:tcBorders>
              <w:top w:val="single" w:sz="4" w:space="0" w:color="auto"/>
              <w:left w:val="nil"/>
              <w:bottom w:val="single" w:sz="4" w:space="0" w:color="auto"/>
              <w:right w:val="nil"/>
            </w:tcBorders>
            <w:shd w:val="clear" w:color="auto" w:fill="auto"/>
            <w:noWrap/>
            <w:vAlign w:val="bottom"/>
            <w:hideMark/>
          </w:tcPr>
          <w:p w14:paraId="43FC50FB"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191.25</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41BB7C9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263.78</w:t>
            </w:r>
          </w:p>
        </w:tc>
        <w:tc>
          <w:tcPr>
            <w:tcW w:w="655" w:type="dxa"/>
            <w:tcBorders>
              <w:top w:val="single" w:sz="4" w:space="0" w:color="auto"/>
              <w:left w:val="nil"/>
              <w:bottom w:val="single" w:sz="4" w:space="0" w:color="auto"/>
              <w:right w:val="nil"/>
            </w:tcBorders>
            <w:vAlign w:val="bottom"/>
          </w:tcPr>
          <w:p w14:paraId="50A834D4"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186.2</w:t>
            </w:r>
          </w:p>
        </w:tc>
      </w:tr>
      <w:tr w:rsidR="002934F0" w:rsidRPr="002934F0" w14:paraId="24774266"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67D60288"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AM05</w:t>
            </w:r>
          </w:p>
        </w:tc>
        <w:tc>
          <w:tcPr>
            <w:tcW w:w="857" w:type="dxa"/>
            <w:tcBorders>
              <w:top w:val="single" w:sz="4" w:space="0" w:color="auto"/>
              <w:left w:val="nil"/>
              <w:bottom w:val="single" w:sz="4" w:space="0" w:color="auto"/>
              <w:right w:val="nil"/>
            </w:tcBorders>
            <w:shd w:val="clear" w:color="auto" w:fill="auto"/>
            <w:noWrap/>
            <w:vAlign w:val="bottom"/>
            <w:hideMark/>
          </w:tcPr>
          <w:p w14:paraId="182C044F"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2854</w:t>
            </w:r>
          </w:p>
        </w:tc>
        <w:tc>
          <w:tcPr>
            <w:tcW w:w="959" w:type="dxa"/>
            <w:tcBorders>
              <w:top w:val="single" w:sz="4" w:space="0" w:color="auto"/>
              <w:left w:val="nil"/>
              <w:bottom w:val="single" w:sz="4" w:space="0" w:color="auto"/>
              <w:right w:val="nil"/>
            </w:tcBorders>
            <w:shd w:val="clear" w:color="auto" w:fill="auto"/>
            <w:noWrap/>
            <w:vAlign w:val="bottom"/>
            <w:hideMark/>
          </w:tcPr>
          <w:p w14:paraId="6BAE099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auto"/>
            <w:noWrap/>
            <w:vAlign w:val="bottom"/>
            <w:hideMark/>
          </w:tcPr>
          <w:p w14:paraId="0EB1C25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547A36B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13.26</w:t>
            </w:r>
          </w:p>
        </w:tc>
        <w:tc>
          <w:tcPr>
            <w:tcW w:w="959" w:type="dxa"/>
            <w:tcBorders>
              <w:top w:val="single" w:sz="4" w:space="0" w:color="auto"/>
              <w:left w:val="nil"/>
              <w:bottom w:val="single" w:sz="4" w:space="0" w:color="auto"/>
              <w:right w:val="nil"/>
            </w:tcBorders>
            <w:shd w:val="clear" w:color="auto" w:fill="auto"/>
            <w:noWrap/>
            <w:vAlign w:val="bottom"/>
            <w:hideMark/>
          </w:tcPr>
          <w:p w14:paraId="6F92B90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10.04</w:t>
            </w:r>
          </w:p>
        </w:tc>
        <w:tc>
          <w:tcPr>
            <w:tcW w:w="959" w:type="dxa"/>
            <w:tcBorders>
              <w:top w:val="single" w:sz="4" w:space="0" w:color="auto"/>
              <w:left w:val="nil"/>
              <w:bottom w:val="single" w:sz="4" w:space="0" w:color="auto"/>
              <w:right w:val="nil"/>
            </w:tcBorders>
            <w:shd w:val="clear" w:color="auto" w:fill="auto"/>
            <w:noWrap/>
            <w:vAlign w:val="bottom"/>
            <w:hideMark/>
          </w:tcPr>
          <w:p w14:paraId="6AD1A04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12.06</w:t>
            </w:r>
          </w:p>
        </w:tc>
        <w:tc>
          <w:tcPr>
            <w:tcW w:w="959" w:type="dxa"/>
            <w:tcBorders>
              <w:top w:val="single" w:sz="4" w:space="0" w:color="auto"/>
              <w:left w:val="nil"/>
              <w:bottom w:val="single" w:sz="4" w:space="0" w:color="auto"/>
              <w:right w:val="nil"/>
            </w:tcBorders>
            <w:shd w:val="clear" w:color="auto" w:fill="auto"/>
            <w:noWrap/>
            <w:vAlign w:val="bottom"/>
            <w:hideMark/>
          </w:tcPr>
          <w:p w14:paraId="06FFAAE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30.42</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194D10C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16.35</w:t>
            </w:r>
          </w:p>
        </w:tc>
        <w:tc>
          <w:tcPr>
            <w:tcW w:w="655" w:type="dxa"/>
            <w:tcBorders>
              <w:top w:val="single" w:sz="4" w:space="0" w:color="auto"/>
              <w:left w:val="nil"/>
              <w:bottom w:val="single" w:sz="4" w:space="0" w:color="auto"/>
              <w:right w:val="nil"/>
            </w:tcBorders>
            <w:vAlign w:val="bottom"/>
          </w:tcPr>
          <w:p w14:paraId="3C8A65FC"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71.36</w:t>
            </w:r>
          </w:p>
        </w:tc>
      </w:tr>
      <w:tr w:rsidR="002934F0" w:rsidRPr="002934F0" w14:paraId="0E143E0E"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0E3B1255"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AM06</w:t>
            </w:r>
          </w:p>
        </w:tc>
        <w:tc>
          <w:tcPr>
            <w:tcW w:w="857" w:type="dxa"/>
            <w:tcBorders>
              <w:top w:val="single" w:sz="4" w:space="0" w:color="auto"/>
              <w:left w:val="nil"/>
              <w:bottom w:val="single" w:sz="4" w:space="0" w:color="auto"/>
              <w:right w:val="nil"/>
            </w:tcBorders>
            <w:shd w:val="clear" w:color="auto" w:fill="auto"/>
            <w:noWrap/>
            <w:vAlign w:val="bottom"/>
            <w:hideMark/>
          </w:tcPr>
          <w:p w14:paraId="0B3B011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10022</w:t>
            </w:r>
          </w:p>
        </w:tc>
        <w:tc>
          <w:tcPr>
            <w:tcW w:w="959" w:type="dxa"/>
            <w:tcBorders>
              <w:top w:val="single" w:sz="4" w:space="0" w:color="auto"/>
              <w:left w:val="nil"/>
              <w:bottom w:val="single" w:sz="4" w:space="0" w:color="auto"/>
              <w:right w:val="nil"/>
            </w:tcBorders>
            <w:shd w:val="clear" w:color="auto" w:fill="auto"/>
            <w:noWrap/>
            <w:vAlign w:val="bottom"/>
            <w:hideMark/>
          </w:tcPr>
          <w:p w14:paraId="71A5FB1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TR</w:t>
            </w:r>
          </w:p>
        </w:tc>
        <w:tc>
          <w:tcPr>
            <w:tcW w:w="942" w:type="dxa"/>
            <w:tcBorders>
              <w:top w:val="single" w:sz="4" w:space="0" w:color="auto"/>
              <w:left w:val="nil"/>
              <w:bottom w:val="single" w:sz="4" w:space="0" w:color="auto"/>
              <w:right w:val="nil"/>
            </w:tcBorders>
            <w:shd w:val="clear" w:color="auto" w:fill="auto"/>
            <w:noWrap/>
            <w:vAlign w:val="bottom"/>
            <w:hideMark/>
          </w:tcPr>
          <w:p w14:paraId="079E877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67C069B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33.03</w:t>
            </w:r>
          </w:p>
        </w:tc>
        <w:tc>
          <w:tcPr>
            <w:tcW w:w="959" w:type="dxa"/>
            <w:tcBorders>
              <w:top w:val="single" w:sz="4" w:space="0" w:color="auto"/>
              <w:left w:val="nil"/>
              <w:bottom w:val="single" w:sz="4" w:space="0" w:color="auto"/>
              <w:right w:val="nil"/>
            </w:tcBorders>
            <w:shd w:val="clear" w:color="auto" w:fill="auto"/>
            <w:noWrap/>
            <w:vAlign w:val="bottom"/>
            <w:hideMark/>
          </w:tcPr>
          <w:p w14:paraId="5BA3E712"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29.63</w:t>
            </w:r>
          </w:p>
        </w:tc>
        <w:tc>
          <w:tcPr>
            <w:tcW w:w="959" w:type="dxa"/>
            <w:tcBorders>
              <w:top w:val="single" w:sz="4" w:space="0" w:color="auto"/>
              <w:left w:val="nil"/>
              <w:bottom w:val="single" w:sz="4" w:space="0" w:color="auto"/>
              <w:right w:val="nil"/>
            </w:tcBorders>
            <w:shd w:val="clear" w:color="auto" w:fill="auto"/>
            <w:noWrap/>
            <w:vAlign w:val="bottom"/>
            <w:hideMark/>
          </w:tcPr>
          <w:p w14:paraId="39E47EB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37.89</w:t>
            </w:r>
          </w:p>
        </w:tc>
        <w:tc>
          <w:tcPr>
            <w:tcW w:w="959" w:type="dxa"/>
            <w:tcBorders>
              <w:top w:val="single" w:sz="4" w:space="0" w:color="auto"/>
              <w:left w:val="nil"/>
              <w:bottom w:val="single" w:sz="4" w:space="0" w:color="auto"/>
              <w:right w:val="nil"/>
            </w:tcBorders>
            <w:shd w:val="clear" w:color="auto" w:fill="auto"/>
            <w:noWrap/>
            <w:vAlign w:val="bottom"/>
            <w:hideMark/>
          </w:tcPr>
          <w:p w14:paraId="0DDE493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85.40</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23AC6E52"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60.30</w:t>
            </w:r>
          </w:p>
        </w:tc>
        <w:tc>
          <w:tcPr>
            <w:tcW w:w="655" w:type="dxa"/>
            <w:tcBorders>
              <w:top w:val="single" w:sz="4" w:space="0" w:color="auto"/>
              <w:left w:val="nil"/>
              <w:bottom w:val="single" w:sz="4" w:space="0" w:color="auto"/>
              <w:right w:val="nil"/>
            </w:tcBorders>
            <w:vAlign w:val="bottom"/>
          </w:tcPr>
          <w:p w14:paraId="29110C5E"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188.6</w:t>
            </w:r>
          </w:p>
        </w:tc>
      </w:tr>
      <w:tr w:rsidR="002934F0" w:rsidRPr="002934F0" w14:paraId="703C30E7"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FFF2CC" w:themeFill="accent4" w:themeFillTint="33"/>
            <w:noWrap/>
            <w:vAlign w:val="bottom"/>
            <w:hideMark/>
          </w:tcPr>
          <w:p w14:paraId="399D52A3"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AM07</w:t>
            </w:r>
          </w:p>
        </w:tc>
        <w:tc>
          <w:tcPr>
            <w:tcW w:w="857" w:type="dxa"/>
            <w:tcBorders>
              <w:top w:val="single" w:sz="4" w:space="0" w:color="auto"/>
              <w:left w:val="nil"/>
              <w:bottom w:val="single" w:sz="4" w:space="0" w:color="auto"/>
              <w:right w:val="nil"/>
            </w:tcBorders>
            <w:shd w:val="clear" w:color="auto" w:fill="FFF2CC" w:themeFill="accent4" w:themeFillTint="33"/>
            <w:noWrap/>
            <w:vAlign w:val="bottom"/>
            <w:hideMark/>
          </w:tcPr>
          <w:p w14:paraId="63780FD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9469</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100519D5"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FFF2CC" w:themeFill="accent4" w:themeFillTint="33"/>
            <w:noWrap/>
            <w:vAlign w:val="bottom"/>
            <w:hideMark/>
          </w:tcPr>
          <w:p w14:paraId="2EBCA89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169D7DA2"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32.95</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32E9673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27.90</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3F29D87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39.30</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43621024"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81.35</w:t>
            </w:r>
          </w:p>
        </w:tc>
        <w:tc>
          <w:tcPr>
            <w:tcW w:w="959" w:type="dxa"/>
            <w:tcBorders>
              <w:top w:val="single" w:sz="4" w:space="0" w:color="auto"/>
              <w:left w:val="nil"/>
              <w:bottom w:val="single" w:sz="4" w:space="0" w:color="auto"/>
              <w:right w:val="single" w:sz="4" w:space="0" w:color="auto"/>
            </w:tcBorders>
            <w:shd w:val="clear" w:color="auto" w:fill="FFF2CC" w:themeFill="accent4" w:themeFillTint="33"/>
            <w:noWrap/>
            <w:vAlign w:val="bottom"/>
            <w:hideMark/>
          </w:tcPr>
          <w:p w14:paraId="241216C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59.70</w:t>
            </w:r>
          </w:p>
        </w:tc>
        <w:tc>
          <w:tcPr>
            <w:tcW w:w="655" w:type="dxa"/>
            <w:tcBorders>
              <w:top w:val="single" w:sz="4" w:space="0" w:color="auto"/>
              <w:left w:val="nil"/>
              <w:bottom w:val="single" w:sz="4" w:space="0" w:color="auto"/>
              <w:right w:val="nil"/>
            </w:tcBorders>
            <w:shd w:val="clear" w:color="auto" w:fill="FFF2CC" w:themeFill="accent4" w:themeFillTint="33"/>
            <w:vAlign w:val="bottom"/>
          </w:tcPr>
          <w:p w14:paraId="6500F176"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186.2</w:t>
            </w:r>
          </w:p>
        </w:tc>
      </w:tr>
      <w:tr w:rsidR="002934F0" w:rsidRPr="002934F0" w14:paraId="744DF027"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502D037B"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AM08</w:t>
            </w:r>
          </w:p>
        </w:tc>
        <w:tc>
          <w:tcPr>
            <w:tcW w:w="857" w:type="dxa"/>
            <w:tcBorders>
              <w:top w:val="single" w:sz="4" w:space="0" w:color="auto"/>
              <w:left w:val="nil"/>
              <w:bottom w:val="single" w:sz="4" w:space="0" w:color="auto"/>
              <w:right w:val="nil"/>
            </w:tcBorders>
            <w:shd w:val="clear" w:color="auto" w:fill="auto"/>
            <w:noWrap/>
            <w:vAlign w:val="bottom"/>
            <w:hideMark/>
          </w:tcPr>
          <w:p w14:paraId="69EB5F5F"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17529</w:t>
            </w:r>
          </w:p>
        </w:tc>
        <w:tc>
          <w:tcPr>
            <w:tcW w:w="959" w:type="dxa"/>
            <w:tcBorders>
              <w:top w:val="single" w:sz="4" w:space="0" w:color="auto"/>
              <w:left w:val="nil"/>
              <w:bottom w:val="single" w:sz="4" w:space="0" w:color="auto"/>
              <w:right w:val="nil"/>
            </w:tcBorders>
            <w:shd w:val="clear" w:color="auto" w:fill="auto"/>
            <w:noWrap/>
            <w:vAlign w:val="bottom"/>
            <w:hideMark/>
          </w:tcPr>
          <w:p w14:paraId="05B6A99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auto"/>
            <w:noWrap/>
            <w:vAlign w:val="bottom"/>
            <w:hideMark/>
          </w:tcPr>
          <w:p w14:paraId="4B95A74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474028D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41.33</w:t>
            </w:r>
          </w:p>
        </w:tc>
        <w:tc>
          <w:tcPr>
            <w:tcW w:w="959" w:type="dxa"/>
            <w:tcBorders>
              <w:top w:val="single" w:sz="4" w:space="0" w:color="auto"/>
              <w:left w:val="nil"/>
              <w:bottom w:val="single" w:sz="4" w:space="0" w:color="auto"/>
              <w:right w:val="nil"/>
            </w:tcBorders>
            <w:shd w:val="clear" w:color="auto" w:fill="auto"/>
            <w:noWrap/>
            <w:vAlign w:val="bottom"/>
            <w:hideMark/>
          </w:tcPr>
          <w:p w14:paraId="036A865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48.57</w:t>
            </w:r>
          </w:p>
        </w:tc>
        <w:tc>
          <w:tcPr>
            <w:tcW w:w="959" w:type="dxa"/>
            <w:tcBorders>
              <w:top w:val="single" w:sz="4" w:space="0" w:color="auto"/>
              <w:left w:val="nil"/>
              <w:bottom w:val="single" w:sz="4" w:space="0" w:color="auto"/>
              <w:right w:val="nil"/>
            </w:tcBorders>
            <w:shd w:val="clear" w:color="auto" w:fill="auto"/>
            <w:noWrap/>
            <w:vAlign w:val="bottom"/>
            <w:hideMark/>
          </w:tcPr>
          <w:p w14:paraId="28B1464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46.19</w:t>
            </w:r>
          </w:p>
        </w:tc>
        <w:tc>
          <w:tcPr>
            <w:tcW w:w="959" w:type="dxa"/>
            <w:tcBorders>
              <w:top w:val="single" w:sz="4" w:space="0" w:color="auto"/>
              <w:left w:val="nil"/>
              <w:bottom w:val="single" w:sz="4" w:space="0" w:color="auto"/>
              <w:right w:val="nil"/>
            </w:tcBorders>
            <w:shd w:val="clear" w:color="auto" w:fill="auto"/>
            <w:noWrap/>
            <w:vAlign w:val="bottom"/>
            <w:hideMark/>
          </w:tcPr>
          <w:p w14:paraId="33E0BC06"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115.23</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4F9A038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86.44</w:t>
            </w:r>
          </w:p>
        </w:tc>
        <w:tc>
          <w:tcPr>
            <w:tcW w:w="655" w:type="dxa"/>
            <w:tcBorders>
              <w:top w:val="single" w:sz="4" w:space="0" w:color="auto"/>
              <w:left w:val="nil"/>
              <w:bottom w:val="single" w:sz="4" w:space="0" w:color="auto"/>
              <w:right w:val="nil"/>
            </w:tcBorders>
            <w:vAlign w:val="bottom"/>
          </w:tcPr>
          <w:p w14:paraId="62871C1A"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257.0</w:t>
            </w:r>
          </w:p>
        </w:tc>
      </w:tr>
      <w:tr w:rsidR="002934F0" w:rsidRPr="002934F0" w14:paraId="00228AC8"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6D02F8C8"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AM09</w:t>
            </w:r>
          </w:p>
        </w:tc>
        <w:tc>
          <w:tcPr>
            <w:tcW w:w="857" w:type="dxa"/>
            <w:tcBorders>
              <w:top w:val="single" w:sz="4" w:space="0" w:color="auto"/>
              <w:left w:val="nil"/>
              <w:bottom w:val="single" w:sz="4" w:space="0" w:color="auto"/>
              <w:right w:val="nil"/>
            </w:tcBorders>
            <w:shd w:val="clear" w:color="auto" w:fill="auto"/>
            <w:noWrap/>
            <w:vAlign w:val="bottom"/>
            <w:hideMark/>
          </w:tcPr>
          <w:p w14:paraId="260F112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8651</w:t>
            </w:r>
          </w:p>
        </w:tc>
        <w:tc>
          <w:tcPr>
            <w:tcW w:w="959" w:type="dxa"/>
            <w:tcBorders>
              <w:top w:val="single" w:sz="4" w:space="0" w:color="auto"/>
              <w:left w:val="nil"/>
              <w:bottom w:val="single" w:sz="4" w:space="0" w:color="auto"/>
              <w:right w:val="nil"/>
            </w:tcBorders>
            <w:shd w:val="clear" w:color="auto" w:fill="auto"/>
            <w:noWrap/>
            <w:vAlign w:val="bottom"/>
            <w:hideMark/>
          </w:tcPr>
          <w:p w14:paraId="2B121927"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35.34</w:t>
            </w:r>
          </w:p>
        </w:tc>
        <w:tc>
          <w:tcPr>
            <w:tcW w:w="942" w:type="dxa"/>
            <w:tcBorders>
              <w:top w:val="single" w:sz="4" w:space="0" w:color="auto"/>
              <w:left w:val="nil"/>
              <w:bottom w:val="single" w:sz="4" w:space="0" w:color="auto"/>
              <w:right w:val="nil"/>
            </w:tcBorders>
            <w:shd w:val="clear" w:color="auto" w:fill="auto"/>
            <w:noWrap/>
            <w:vAlign w:val="bottom"/>
            <w:hideMark/>
          </w:tcPr>
          <w:p w14:paraId="705BBD0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TR</w:t>
            </w:r>
          </w:p>
        </w:tc>
        <w:tc>
          <w:tcPr>
            <w:tcW w:w="959" w:type="dxa"/>
            <w:tcBorders>
              <w:top w:val="single" w:sz="4" w:space="0" w:color="auto"/>
              <w:left w:val="nil"/>
              <w:bottom w:val="single" w:sz="4" w:space="0" w:color="auto"/>
              <w:right w:val="nil"/>
            </w:tcBorders>
            <w:shd w:val="clear" w:color="auto" w:fill="auto"/>
            <w:noWrap/>
            <w:vAlign w:val="bottom"/>
            <w:hideMark/>
          </w:tcPr>
          <w:p w14:paraId="0A701A9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45.56</w:t>
            </w:r>
          </w:p>
        </w:tc>
        <w:tc>
          <w:tcPr>
            <w:tcW w:w="959" w:type="dxa"/>
            <w:tcBorders>
              <w:top w:val="single" w:sz="4" w:space="0" w:color="auto"/>
              <w:left w:val="nil"/>
              <w:bottom w:val="single" w:sz="4" w:space="0" w:color="auto"/>
              <w:right w:val="nil"/>
            </w:tcBorders>
            <w:shd w:val="clear" w:color="auto" w:fill="auto"/>
            <w:noWrap/>
            <w:vAlign w:val="bottom"/>
            <w:hideMark/>
          </w:tcPr>
          <w:p w14:paraId="09B94411"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35.72</w:t>
            </w:r>
          </w:p>
        </w:tc>
        <w:tc>
          <w:tcPr>
            <w:tcW w:w="959" w:type="dxa"/>
            <w:tcBorders>
              <w:top w:val="single" w:sz="4" w:space="0" w:color="auto"/>
              <w:left w:val="nil"/>
              <w:bottom w:val="single" w:sz="4" w:space="0" w:color="auto"/>
              <w:right w:val="nil"/>
            </w:tcBorders>
            <w:shd w:val="clear" w:color="auto" w:fill="auto"/>
            <w:noWrap/>
            <w:vAlign w:val="bottom"/>
            <w:hideMark/>
          </w:tcPr>
          <w:p w14:paraId="2374E38B"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62.20</w:t>
            </w:r>
          </w:p>
        </w:tc>
        <w:tc>
          <w:tcPr>
            <w:tcW w:w="959" w:type="dxa"/>
            <w:tcBorders>
              <w:top w:val="single" w:sz="4" w:space="0" w:color="auto"/>
              <w:left w:val="nil"/>
              <w:bottom w:val="single" w:sz="4" w:space="0" w:color="auto"/>
              <w:right w:val="nil"/>
            </w:tcBorders>
            <w:shd w:val="clear" w:color="auto" w:fill="auto"/>
            <w:noWrap/>
            <w:vAlign w:val="bottom"/>
            <w:hideMark/>
          </w:tcPr>
          <w:p w14:paraId="564A1B25"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178.11</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74003780"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137.25</w:t>
            </w:r>
          </w:p>
        </w:tc>
        <w:tc>
          <w:tcPr>
            <w:tcW w:w="655" w:type="dxa"/>
            <w:tcBorders>
              <w:top w:val="single" w:sz="4" w:space="0" w:color="auto"/>
              <w:left w:val="nil"/>
              <w:bottom w:val="single" w:sz="4" w:space="0" w:color="auto"/>
              <w:right w:val="nil"/>
            </w:tcBorders>
            <w:vAlign w:val="bottom"/>
          </w:tcPr>
          <w:p w14:paraId="475E1A44"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316.4</w:t>
            </w:r>
          </w:p>
        </w:tc>
      </w:tr>
      <w:tr w:rsidR="002934F0" w:rsidRPr="002934F0" w14:paraId="1F494850" w14:textId="77777777" w:rsidTr="00B86277">
        <w:trPr>
          <w:trHeight w:val="300"/>
        </w:trPr>
        <w:tc>
          <w:tcPr>
            <w:tcW w:w="1368" w:type="dxa"/>
            <w:tcBorders>
              <w:top w:val="single" w:sz="4" w:space="0" w:color="auto"/>
              <w:left w:val="single" w:sz="8" w:space="0" w:color="auto"/>
              <w:bottom w:val="single" w:sz="4" w:space="0" w:color="auto"/>
              <w:right w:val="single" w:sz="8" w:space="0" w:color="auto"/>
            </w:tcBorders>
            <w:shd w:val="clear" w:color="auto" w:fill="FFF2CC" w:themeFill="accent4" w:themeFillTint="33"/>
            <w:noWrap/>
            <w:vAlign w:val="bottom"/>
            <w:hideMark/>
          </w:tcPr>
          <w:p w14:paraId="4832D999"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AM06 (INV)</w:t>
            </w:r>
          </w:p>
        </w:tc>
        <w:tc>
          <w:tcPr>
            <w:tcW w:w="857" w:type="dxa"/>
            <w:tcBorders>
              <w:top w:val="single" w:sz="4" w:space="0" w:color="auto"/>
              <w:left w:val="nil"/>
              <w:bottom w:val="single" w:sz="4" w:space="0" w:color="auto"/>
              <w:right w:val="nil"/>
            </w:tcBorders>
            <w:shd w:val="clear" w:color="auto" w:fill="FFF2CC" w:themeFill="accent4" w:themeFillTint="33"/>
            <w:noWrap/>
            <w:vAlign w:val="bottom"/>
            <w:hideMark/>
          </w:tcPr>
          <w:p w14:paraId="61D28C3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845</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655AD73A"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42" w:type="dxa"/>
            <w:tcBorders>
              <w:top w:val="single" w:sz="4" w:space="0" w:color="auto"/>
              <w:left w:val="nil"/>
              <w:bottom w:val="single" w:sz="4" w:space="0" w:color="auto"/>
              <w:right w:val="nil"/>
            </w:tcBorders>
            <w:shd w:val="clear" w:color="auto" w:fill="FFF2CC" w:themeFill="accent4" w:themeFillTint="33"/>
            <w:noWrap/>
            <w:vAlign w:val="bottom"/>
            <w:hideMark/>
          </w:tcPr>
          <w:p w14:paraId="68FFA874"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32EE68E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32.45</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7F3BE618"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17.76</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37F7280C"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24.71</w:t>
            </w:r>
          </w:p>
        </w:tc>
        <w:tc>
          <w:tcPr>
            <w:tcW w:w="959" w:type="dxa"/>
            <w:tcBorders>
              <w:top w:val="single" w:sz="4" w:space="0" w:color="auto"/>
              <w:left w:val="nil"/>
              <w:bottom w:val="single" w:sz="4" w:space="0" w:color="auto"/>
              <w:right w:val="nil"/>
            </w:tcBorders>
            <w:shd w:val="clear" w:color="auto" w:fill="FFF2CC" w:themeFill="accent4" w:themeFillTint="33"/>
            <w:noWrap/>
            <w:vAlign w:val="bottom"/>
            <w:hideMark/>
          </w:tcPr>
          <w:p w14:paraId="1FC81B9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100.93</w:t>
            </w:r>
          </w:p>
        </w:tc>
        <w:tc>
          <w:tcPr>
            <w:tcW w:w="959" w:type="dxa"/>
            <w:tcBorders>
              <w:top w:val="single" w:sz="4" w:space="0" w:color="auto"/>
              <w:left w:val="nil"/>
              <w:bottom w:val="single" w:sz="4" w:space="0" w:color="auto"/>
              <w:right w:val="single" w:sz="4" w:space="0" w:color="auto"/>
            </w:tcBorders>
            <w:shd w:val="clear" w:color="auto" w:fill="FFF2CC" w:themeFill="accent4" w:themeFillTint="33"/>
            <w:noWrap/>
            <w:vAlign w:val="bottom"/>
            <w:hideMark/>
          </w:tcPr>
          <w:p w14:paraId="5AD84C45"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96.58</w:t>
            </w:r>
          </w:p>
        </w:tc>
        <w:tc>
          <w:tcPr>
            <w:tcW w:w="655" w:type="dxa"/>
            <w:tcBorders>
              <w:top w:val="single" w:sz="4" w:space="0" w:color="auto"/>
              <w:left w:val="nil"/>
              <w:bottom w:val="single" w:sz="4" w:space="0" w:color="auto"/>
              <w:right w:val="nil"/>
            </w:tcBorders>
            <w:shd w:val="clear" w:color="auto" w:fill="FFF2CC" w:themeFill="accent4" w:themeFillTint="33"/>
            <w:vAlign w:val="bottom"/>
          </w:tcPr>
          <w:p w14:paraId="36F2E509"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101.2</w:t>
            </w:r>
          </w:p>
        </w:tc>
      </w:tr>
      <w:tr w:rsidR="002934F0" w:rsidRPr="002934F0" w14:paraId="30244D7B" w14:textId="77777777" w:rsidTr="00B86277">
        <w:trPr>
          <w:trHeight w:val="315"/>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5967E7D3" w14:textId="77777777" w:rsidR="002934F0" w:rsidRPr="002934F0" w:rsidRDefault="002934F0" w:rsidP="0023427E">
            <w:pPr>
              <w:spacing w:after="0" w:line="276" w:lineRule="auto"/>
              <w:jc w:val="center"/>
              <w:rPr>
                <w:rFonts w:ascii="Times New Roman" w:eastAsia="Times New Roman" w:hAnsi="Times New Roman" w:cs="Times New Roman"/>
                <w:b/>
                <w:bCs/>
                <w:color w:val="000000"/>
                <w:sz w:val="20"/>
                <w:szCs w:val="20"/>
              </w:rPr>
            </w:pPr>
            <w:r w:rsidRPr="002934F0">
              <w:rPr>
                <w:rFonts w:ascii="Times New Roman" w:hAnsi="Times New Roman" w:cs="Times New Roman"/>
                <w:b/>
                <w:bCs/>
                <w:color w:val="000000"/>
                <w:sz w:val="20"/>
                <w:szCs w:val="20"/>
              </w:rPr>
              <w:t>AM07 (INV)</w:t>
            </w:r>
          </w:p>
        </w:tc>
        <w:tc>
          <w:tcPr>
            <w:tcW w:w="857" w:type="dxa"/>
            <w:tcBorders>
              <w:top w:val="single" w:sz="4" w:space="0" w:color="auto"/>
              <w:left w:val="nil"/>
              <w:bottom w:val="single" w:sz="4" w:space="0" w:color="auto"/>
              <w:right w:val="nil"/>
            </w:tcBorders>
            <w:shd w:val="clear" w:color="auto" w:fill="auto"/>
            <w:noWrap/>
            <w:vAlign w:val="bottom"/>
            <w:hideMark/>
          </w:tcPr>
          <w:p w14:paraId="02355D6D"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3751</w:t>
            </w:r>
          </w:p>
        </w:tc>
        <w:tc>
          <w:tcPr>
            <w:tcW w:w="959" w:type="dxa"/>
            <w:tcBorders>
              <w:top w:val="single" w:sz="4" w:space="0" w:color="auto"/>
              <w:left w:val="nil"/>
              <w:bottom w:val="single" w:sz="4" w:space="0" w:color="auto"/>
              <w:right w:val="nil"/>
            </w:tcBorders>
            <w:shd w:val="clear" w:color="auto" w:fill="auto"/>
            <w:noWrap/>
            <w:vAlign w:val="bottom"/>
            <w:hideMark/>
          </w:tcPr>
          <w:p w14:paraId="544DD4EB"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38.84</w:t>
            </w:r>
          </w:p>
        </w:tc>
        <w:tc>
          <w:tcPr>
            <w:tcW w:w="942" w:type="dxa"/>
            <w:tcBorders>
              <w:top w:val="single" w:sz="4" w:space="0" w:color="auto"/>
              <w:left w:val="nil"/>
              <w:bottom w:val="single" w:sz="4" w:space="0" w:color="auto"/>
              <w:right w:val="nil"/>
            </w:tcBorders>
            <w:shd w:val="clear" w:color="auto" w:fill="auto"/>
            <w:noWrap/>
            <w:vAlign w:val="bottom"/>
            <w:hideMark/>
          </w:tcPr>
          <w:p w14:paraId="48EE2FA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ND</w:t>
            </w:r>
          </w:p>
        </w:tc>
        <w:tc>
          <w:tcPr>
            <w:tcW w:w="959" w:type="dxa"/>
            <w:tcBorders>
              <w:top w:val="single" w:sz="4" w:space="0" w:color="auto"/>
              <w:left w:val="nil"/>
              <w:bottom w:val="single" w:sz="4" w:space="0" w:color="auto"/>
              <w:right w:val="nil"/>
            </w:tcBorders>
            <w:shd w:val="clear" w:color="auto" w:fill="auto"/>
            <w:noWrap/>
            <w:vAlign w:val="bottom"/>
            <w:hideMark/>
          </w:tcPr>
          <w:p w14:paraId="74A753A3"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0.00</w:t>
            </w:r>
          </w:p>
        </w:tc>
        <w:tc>
          <w:tcPr>
            <w:tcW w:w="959" w:type="dxa"/>
            <w:tcBorders>
              <w:top w:val="single" w:sz="4" w:space="0" w:color="auto"/>
              <w:left w:val="nil"/>
              <w:bottom w:val="single" w:sz="4" w:space="0" w:color="auto"/>
              <w:right w:val="nil"/>
            </w:tcBorders>
            <w:shd w:val="clear" w:color="auto" w:fill="auto"/>
            <w:noWrap/>
            <w:vAlign w:val="bottom"/>
            <w:hideMark/>
          </w:tcPr>
          <w:p w14:paraId="52408DF9"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32.29</w:t>
            </w:r>
          </w:p>
        </w:tc>
        <w:tc>
          <w:tcPr>
            <w:tcW w:w="959" w:type="dxa"/>
            <w:tcBorders>
              <w:top w:val="single" w:sz="4" w:space="0" w:color="auto"/>
              <w:left w:val="nil"/>
              <w:bottom w:val="single" w:sz="4" w:space="0" w:color="auto"/>
              <w:right w:val="nil"/>
            </w:tcBorders>
            <w:shd w:val="clear" w:color="auto" w:fill="auto"/>
            <w:noWrap/>
            <w:vAlign w:val="bottom"/>
            <w:hideMark/>
          </w:tcPr>
          <w:p w14:paraId="119369BE"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33.05</w:t>
            </w:r>
          </w:p>
        </w:tc>
        <w:tc>
          <w:tcPr>
            <w:tcW w:w="959" w:type="dxa"/>
            <w:tcBorders>
              <w:top w:val="single" w:sz="4" w:space="0" w:color="auto"/>
              <w:left w:val="nil"/>
              <w:bottom w:val="single" w:sz="4" w:space="0" w:color="auto"/>
              <w:right w:val="nil"/>
            </w:tcBorders>
            <w:shd w:val="clear" w:color="auto" w:fill="auto"/>
            <w:noWrap/>
            <w:vAlign w:val="bottom"/>
            <w:hideMark/>
          </w:tcPr>
          <w:p w14:paraId="5F4C6128"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0.00</w:t>
            </w:r>
          </w:p>
        </w:tc>
        <w:tc>
          <w:tcPr>
            <w:tcW w:w="959" w:type="dxa"/>
            <w:tcBorders>
              <w:top w:val="single" w:sz="4" w:space="0" w:color="auto"/>
              <w:left w:val="nil"/>
              <w:bottom w:val="single" w:sz="4" w:space="0" w:color="auto"/>
              <w:right w:val="single" w:sz="4" w:space="0" w:color="auto"/>
            </w:tcBorders>
            <w:shd w:val="clear" w:color="auto" w:fill="auto"/>
            <w:noWrap/>
            <w:vAlign w:val="bottom"/>
            <w:hideMark/>
          </w:tcPr>
          <w:p w14:paraId="10383225" w14:textId="77777777" w:rsidR="002934F0" w:rsidRPr="002934F0" w:rsidRDefault="002934F0" w:rsidP="0023427E">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87.99</w:t>
            </w:r>
          </w:p>
        </w:tc>
        <w:tc>
          <w:tcPr>
            <w:tcW w:w="655" w:type="dxa"/>
            <w:tcBorders>
              <w:top w:val="single" w:sz="4" w:space="0" w:color="auto"/>
              <w:left w:val="nil"/>
              <w:bottom w:val="single" w:sz="4" w:space="0" w:color="auto"/>
              <w:right w:val="nil"/>
            </w:tcBorders>
            <w:vAlign w:val="bottom"/>
          </w:tcPr>
          <w:p w14:paraId="56E87D85"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TR</w:t>
            </w:r>
          </w:p>
        </w:tc>
      </w:tr>
      <w:tr w:rsidR="0055442C" w:rsidRPr="002934F0" w14:paraId="39F0EDE0" w14:textId="77777777" w:rsidTr="00B86277">
        <w:trPr>
          <w:trHeight w:val="315"/>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tcPr>
          <w:p w14:paraId="7BBD2C51" w14:textId="77777777" w:rsidR="0055442C" w:rsidRPr="002934F0" w:rsidRDefault="0055442C" w:rsidP="0023427E">
            <w:pPr>
              <w:spacing w:after="0" w:line="276" w:lineRule="auto"/>
              <w:jc w:val="center"/>
              <w:rPr>
                <w:rFonts w:ascii="Times New Roman" w:hAnsi="Times New Roman" w:cs="Times New Roman"/>
                <w:b/>
                <w:bCs/>
                <w:color w:val="000000"/>
                <w:sz w:val="20"/>
                <w:szCs w:val="20"/>
              </w:rPr>
            </w:pPr>
            <w:r>
              <w:rPr>
                <w:rFonts w:ascii="Times New Roman" w:hAnsi="Times New Roman" w:cs="Times New Roman"/>
                <w:b/>
                <w:bCs/>
                <w:color w:val="000000"/>
                <w:sz w:val="20"/>
                <w:szCs w:val="20"/>
              </w:rPr>
              <w:t>WA State Standard+</w:t>
            </w:r>
          </w:p>
        </w:tc>
        <w:tc>
          <w:tcPr>
            <w:tcW w:w="857" w:type="dxa"/>
            <w:tcBorders>
              <w:top w:val="single" w:sz="4" w:space="0" w:color="auto"/>
              <w:left w:val="nil"/>
              <w:bottom w:val="single" w:sz="4" w:space="0" w:color="auto"/>
              <w:right w:val="nil"/>
            </w:tcBorders>
            <w:shd w:val="clear" w:color="auto" w:fill="auto"/>
            <w:noWrap/>
            <w:vAlign w:val="bottom"/>
          </w:tcPr>
          <w:p w14:paraId="235A07F4" w14:textId="77777777" w:rsidR="0055442C" w:rsidRPr="002934F0" w:rsidRDefault="0055442C" w:rsidP="0023427E">
            <w:pPr>
              <w:spacing w:after="0" w:line="276" w:lineRule="auto"/>
              <w:jc w:val="center"/>
              <w:rPr>
                <w:rFonts w:ascii="Times New Roman" w:hAnsi="Times New Roman" w:cs="Times New Roman"/>
                <w:color w:val="000000"/>
                <w:sz w:val="20"/>
                <w:szCs w:val="20"/>
              </w:rPr>
            </w:pPr>
          </w:p>
        </w:tc>
        <w:tc>
          <w:tcPr>
            <w:tcW w:w="959" w:type="dxa"/>
            <w:tcBorders>
              <w:top w:val="single" w:sz="4" w:space="0" w:color="auto"/>
              <w:left w:val="nil"/>
              <w:bottom w:val="single" w:sz="4" w:space="0" w:color="auto"/>
              <w:right w:val="nil"/>
            </w:tcBorders>
            <w:shd w:val="clear" w:color="auto" w:fill="auto"/>
            <w:noWrap/>
            <w:vAlign w:val="bottom"/>
          </w:tcPr>
          <w:p w14:paraId="4FEFDE1A"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57</w:t>
            </w:r>
          </w:p>
        </w:tc>
        <w:tc>
          <w:tcPr>
            <w:tcW w:w="942" w:type="dxa"/>
            <w:tcBorders>
              <w:top w:val="single" w:sz="4" w:space="0" w:color="auto"/>
              <w:left w:val="nil"/>
              <w:bottom w:val="single" w:sz="4" w:space="0" w:color="auto"/>
              <w:right w:val="nil"/>
            </w:tcBorders>
            <w:shd w:val="clear" w:color="auto" w:fill="auto"/>
            <w:noWrap/>
            <w:vAlign w:val="bottom"/>
          </w:tcPr>
          <w:p w14:paraId="402869B5"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5.1</w:t>
            </w:r>
          </w:p>
        </w:tc>
        <w:tc>
          <w:tcPr>
            <w:tcW w:w="959" w:type="dxa"/>
            <w:tcBorders>
              <w:top w:val="single" w:sz="4" w:space="0" w:color="auto"/>
              <w:left w:val="nil"/>
              <w:bottom w:val="single" w:sz="4" w:space="0" w:color="auto"/>
              <w:right w:val="nil"/>
            </w:tcBorders>
            <w:shd w:val="clear" w:color="auto" w:fill="auto"/>
            <w:noWrap/>
            <w:vAlign w:val="bottom"/>
          </w:tcPr>
          <w:p w14:paraId="696C0B8F"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260</w:t>
            </w:r>
          </w:p>
        </w:tc>
        <w:tc>
          <w:tcPr>
            <w:tcW w:w="959" w:type="dxa"/>
            <w:tcBorders>
              <w:top w:val="single" w:sz="4" w:space="0" w:color="auto"/>
              <w:left w:val="nil"/>
              <w:bottom w:val="single" w:sz="4" w:space="0" w:color="auto"/>
              <w:right w:val="nil"/>
            </w:tcBorders>
            <w:shd w:val="clear" w:color="auto" w:fill="auto"/>
            <w:noWrap/>
            <w:vAlign w:val="bottom"/>
          </w:tcPr>
          <w:p w14:paraId="71045FBD"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390</w:t>
            </w:r>
          </w:p>
        </w:tc>
        <w:tc>
          <w:tcPr>
            <w:tcW w:w="959" w:type="dxa"/>
            <w:tcBorders>
              <w:top w:val="single" w:sz="4" w:space="0" w:color="auto"/>
              <w:left w:val="nil"/>
              <w:bottom w:val="single" w:sz="4" w:space="0" w:color="auto"/>
              <w:right w:val="nil"/>
            </w:tcBorders>
            <w:shd w:val="clear" w:color="auto" w:fill="auto"/>
            <w:noWrap/>
            <w:vAlign w:val="bottom"/>
          </w:tcPr>
          <w:p w14:paraId="4FD9B9FD" w14:textId="77777777" w:rsidR="0055442C" w:rsidRPr="002934F0" w:rsidRDefault="0055442C" w:rsidP="0023427E">
            <w:pPr>
              <w:spacing w:after="0" w:line="276" w:lineRule="auto"/>
              <w:jc w:val="center"/>
              <w:rPr>
                <w:rFonts w:ascii="Times New Roman" w:hAnsi="Times New Roman" w:cs="Times New Roman"/>
                <w:color w:val="000000"/>
                <w:sz w:val="20"/>
                <w:szCs w:val="20"/>
              </w:rPr>
            </w:pPr>
          </w:p>
        </w:tc>
        <w:tc>
          <w:tcPr>
            <w:tcW w:w="959" w:type="dxa"/>
            <w:tcBorders>
              <w:top w:val="single" w:sz="4" w:space="0" w:color="auto"/>
              <w:left w:val="nil"/>
              <w:bottom w:val="single" w:sz="4" w:space="0" w:color="auto"/>
              <w:right w:val="nil"/>
            </w:tcBorders>
            <w:shd w:val="clear" w:color="auto" w:fill="auto"/>
            <w:noWrap/>
            <w:vAlign w:val="bottom"/>
          </w:tcPr>
          <w:p w14:paraId="6EC10123"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450</w:t>
            </w:r>
          </w:p>
        </w:tc>
        <w:tc>
          <w:tcPr>
            <w:tcW w:w="959" w:type="dxa"/>
            <w:tcBorders>
              <w:top w:val="single" w:sz="4" w:space="0" w:color="auto"/>
              <w:left w:val="nil"/>
              <w:bottom w:val="single" w:sz="4" w:space="0" w:color="auto"/>
              <w:right w:val="single" w:sz="4" w:space="0" w:color="auto"/>
            </w:tcBorders>
            <w:shd w:val="clear" w:color="auto" w:fill="auto"/>
            <w:noWrap/>
            <w:vAlign w:val="bottom"/>
          </w:tcPr>
          <w:p w14:paraId="7D55A0EF" w14:textId="77777777" w:rsidR="0055442C" w:rsidRPr="002934F0" w:rsidRDefault="00B86277" w:rsidP="0023427E">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410</w:t>
            </w:r>
          </w:p>
        </w:tc>
        <w:tc>
          <w:tcPr>
            <w:tcW w:w="655" w:type="dxa"/>
            <w:tcBorders>
              <w:top w:val="single" w:sz="4" w:space="0" w:color="auto"/>
              <w:left w:val="nil"/>
              <w:bottom w:val="single" w:sz="4" w:space="0" w:color="auto"/>
              <w:right w:val="nil"/>
            </w:tcBorders>
            <w:vAlign w:val="bottom"/>
          </w:tcPr>
          <w:p w14:paraId="590BEF87" w14:textId="77777777" w:rsidR="0055442C" w:rsidRPr="002934F0" w:rsidRDefault="0055442C" w:rsidP="0023427E">
            <w:pPr>
              <w:spacing w:after="0" w:line="276" w:lineRule="auto"/>
              <w:jc w:val="center"/>
              <w:rPr>
                <w:rFonts w:ascii="Times New Roman" w:hAnsi="Times New Roman" w:cs="Times New Roman"/>
                <w:color w:val="000000"/>
                <w:sz w:val="20"/>
                <w:szCs w:val="20"/>
              </w:rPr>
            </w:pPr>
          </w:p>
        </w:tc>
      </w:tr>
      <w:tr w:rsidR="002934F0" w:rsidRPr="002934F0" w14:paraId="240411F0" w14:textId="77777777" w:rsidTr="00B86277">
        <w:trPr>
          <w:trHeight w:val="315"/>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bottom"/>
          </w:tcPr>
          <w:p w14:paraId="6AE2906D" w14:textId="77777777" w:rsidR="002934F0" w:rsidRPr="002934F0" w:rsidRDefault="002934F0" w:rsidP="0023427E">
            <w:pPr>
              <w:spacing w:after="0" w:line="276" w:lineRule="auto"/>
              <w:jc w:val="center"/>
              <w:rPr>
                <w:rFonts w:ascii="Times New Roman" w:hAnsi="Times New Roman" w:cs="Times New Roman"/>
                <w:b/>
                <w:bCs/>
                <w:color w:val="000000"/>
                <w:sz w:val="20"/>
                <w:szCs w:val="20"/>
              </w:rPr>
            </w:pPr>
            <w:r w:rsidRPr="002934F0">
              <w:rPr>
                <w:rFonts w:ascii="Times New Roman" w:hAnsi="Times New Roman" w:cs="Times New Roman"/>
                <w:b/>
                <w:bCs/>
                <w:color w:val="000000"/>
                <w:sz w:val="20"/>
                <w:szCs w:val="20"/>
              </w:rPr>
              <w:t>Quantitative Limit</w:t>
            </w:r>
          </w:p>
        </w:tc>
        <w:tc>
          <w:tcPr>
            <w:tcW w:w="857" w:type="dxa"/>
            <w:tcBorders>
              <w:top w:val="single" w:sz="4" w:space="0" w:color="auto"/>
              <w:left w:val="nil"/>
              <w:bottom w:val="single" w:sz="4" w:space="0" w:color="auto"/>
              <w:right w:val="nil"/>
            </w:tcBorders>
            <w:shd w:val="clear" w:color="auto" w:fill="auto"/>
            <w:noWrap/>
            <w:vAlign w:val="bottom"/>
          </w:tcPr>
          <w:p w14:paraId="10CB8E93"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0.13</w:t>
            </w:r>
          </w:p>
        </w:tc>
        <w:tc>
          <w:tcPr>
            <w:tcW w:w="959" w:type="dxa"/>
            <w:tcBorders>
              <w:top w:val="single" w:sz="4" w:space="0" w:color="auto"/>
              <w:left w:val="nil"/>
              <w:bottom w:val="single" w:sz="4" w:space="0" w:color="auto"/>
              <w:right w:val="nil"/>
            </w:tcBorders>
            <w:shd w:val="clear" w:color="auto" w:fill="auto"/>
            <w:noWrap/>
            <w:vAlign w:val="bottom"/>
          </w:tcPr>
          <w:p w14:paraId="6C29634F"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0.11</w:t>
            </w:r>
          </w:p>
        </w:tc>
        <w:tc>
          <w:tcPr>
            <w:tcW w:w="942" w:type="dxa"/>
            <w:tcBorders>
              <w:top w:val="single" w:sz="4" w:space="0" w:color="auto"/>
              <w:left w:val="nil"/>
              <w:bottom w:val="single" w:sz="4" w:space="0" w:color="auto"/>
              <w:right w:val="nil"/>
            </w:tcBorders>
            <w:shd w:val="clear" w:color="auto" w:fill="auto"/>
            <w:noWrap/>
            <w:vAlign w:val="bottom"/>
          </w:tcPr>
          <w:p w14:paraId="0AD3B999"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0.15</w:t>
            </w:r>
          </w:p>
        </w:tc>
        <w:tc>
          <w:tcPr>
            <w:tcW w:w="959" w:type="dxa"/>
            <w:tcBorders>
              <w:top w:val="single" w:sz="4" w:space="0" w:color="auto"/>
              <w:left w:val="nil"/>
              <w:bottom w:val="single" w:sz="4" w:space="0" w:color="auto"/>
              <w:right w:val="nil"/>
            </w:tcBorders>
            <w:shd w:val="clear" w:color="auto" w:fill="auto"/>
            <w:noWrap/>
            <w:vAlign w:val="bottom"/>
          </w:tcPr>
          <w:p w14:paraId="7783EBA2"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0.14</w:t>
            </w:r>
          </w:p>
        </w:tc>
        <w:tc>
          <w:tcPr>
            <w:tcW w:w="959" w:type="dxa"/>
            <w:tcBorders>
              <w:top w:val="single" w:sz="4" w:space="0" w:color="auto"/>
              <w:left w:val="nil"/>
              <w:bottom w:val="single" w:sz="4" w:space="0" w:color="auto"/>
              <w:right w:val="nil"/>
            </w:tcBorders>
            <w:shd w:val="clear" w:color="auto" w:fill="auto"/>
            <w:noWrap/>
            <w:vAlign w:val="bottom"/>
          </w:tcPr>
          <w:p w14:paraId="1AF3A9E1"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0.06</w:t>
            </w:r>
          </w:p>
        </w:tc>
        <w:tc>
          <w:tcPr>
            <w:tcW w:w="959" w:type="dxa"/>
            <w:tcBorders>
              <w:top w:val="single" w:sz="4" w:space="0" w:color="auto"/>
              <w:left w:val="nil"/>
              <w:bottom w:val="single" w:sz="4" w:space="0" w:color="auto"/>
              <w:right w:val="nil"/>
            </w:tcBorders>
            <w:shd w:val="clear" w:color="auto" w:fill="auto"/>
            <w:noWrap/>
            <w:vAlign w:val="bottom"/>
          </w:tcPr>
          <w:p w14:paraId="10C8D251"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0.03</w:t>
            </w:r>
          </w:p>
        </w:tc>
        <w:tc>
          <w:tcPr>
            <w:tcW w:w="959" w:type="dxa"/>
            <w:tcBorders>
              <w:top w:val="single" w:sz="4" w:space="0" w:color="auto"/>
              <w:left w:val="nil"/>
              <w:bottom w:val="single" w:sz="4" w:space="0" w:color="auto"/>
              <w:right w:val="nil"/>
            </w:tcBorders>
            <w:shd w:val="clear" w:color="auto" w:fill="auto"/>
            <w:noWrap/>
            <w:vAlign w:val="bottom"/>
          </w:tcPr>
          <w:p w14:paraId="03391C09"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0.23</w:t>
            </w:r>
          </w:p>
        </w:tc>
        <w:tc>
          <w:tcPr>
            <w:tcW w:w="959" w:type="dxa"/>
            <w:tcBorders>
              <w:top w:val="single" w:sz="4" w:space="0" w:color="auto"/>
              <w:left w:val="nil"/>
              <w:bottom w:val="single" w:sz="4" w:space="0" w:color="auto"/>
              <w:right w:val="single" w:sz="4" w:space="0" w:color="auto"/>
            </w:tcBorders>
            <w:shd w:val="clear" w:color="auto" w:fill="auto"/>
            <w:noWrap/>
            <w:vAlign w:val="bottom"/>
          </w:tcPr>
          <w:p w14:paraId="40F537FF"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0.10</w:t>
            </w:r>
          </w:p>
        </w:tc>
        <w:tc>
          <w:tcPr>
            <w:tcW w:w="655" w:type="dxa"/>
            <w:tcBorders>
              <w:top w:val="single" w:sz="4" w:space="0" w:color="auto"/>
              <w:left w:val="nil"/>
              <w:bottom w:val="single" w:sz="4" w:space="0" w:color="auto"/>
              <w:right w:val="nil"/>
            </w:tcBorders>
            <w:vAlign w:val="bottom"/>
          </w:tcPr>
          <w:p w14:paraId="1A720A5B"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0.49</w:t>
            </w:r>
          </w:p>
        </w:tc>
      </w:tr>
      <w:tr w:rsidR="002934F0" w:rsidRPr="002934F0" w14:paraId="1EA0C8B5" w14:textId="77777777" w:rsidTr="00B86277">
        <w:trPr>
          <w:trHeight w:val="315"/>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bottom"/>
          </w:tcPr>
          <w:p w14:paraId="4B30E599" w14:textId="77777777" w:rsidR="002934F0" w:rsidRPr="002934F0" w:rsidRDefault="002934F0" w:rsidP="0023427E">
            <w:pPr>
              <w:spacing w:after="0" w:line="276" w:lineRule="auto"/>
              <w:jc w:val="center"/>
              <w:rPr>
                <w:rFonts w:ascii="Times New Roman" w:hAnsi="Times New Roman" w:cs="Times New Roman"/>
                <w:b/>
                <w:bCs/>
                <w:color w:val="000000"/>
                <w:sz w:val="20"/>
                <w:szCs w:val="20"/>
              </w:rPr>
            </w:pPr>
            <w:r w:rsidRPr="002934F0">
              <w:rPr>
                <w:rFonts w:ascii="Times New Roman" w:hAnsi="Times New Roman" w:cs="Times New Roman"/>
                <w:b/>
                <w:bCs/>
                <w:color w:val="000000"/>
                <w:sz w:val="20"/>
                <w:szCs w:val="20"/>
              </w:rPr>
              <w:t>Detection Limit</w:t>
            </w:r>
          </w:p>
        </w:tc>
        <w:tc>
          <w:tcPr>
            <w:tcW w:w="857" w:type="dxa"/>
            <w:tcBorders>
              <w:top w:val="single" w:sz="4" w:space="0" w:color="auto"/>
              <w:left w:val="nil"/>
              <w:bottom w:val="single" w:sz="8" w:space="0" w:color="auto"/>
              <w:right w:val="nil"/>
            </w:tcBorders>
            <w:shd w:val="clear" w:color="auto" w:fill="auto"/>
            <w:noWrap/>
            <w:vAlign w:val="bottom"/>
          </w:tcPr>
          <w:p w14:paraId="2DE50E60"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0.039</w:t>
            </w:r>
          </w:p>
        </w:tc>
        <w:tc>
          <w:tcPr>
            <w:tcW w:w="959" w:type="dxa"/>
            <w:tcBorders>
              <w:top w:val="single" w:sz="4" w:space="0" w:color="auto"/>
              <w:left w:val="nil"/>
              <w:bottom w:val="single" w:sz="8" w:space="0" w:color="auto"/>
              <w:right w:val="nil"/>
            </w:tcBorders>
            <w:shd w:val="clear" w:color="auto" w:fill="auto"/>
            <w:noWrap/>
            <w:vAlign w:val="bottom"/>
          </w:tcPr>
          <w:p w14:paraId="47655303"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0.032</w:t>
            </w:r>
          </w:p>
        </w:tc>
        <w:tc>
          <w:tcPr>
            <w:tcW w:w="942" w:type="dxa"/>
            <w:tcBorders>
              <w:top w:val="single" w:sz="4" w:space="0" w:color="auto"/>
              <w:left w:val="nil"/>
              <w:bottom w:val="single" w:sz="8" w:space="0" w:color="auto"/>
              <w:right w:val="nil"/>
            </w:tcBorders>
            <w:shd w:val="clear" w:color="auto" w:fill="auto"/>
            <w:noWrap/>
            <w:vAlign w:val="bottom"/>
          </w:tcPr>
          <w:p w14:paraId="152E87A3"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0.046</w:t>
            </w:r>
          </w:p>
        </w:tc>
        <w:tc>
          <w:tcPr>
            <w:tcW w:w="959" w:type="dxa"/>
            <w:tcBorders>
              <w:top w:val="single" w:sz="4" w:space="0" w:color="auto"/>
              <w:left w:val="nil"/>
              <w:bottom w:val="single" w:sz="8" w:space="0" w:color="auto"/>
              <w:right w:val="nil"/>
            </w:tcBorders>
            <w:shd w:val="clear" w:color="auto" w:fill="auto"/>
            <w:noWrap/>
            <w:vAlign w:val="bottom"/>
          </w:tcPr>
          <w:p w14:paraId="3516411F"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0.042</w:t>
            </w:r>
          </w:p>
        </w:tc>
        <w:tc>
          <w:tcPr>
            <w:tcW w:w="959" w:type="dxa"/>
            <w:tcBorders>
              <w:top w:val="single" w:sz="4" w:space="0" w:color="auto"/>
              <w:left w:val="nil"/>
              <w:bottom w:val="single" w:sz="8" w:space="0" w:color="auto"/>
              <w:right w:val="nil"/>
            </w:tcBorders>
            <w:shd w:val="clear" w:color="auto" w:fill="auto"/>
            <w:noWrap/>
            <w:vAlign w:val="bottom"/>
          </w:tcPr>
          <w:p w14:paraId="31CD11FD"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0.019</w:t>
            </w:r>
          </w:p>
        </w:tc>
        <w:tc>
          <w:tcPr>
            <w:tcW w:w="959" w:type="dxa"/>
            <w:tcBorders>
              <w:top w:val="single" w:sz="4" w:space="0" w:color="auto"/>
              <w:left w:val="nil"/>
              <w:bottom w:val="single" w:sz="8" w:space="0" w:color="auto"/>
              <w:right w:val="nil"/>
            </w:tcBorders>
            <w:shd w:val="clear" w:color="auto" w:fill="auto"/>
            <w:noWrap/>
            <w:vAlign w:val="bottom"/>
          </w:tcPr>
          <w:p w14:paraId="2337D494"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0.008</w:t>
            </w:r>
          </w:p>
        </w:tc>
        <w:tc>
          <w:tcPr>
            <w:tcW w:w="959" w:type="dxa"/>
            <w:tcBorders>
              <w:top w:val="single" w:sz="4" w:space="0" w:color="auto"/>
              <w:left w:val="nil"/>
              <w:bottom w:val="single" w:sz="8" w:space="0" w:color="auto"/>
              <w:right w:val="nil"/>
            </w:tcBorders>
            <w:shd w:val="clear" w:color="auto" w:fill="auto"/>
            <w:noWrap/>
            <w:vAlign w:val="bottom"/>
          </w:tcPr>
          <w:p w14:paraId="2FE2F80D"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0.070</w:t>
            </w:r>
          </w:p>
        </w:tc>
        <w:tc>
          <w:tcPr>
            <w:tcW w:w="959" w:type="dxa"/>
            <w:tcBorders>
              <w:top w:val="single" w:sz="4" w:space="0" w:color="auto"/>
              <w:left w:val="nil"/>
              <w:bottom w:val="single" w:sz="8" w:space="0" w:color="auto"/>
              <w:right w:val="single" w:sz="4" w:space="0" w:color="auto"/>
            </w:tcBorders>
            <w:shd w:val="clear" w:color="auto" w:fill="auto"/>
            <w:noWrap/>
            <w:vAlign w:val="bottom"/>
          </w:tcPr>
          <w:p w14:paraId="3152CCBC"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0.029</w:t>
            </w:r>
          </w:p>
        </w:tc>
        <w:tc>
          <w:tcPr>
            <w:tcW w:w="655" w:type="dxa"/>
            <w:tcBorders>
              <w:top w:val="single" w:sz="4" w:space="0" w:color="auto"/>
              <w:left w:val="nil"/>
              <w:bottom w:val="single" w:sz="8" w:space="0" w:color="auto"/>
              <w:right w:val="nil"/>
            </w:tcBorders>
            <w:vAlign w:val="bottom"/>
          </w:tcPr>
          <w:p w14:paraId="5085231C" w14:textId="77777777" w:rsidR="002934F0" w:rsidRPr="002934F0" w:rsidRDefault="002934F0" w:rsidP="0023427E">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0.147</w:t>
            </w:r>
          </w:p>
        </w:tc>
      </w:tr>
    </w:tbl>
    <w:p w14:paraId="194091F0" w14:textId="77777777" w:rsidR="002934F0" w:rsidRPr="002934F0" w:rsidRDefault="002934F0" w:rsidP="002934F0">
      <w:pPr>
        <w:spacing w:line="480" w:lineRule="auto"/>
        <w:rPr>
          <w:rFonts w:ascii="Times New Roman" w:eastAsiaTheme="minorEastAsia" w:hAnsi="Times New Roman" w:cs="Times New Roman"/>
        </w:rPr>
      </w:pPr>
      <w:r w:rsidRPr="002934F0">
        <w:rPr>
          <w:rFonts w:ascii="Times New Roman" w:eastAsiaTheme="minorEastAsia" w:hAnsi="Times New Roman" w:cs="Times New Roman"/>
        </w:rPr>
        <w:tab/>
      </w:r>
    </w:p>
    <w:p w14:paraId="5D2B50EB" w14:textId="77777777" w:rsidR="002934F0" w:rsidRPr="002934F0" w:rsidRDefault="002934F0" w:rsidP="002934F0">
      <w:pPr>
        <w:spacing w:line="480" w:lineRule="auto"/>
        <w:rPr>
          <w:rFonts w:ascii="Times New Roman" w:hAnsi="Times New Roman" w:cs="Times New Roman"/>
          <w:b/>
        </w:rPr>
      </w:pPr>
      <w:r w:rsidRPr="002934F0">
        <w:rPr>
          <w:rFonts w:ascii="Times New Roman" w:hAnsi="Times New Roman" w:cs="Times New Roman"/>
          <w:b/>
        </w:rPr>
        <w:t>Results</w:t>
      </w:r>
    </w:p>
    <w:p w14:paraId="61CC3211" w14:textId="5530385D"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rPr>
        <w:tab/>
        <w:t>Enrichment factors (EFs)</w:t>
      </w:r>
      <w:r w:rsidR="00B86277">
        <w:rPr>
          <w:rFonts w:ascii="Times New Roman" w:hAnsi="Times New Roman" w:cs="Times New Roman"/>
        </w:rPr>
        <w:t xml:space="preserve"> </w:t>
      </w:r>
      <w:r w:rsidRPr="002934F0">
        <w:rPr>
          <w:rFonts w:ascii="Times New Roman" w:hAnsi="Times New Roman" w:cs="Times New Roman"/>
        </w:rPr>
        <w:t xml:space="preserve">were calculated using Equation 1 for key metals (Pb, Ni, Cu, Cr, and Zn) which were found above trace concentrations (Table </w:t>
      </w:r>
      <w:r w:rsidR="00832D83">
        <w:rPr>
          <w:rFonts w:ascii="Times New Roman" w:hAnsi="Times New Roman" w:cs="Times New Roman"/>
        </w:rPr>
        <w:t>3</w:t>
      </w:r>
      <w:r w:rsidRPr="002934F0">
        <w:rPr>
          <w:rFonts w:ascii="Times New Roman" w:hAnsi="Times New Roman" w:cs="Times New Roman"/>
        </w:rPr>
        <w:t xml:space="preserve">).  Sediments from each site displayed elevated enrichment factors of these metals relative to enrichment factors found in average earth-shale (Brumsack, 2005).  An enrichment factor greater than 1.0 corresponds to a higher metal concentration than in average earth crust.  Invertebrate enrichment factors were calculated against previous studies which measured metal content (μg/g) in soft tissues and shells of the South East Asian snail Indothais gradata and Black Sea mussel Mytilus galloprovincialis (Proum et al., 2016; Demina et al., 2015).  </w:t>
      </w:r>
    </w:p>
    <w:p w14:paraId="71A9A930" w14:textId="66EBA6C7" w:rsidR="002934F0" w:rsidRPr="002934F0" w:rsidRDefault="002934F0" w:rsidP="002934F0">
      <w:pPr>
        <w:spacing w:line="480" w:lineRule="auto"/>
        <w:ind w:firstLine="720"/>
        <w:rPr>
          <w:rFonts w:ascii="Times New Roman" w:hAnsi="Times New Roman" w:cs="Times New Roman"/>
        </w:rPr>
      </w:pPr>
      <w:r w:rsidRPr="002934F0">
        <w:rPr>
          <w:rFonts w:ascii="Times New Roman" w:hAnsi="Times New Roman" w:cs="Times New Roman"/>
        </w:rPr>
        <w:t xml:space="preserve">Lead was found to exceed average earth concentrations by two to three orders of magnitude; this remained true at control sites as well, though they exhibited generally-lower concentrations.  Arsenic was not detected at most sites, but was found with an enrichment factor of 37.1 in Lake Washington near the I-90 Bridge and Mercer Island.  The ship canal sample saw higher metal enrichment factors in all metals </w:t>
      </w:r>
      <w:r w:rsidRPr="002934F0">
        <w:rPr>
          <w:rFonts w:ascii="Times New Roman" w:hAnsi="Times New Roman" w:cs="Times New Roman"/>
        </w:rPr>
        <w:lastRenderedPageBreak/>
        <w:t xml:space="preserve">than nearly all other samples, particularly lead (113.0), zinc (35.4), and copper (51.2).   </w:t>
      </w:r>
      <w:r w:rsidR="001821ED">
        <w:rPr>
          <w:rFonts w:ascii="Times New Roman" w:hAnsi="Times New Roman" w:cs="Times New Roman"/>
        </w:rPr>
        <w:t xml:space="preserve">Copper was found at enrichment factors greater than 1.0 throughout the sampling, averaging 6.8 not including the highly-enriched shipping canal sample.  </w:t>
      </w:r>
      <w:r w:rsidRPr="002934F0">
        <w:rPr>
          <w:rFonts w:ascii="Times New Roman" w:hAnsi="Times New Roman" w:cs="Times New Roman"/>
        </w:rPr>
        <w:t xml:space="preserve">Selenium was not </w:t>
      </w:r>
      <w:r w:rsidR="00690D4E">
        <w:rPr>
          <w:rFonts w:ascii="Times New Roman" w:hAnsi="Times New Roman" w:cs="Times New Roman"/>
        </w:rPr>
        <w:t>initially a metal of interest</w:t>
      </w:r>
      <w:r w:rsidRPr="002934F0">
        <w:rPr>
          <w:rFonts w:ascii="Times New Roman" w:hAnsi="Times New Roman" w:cs="Times New Roman"/>
        </w:rPr>
        <w:t xml:space="preserve">, </w:t>
      </w:r>
      <w:r w:rsidR="00E2230F">
        <w:rPr>
          <w:rFonts w:ascii="Times New Roman" w:hAnsi="Times New Roman" w:cs="Times New Roman"/>
        </w:rPr>
        <w:t>traditionally being sourced from industrial mining and having</w:t>
      </w:r>
      <w:r w:rsidRPr="002934F0">
        <w:rPr>
          <w:rFonts w:ascii="Times New Roman" w:hAnsi="Times New Roman" w:cs="Times New Roman"/>
        </w:rPr>
        <w:t xml:space="preserve"> </w:t>
      </w:r>
      <w:r w:rsidR="00E2230F">
        <w:rPr>
          <w:rFonts w:ascii="Times New Roman" w:hAnsi="Times New Roman" w:cs="Times New Roman"/>
        </w:rPr>
        <w:t>little</w:t>
      </w:r>
      <w:r w:rsidRPr="002934F0">
        <w:rPr>
          <w:rFonts w:ascii="Times New Roman" w:hAnsi="Times New Roman" w:cs="Times New Roman"/>
        </w:rPr>
        <w:t xml:space="preserve"> relation to road material.  However, the observed concentrations of selenium was very high; selenium concentrations rarely exceed 0.1 ug/g in sedimentary rocks and only reported in this observed triple-digit range in black shales and some phosphatic rocks (Fordyce, 2007).  With an enrichment factors 4 orders of magnitude higher than average shale</w:t>
      </w:r>
      <w:r w:rsidR="00E2230F">
        <w:rPr>
          <w:rFonts w:ascii="Times New Roman" w:hAnsi="Times New Roman" w:cs="Times New Roman"/>
        </w:rPr>
        <w:t xml:space="preserve"> (Figure 4)</w:t>
      </w:r>
      <w:r w:rsidR="00C571CE">
        <w:rPr>
          <w:rFonts w:ascii="Times New Roman" w:hAnsi="Times New Roman" w:cs="Times New Roman"/>
        </w:rPr>
        <w:t>,</w:t>
      </w:r>
      <w:r w:rsidRPr="002934F0">
        <w:rPr>
          <w:rFonts w:ascii="Times New Roman" w:hAnsi="Times New Roman" w:cs="Times New Roman"/>
        </w:rPr>
        <w:t xml:space="preserve"> selenium appears to be a highly-concentrated contaminant in the region’s sediments</w:t>
      </w:r>
      <w:r w:rsidR="00C571CE">
        <w:rPr>
          <w:rFonts w:ascii="Times New Roman" w:hAnsi="Times New Roman" w:cs="Times New Roman"/>
        </w:rPr>
        <w:t xml:space="preserve"> (Turekian </w:t>
      </w:r>
      <w:r w:rsidR="002A7CFD">
        <w:rPr>
          <w:rFonts w:ascii="Times New Roman" w:hAnsi="Times New Roman" w:cs="Times New Roman"/>
        </w:rPr>
        <w:t xml:space="preserve">and Wedepohl, </w:t>
      </w:r>
      <w:r w:rsidR="00640106">
        <w:rPr>
          <w:rFonts w:ascii="Times New Roman" w:hAnsi="Times New Roman" w:cs="Times New Roman"/>
        </w:rPr>
        <w:t>1961)</w:t>
      </w:r>
      <w:r w:rsidRPr="002934F0">
        <w:rPr>
          <w:rFonts w:ascii="Times New Roman" w:hAnsi="Times New Roman" w:cs="Times New Roman"/>
        </w:rPr>
        <w:t xml:space="preserve">. </w:t>
      </w:r>
      <w:r w:rsidR="00F91E53">
        <w:rPr>
          <w:rFonts w:ascii="Times New Roman" w:hAnsi="Times New Roman" w:cs="Times New Roman"/>
        </w:rPr>
        <w:t xml:space="preserve"> </w:t>
      </w:r>
      <w:r w:rsidRPr="002934F0">
        <w:rPr>
          <w:rFonts w:ascii="Times New Roman" w:hAnsi="Times New Roman" w:cs="Times New Roman"/>
        </w:rPr>
        <w:t>Table</w:t>
      </w:r>
      <w:r w:rsidR="00832D83">
        <w:rPr>
          <w:rFonts w:ascii="Times New Roman" w:hAnsi="Times New Roman" w:cs="Times New Roman"/>
        </w:rPr>
        <w:t>s 4 and 5</w:t>
      </w:r>
      <w:r w:rsidRPr="002934F0">
        <w:rPr>
          <w:rFonts w:ascii="Times New Roman" w:hAnsi="Times New Roman" w:cs="Times New Roman"/>
        </w:rPr>
        <w:t xml:space="preserve"> list</w:t>
      </w:r>
      <w:r w:rsidR="00832D83">
        <w:rPr>
          <w:rFonts w:ascii="Times New Roman" w:hAnsi="Times New Roman" w:cs="Times New Roman"/>
        </w:rPr>
        <w:t>s</w:t>
      </w:r>
      <w:r w:rsidRPr="002934F0">
        <w:rPr>
          <w:rFonts w:ascii="Times New Roman" w:hAnsi="Times New Roman" w:cs="Times New Roman"/>
        </w:rPr>
        <w:t xml:space="preserve"> simplified enrichment factor range</w:t>
      </w:r>
      <w:r w:rsidR="00832D83">
        <w:rPr>
          <w:rFonts w:ascii="Times New Roman" w:hAnsi="Times New Roman" w:cs="Times New Roman"/>
        </w:rPr>
        <w:t>s</w:t>
      </w:r>
      <w:r w:rsidRPr="002934F0">
        <w:rPr>
          <w:rFonts w:ascii="Times New Roman" w:hAnsi="Times New Roman" w:cs="Times New Roman"/>
        </w:rPr>
        <w:t xml:space="preserve"> of these metals in sediments</w:t>
      </w:r>
      <w:r w:rsidR="00832D83">
        <w:rPr>
          <w:rFonts w:ascii="Times New Roman" w:hAnsi="Times New Roman" w:cs="Times New Roman"/>
        </w:rPr>
        <w:t xml:space="preserve"> and invertebrates, respectively, along with</w:t>
      </w:r>
      <w:r w:rsidRPr="002934F0">
        <w:rPr>
          <w:rFonts w:ascii="Times New Roman" w:hAnsi="Times New Roman" w:cs="Times New Roman"/>
        </w:rPr>
        <w:t xml:space="preserve"> their average</w:t>
      </w:r>
      <w:r w:rsidR="00832D83">
        <w:rPr>
          <w:rFonts w:ascii="Times New Roman" w:hAnsi="Times New Roman" w:cs="Times New Roman"/>
        </w:rPr>
        <w:t xml:space="preserve"> and observed</w:t>
      </w:r>
      <w:r w:rsidRPr="002934F0">
        <w:rPr>
          <w:rFonts w:ascii="Times New Roman" w:hAnsi="Times New Roman" w:cs="Times New Roman"/>
        </w:rPr>
        <w:t xml:space="preserve"> range</w:t>
      </w:r>
      <w:r w:rsidR="00832D83">
        <w:rPr>
          <w:rFonts w:ascii="Times New Roman" w:hAnsi="Times New Roman" w:cs="Times New Roman"/>
        </w:rPr>
        <w:t>.</w:t>
      </w:r>
      <w:r w:rsidRPr="002934F0">
        <w:rPr>
          <w:rFonts w:ascii="Times New Roman" w:hAnsi="Times New Roman" w:cs="Times New Roman"/>
        </w:rPr>
        <w:t xml:space="preserve">  </w:t>
      </w:r>
    </w:p>
    <w:p w14:paraId="14CC8FAD" w14:textId="77777777" w:rsidR="002934F0" w:rsidRPr="002934F0" w:rsidRDefault="002934F0" w:rsidP="00917EDF">
      <w:pPr>
        <w:spacing w:line="480" w:lineRule="auto"/>
        <w:ind w:firstLine="720"/>
        <w:rPr>
          <w:rFonts w:ascii="Times New Roman" w:hAnsi="Times New Roman" w:cs="Times New Roman"/>
        </w:rPr>
      </w:pPr>
      <w:r w:rsidRPr="002934F0">
        <w:rPr>
          <w:rFonts w:ascii="Times New Roman" w:hAnsi="Times New Roman" w:cs="Times New Roman"/>
        </w:rPr>
        <w:t xml:space="preserve">Grain size distribution was calculated through the Coulter Counter which produced quantitative distribution of incremental grain size bins.  These bins were simplified into three bins for the grain diameters corresponding to sand, silt, and clay particles.  Despite efforts to choose sites with finer grain diameters (i.e. more silts and clays than sands), sediment grain size was not uniform throughout the sample sites.  The sites with the greatest distribution of coarse sediment were the ship canal and Nisqually River Delta sites.  Mean and standard deviation of grain size varied between sites, adding some complexity to direct comparison of metal contamination. For instance, despite the coarser sediment, the ship canal sample exhibited the greatest contamination of metals.  Figure </w:t>
      </w:r>
      <w:r w:rsidR="00A665CD">
        <w:rPr>
          <w:rFonts w:ascii="Times New Roman" w:hAnsi="Times New Roman" w:cs="Times New Roman"/>
        </w:rPr>
        <w:t>3</w:t>
      </w:r>
      <w:r w:rsidRPr="002934F0">
        <w:rPr>
          <w:rFonts w:ascii="Times New Roman" w:hAnsi="Times New Roman" w:cs="Times New Roman"/>
        </w:rPr>
        <w:t xml:space="preserve"> below demonstrates the respective enrichment factors of metals of interest and grain size distribution by sampling site.  </w:t>
      </w:r>
    </w:p>
    <w:p w14:paraId="4A789FF7" w14:textId="77777777" w:rsidR="003957F5" w:rsidRDefault="003957F5" w:rsidP="002934F0">
      <w:pPr>
        <w:pStyle w:val="Caption"/>
        <w:keepNext/>
        <w:spacing w:line="480" w:lineRule="auto"/>
        <w:rPr>
          <w:rFonts w:ascii="Times New Roman" w:hAnsi="Times New Roman" w:cs="Times New Roman"/>
        </w:rPr>
      </w:pPr>
    </w:p>
    <w:p w14:paraId="109D98A1" w14:textId="77777777" w:rsidR="003957F5" w:rsidRDefault="003957F5" w:rsidP="002934F0">
      <w:pPr>
        <w:pStyle w:val="Caption"/>
        <w:keepNext/>
        <w:spacing w:line="480" w:lineRule="auto"/>
        <w:rPr>
          <w:rFonts w:ascii="Times New Roman" w:hAnsi="Times New Roman" w:cs="Times New Roman"/>
        </w:rPr>
      </w:pPr>
    </w:p>
    <w:p w14:paraId="08F5206C" w14:textId="77777777" w:rsidR="003957F5" w:rsidRDefault="003957F5" w:rsidP="002934F0">
      <w:pPr>
        <w:pStyle w:val="Caption"/>
        <w:keepNext/>
        <w:spacing w:line="480" w:lineRule="auto"/>
        <w:rPr>
          <w:rFonts w:ascii="Times New Roman" w:hAnsi="Times New Roman" w:cs="Times New Roman"/>
        </w:rPr>
      </w:pPr>
    </w:p>
    <w:p w14:paraId="2AF0C622" w14:textId="77777777" w:rsidR="003957F5" w:rsidRDefault="003957F5" w:rsidP="002934F0">
      <w:pPr>
        <w:pStyle w:val="Caption"/>
        <w:keepNext/>
        <w:spacing w:line="480" w:lineRule="auto"/>
        <w:rPr>
          <w:rFonts w:ascii="Times New Roman" w:hAnsi="Times New Roman" w:cs="Times New Roman"/>
        </w:rPr>
      </w:pPr>
    </w:p>
    <w:p w14:paraId="71EDCD88" w14:textId="77777777" w:rsidR="003957F5" w:rsidRDefault="003957F5" w:rsidP="003957F5"/>
    <w:p w14:paraId="4AF2C9AD" w14:textId="77777777" w:rsidR="003957F5" w:rsidRPr="003957F5" w:rsidRDefault="003957F5" w:rsidP="003957F5"/>
    <w:p w14:paraId="06B08F6E" w14:textId="77777777" w:rsidR="002934F0" w:rsidRPr="002934F0" w:rsidRDefault="002934F0" w:rsidP="002934F0">
      <w:pPr>
        <w:pStyle w:val="Caption"/>
        <w:keepNext/>
        <w:spacing w:line="480" w:lineRule="auto"/>
        <w:rPr>
          <w:rFonts w:ascii="Times New Roman" w:hAnsi="Times New Roman" w:cs="Times New Roman"/>
        </w:rPr>
      </w:pPr>
      <w:r w:rsidRPr="002934F0">
        <w:rPr>
          <w:rFonts w:ascii="Times New Roman" w:hAnsi="Times New Roman" w:cs="Times New Roman"/>
        </w:rPr>
        <w:lastRenderedPageBreak/>
        <w:t xml:space="preserve">Table </w:t>
      </w:r>
      <w:r w:rsidRPr="002934F0">
        <w:rPr>
          <w:rFonts w:ascii="Times New Roman" w:hAnsi="Times New Roman" w:cs="Times New Roman"/>
          <w:noProof/>
        </w:rPr>
        <w:fldChar w:fldCharType="begin"/>
      </w:r>
      <w:r w:rsidRPr="002934F0">
        <w:rPr>
          <w:rFonts w:ascii="Times New Roman" w:hAnsi="Times New Roman" w:cs="Times New Roman"/>
          <w:noProof/>
        </w:rPr>
        <w:instrText xml:space="preserve"> SEQ Table \* ARABIC </w:instrText>
      </w:r>
      <w:r w:rsidRPr="002934F0">
        <w:rPr>
          <w:rFonts w:ascii="Times New Roman" w:hAnsi="Times New Roman" w:cs="Times New Roman"/>
          <w:noProof/>
        </w:rPr>
        <w:fldChar w:fldCharType="separate"/>
      </w:r>
      <w:r w:rsidR="00813EF7">
        <w:rPr>
          <w:rFonts w:ascii="Times New Roman" w:hAnsi="Times New Roman" w:cs="Times New Roman"/>
          <w:noProof/>
        </w:rPr>
        <w:t>3</w:t>
      </w:r>
      <w:r w:rsidRPr="002934F0">
        <w:rPr>
          <w:rFonts w:ascii="Times New Roman" w:hAnsi="Times New Roman" w:cs="Times New Roman"/>
          <w:noProof/>
        </w:rPr>
        <w:fldChar w:fldCharType="end"/>
      </w:r>
      <w:r w:rsidRPr="002934F0">
        <w:rPr>
          <w:rFonts w:ascii="Times New Roman" w:hAnsi="Times New Roman" w:cs="Times New Roman"/>
        </w:rPr>
        <w:t xml:space="preserve"> - Enrichment Factors, relative to metal:Al ratio in average earth-shale. Control sites highlighted </w:t>
      </w:r>
    </w:p>
    <w:tbl>
      <w:tblPr>
        <w:tblW w:w="8949" w:type="dxa"/>
        <w:tblLook w:val="04A0" w:firstRow="1" w:lastRow="0" w:firstColumn="1" w:lastColumn="0" w:noHBand="0" w:noVBand="1"/>
      </w:tblPr>
      <w:tblGrid>
        <w:gridCol w:w="800"/>
        <w:gridCol w:w="1761"/>
        <w:gridCol w:w="136"/>
        <w:gridCol w:w="571"/>
        <w:gridCol w:w="232"/>
        <w:gridCol w:w="834"/>
        <w:gridCol w:w="977"/>
        <w:gridCol w:w="977"/>
        <w:gridCol w:w="977"/>
        <w:gridCol w:w="977"/>
        <w:gridCol w:w="707"/>
      </w:tblGrid>
      <w:tr w:rsidR="002934F0" w:rsidRPr="002934F0" w14:paraId="0EC16CB7" w14:textId="77777777" w:rsidTr="00705C12">
        <w:trPr>
          <w:trHeight w:val="315"/>
        </w:trPr>
        <w:tc>
          <w:tcPr>
            <w:tcW w:w="800" w:type="dxa"/>
            <w:tcBorders>
              <w:top w:val="nil"/>
              <w:left w:val="single" w:sz="8" w:space="0" w:color="auto"/>
              <w:right w:val="single" w:sz="8" w:space="0" w:color="auto"/>
            </w:tcBorders>
            <w:shd w:val="clear" w:color="auto" w:fill="auto"/>
            <w:noWrap/>
            <w:vAlign w:val="center"/>
            <w:hideMark/>
          </w:tcPr>
          <w:p w14:paraId="3E7B2F8D" w14:textId="77777777" w:rsidR="002934F0" w:rsidRPr="002934F0" w:rsidRDefault="002934F0" w:rsidP="00917EDF">
            <w:pPr>
              <w:spacing w:after="0" w:line="276" w:lineRule="auto"/>
              <w:jc w:val="center"/>
              <w:rPr>
                <w:rFonts w:ascii="Times New Roman" w:eastAsia="Times New Roman" w:hAnsi="Times New Roman" w:cs="Times New Roman"/>
                <w:b/>
                <w:bCs/>
                <w:color w:val="000000"/>
              </w:rPr>
            </w:pPr>
            <w:r w:rsidRPr="002934F0">
              <w:rPr>
                <w:rFonts w:ascii="Times New Roman" w:eastAsia="Times New Roman" w:hAnsi="Times New Roman" w:cs="Times New Roman"/>
                <w:b/>
                <w:bCs/>
                <w:color w:val="000000"/>
              </w:rPr>
              <w:t>Site #</w:t>
            </w:r>
          </w:p>
        </w:tc>
        <w:tc>
          <w:tcPr>
            <w:tcW w:w="1761" w:type="dxa"/>
            <w:tcBorders>
              <w:top w:val="nil"/>
              <w:left w:val="nil"/>
              <w:right w:val="nil"/>
            </w:tcBorders>
            <w:vAlign w:val="center"/>
          </w:tcPr>
          <w:p w14:paraId="16DBFDBB"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Location</w:t>
            </w:r>
          </w:p>
        </w:tc>
        <w:tc>
          <w:tcPr>
            <w:tcW w:w="939" w:type="dxa"/>
            <w:gridSpan w:val="3"/>
            <w:tcBorders>
              <w:top w:val="nil"/>
              <w:left w:val="nil"/>
              <w:right w:val="single" w:sz="4" w:space="0" w:color="auto"/>
            </w:tcBorders>
            <w:shd w:val="clear" w:color="auto" w:fill="auto"/>
            <w:noWrap/>
            <w:vAlign w:val="center"/>
            <w:hideMark/>
          </w:tcPr>
          <w:p w14:paraId="10A1A9AE"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As</w:t>
            </w:r>
          </w:p>
        </w:tc>
        <w:tc>
          <w:tcPr>
            <w:tcW w:w="834" w:type="dxa"/>
            <w:tcBorders>
              <w:top w:val="nil"/>
              <w:left w:val="nil"/>
              <w:right w:val="single" w:sz="4" w:space="0" w:color="auto"/>
            </w:tcBorders>
            <w:shd w:val="clear" w:color="auto" w:fill="auto"/>
            <w:noWrap/>
            <w:vAlign w:val="center"/>
            <w:hideMark/>
          </w:tcPr>
          <w:p w14:paraId="24F73B46"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Cr</w:t>
            </w:r>
          </w:p>
        </w:tc>
        <w:tc>
          <w:tcPr>
            <w:tcW w:w="977" w:type="dxa"/>
            <w:tcBorders>
              <w:top w:val="nil"/>
              <w:left w:val="nil"/>
              <w:right w:val="single" w:sz="4" w:space="0" w:color="auto"/>
            </w:tcBorders>
            <w:shd w:val="clear" w:color="auto" w:fill="auto"/>
            <w:noWrap/>
            <w:vAlign w:val="center"/>
            <w:hideMark/>
          </w:tcPr>
          <w:p w14:paraId="3BA9B5B6"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Cu</w:t>
            </w:r>
          </w:p>
        </w:tc>
        <w:tc>
          <w:tcPr>
            <w:tcW w:w="977" w:type="dxa"/>
            <w:tcBorders>
              <w:top w:val="nil"/>
              <w:left w:val="nil"/>
              <w:right w:val="single" w:sz="4" w:space="0" w:color="auto"/>
            </w:tcBorders>
            <w:shd w:val="clear" w:color="auto" w:fill="auto"/>
            <w:noWrap/>
            <w:vAlign w:val="center"/>
            <w:hideMark/>
          </w:tcPr>
          <w:p w14:paraId="78ACD351"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Ni</w:t>
            </w:r>
          </w:p>
        </w:tc>
        <w:tc>
          <w:tcPr>
            <w:tcW w:w="977" w:type="dxa"/>
            <w:tcBorders>
              <w:top w:val="nil"/>
              <w:left w:val="nil"/>
              <w:right w:val="single" w:sz="4" w:space="0" w:color="auto"/>
            </w:tcBorders>
            <w:shd w:val="clear" w:color="auto" w:fill="auto"/>
            <w:noWrap/>
            <w:vAlign w:val="center"/>
            <w:hideMark/>
          </w:tcPr>
          <w:p w14:paraId="1933C037"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Pb</w:t>
            </w:r>
          </w:p>
        </w:tc>
        <w:tc>
          <w:tcPr>
            <w:tcW w:w="977" w:type="dxa"/>
            <w:tcBorders>
              <w:top w:val="nil"/>
              <w:left w:val="nil"/>
              <w:right w:val="single" w:sz="4" w:space="0" w:color="auto"/>
            </w:tcBorders>
            <w:shd w:val="clear" w:color="auto" w:fill="auto"/>
            <w:noWrap/>
            <w:vAlign w:val="center"/>
            <w:hideMark/>
          </w:tcPr>
          <w:p w14:paraId="7161C622"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Zn</w:t>
            </w:r>
          </w:p>
        </w:tc>
        <w:tc>
          <w:tcPr>
            <w:tcW w:w="707" w:type="dxa"/>
            <w:tcBorders>
              <w:top w:val="nil"/>
              <w:left w:val="nil"/>
              <w:right w:val="single" w:sz="4" w:space="0" w:color="auto"/>
            </w:tcBorders>
            <w:vAlign w:val="center"/>
          </w:tcPr>
          <w:p w14:paraId="4EFB037B" w14:textId="77777777" w:rsidR="002934F0" w:rsidRPr="002934F0" w:rsidRDefault="002934F0" w:rsidP="00917EDF">
            <w:pPr>
              <w:spacing w:after="0" w:line="276" w:lineRule="auto"/>
              <w:jc w:val="center"/>
              <w:rPr>
                <w:rFonts w:ascii="Times New Roman" w:eastAsia="Times New Roman" w:hAnsi="Times New Roman" w:cs="Times New Roman"/>
                <w:b/>
                <w:bCs/>
                <w:sz w:val="20"/>
                <w:szCs w:val="20"/>
              </w:rPr>
            </w:pPr>
            <w:r w:rsidRPr="002934F0">
              <w:rPr>
                <w:rFonts w:ascii="Times New Roman" w:eastAsia="Times New Roman" w:hAnsi="Times New Roman" w:cs="Times New Roman"/>
                <w:b/>
                <w:bCs/>
                <w:sz w:val="20"/>
                <w:szCs w:val="20"/>
              </w:rPr>
              <w:t>Se</w:t>
            </w:r>
          </w:p>
        </w:tc>
      </w:tr>
      <w:tr w:rsidR="002934F0" w:rsidRPr="002934F0" w14:paraId="34E31EC9" w14:textId="77777777" w:rsidTr="00705C12">
        <w:trPr>
          <w:trHeight w:val="300"/>
        </w:trPr>
        <w:tc>
          <w:tcPr>
            <w:tcW w:w="800" w:type="dxa"/>
            <w:tcBorders>
              <w:left w:val="single" w:sz="8" w:space="0" w:color="auto"/>
              <w:bottom w:val="single" w:sz="4" w:space="0" w:color="auto"/>
              <w:right w:val="single" w:sz="8" w:space="0" w:color="auto"/>
            </w:tcBorders>
            <w:shd w:val="clear" w:color="auto" w:fill="FFF2CC" w:themeFill="accent4" w:themeFillTint="33"/>
            <w:noWrap/>
            <w:vAlign w:val="center"/>
            <w:hideMark/>
          </w:tcPr>
          <w:p w14:paraId="2D745297"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AM01</w:t>
            </w:r>
          </w:p>
        </w:tc>
        <w:tc>
          <w:tcPr>
            <w:tcW w:w="1761" w:type="dxa"/>
            <w:tcBorders>
              <w:left w:val="nil"/>
              <w:bottom w:val="single" w:sz="4" w:space="0" w:color="auto"/>
              <w:right w:val="nil"/>
            </w:tcBorders>
            <w:shd w:val="clear" w:color="auto" w:fill="FFF2CC" w:themeFill="accent4" w:themeFillTint="33"/>
            <w:vAlign w:val="center"/>
          </w:tcPr>
          <w:p w14:paraId="629147D7"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L. Wash. St. Edwards St. Park</w:t>
            </w:r>
          </w:p>
        </w:tc>
        <w:tc>
          <w:tcPr>
            <w:tcW w:w="939" w:type="dxa"/>
            <w:gridSpan w:val="3"/>
            <w:tcBorders>
              <w:left w:val="nil"/>
              <w:bottom w:val="single" w:sz="4" w:space="0" w:color="auto"/>
              <w:right w:val="nil"/>
            </w:tcBorders>
            <w:shd w:val="clear" w:color="auto" w:fill="FFF2CC" w:themeFill="accent4" w:themeFillTint="33"/>
            <w:noWrap/>
            <w:vAlign w:val="center"/>
            <w:hideMark/>
          </w:tcPr>
          <w:p w14:paraId="7A7DECE7"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left w:val="nil"/>
              <w:bottom w:val="single" w:sz="4" w:space="0" w:color="auto"/>
              <w:right w:val="nil"/>
            </w:tcBorders>
            <w:shd w:val="clear" w:color="auto" w:fill="FFF2CC" w:themeFill="accent4" w:themeFillTint="33"/>
            <w:noWrap/>
            <w:vAlign w:val="center"/>
            <w:hideMark/>
          </w:tcPr>
          <w:p w14:paraId="4BF6460A"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4.30</w:t>
            </w:r>
          </w:p>
        </w:tc>
        <w:tc>
          <w:tcPr>
            <w:tcW w:w="977" w:type="dxa"/>
            <w:tcBorders>
              <w:left w:val="nil"/>
              <w:bottom w:val="single" w:sz="4" w:space="0" w:color="auto"/>
              <w:right w:val="nil"/>
            </w:tcBorders>
            <w:shd w:val="clear" w:color="auto" w:fill="FFF2CC" w:themeFill="accent4" w:themeFillTint="33"/>
            <w:noWrap/>
            <w:vAlign w:val="center"/>
            <w:hideMark/>
          </w:tcPr>
          <w:p w14:paraId="41E9CBAB"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4.87</w:t>
            </w:r>
          </w:p>
        </w:tc>
        <w:tc>
          <w:tcPr>
            <w:tcW w:w="977" w:type="dxa"/>
            <w:tcBorders>
              <w:left w:val="nil"/>
              <w:bottom w:val="single" w:sz="4" w:space="0" w:color="auto"/>
              <w:right w:val="nil"/>
            </w:tcBorders>
            <w:shd w:val="clear" w:color="auto" w:fill="FFF2CC" w:themeFill="accent4" w:themeFillTint="33"/>
            <w:noWrap/>
            <w:vAlign w:val="center"/>
            <w:hideMark/>
          </w:tcPr>
          <w:p w14:paraId="41373763"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8.19</w:t>
            </w:r>
          </w:p>
        </w:tc>
        <w:tc>
          <w:tcPr>
            <w:tcW w:w="977" w:type="dxa"/>
            <w:tcBorders>
              <w:left w:val="nil"/>
              <w:bottom w:val="single" w:sz="4" w:space="0" w:color="auto"/>
              <w:right w:val="nil"/>
            </w:tcBorders>
            <w:shd w:val="clear" w:color="auto" w:fill="FFF2CC" w:themeFill="accent4" w:themeFillTint="33"/>
            <w:noWrap/>
            <w:vAlign w:val="center"/>
            <w:hideMark/>
          </w:tcPr>
          <w:p w14:paraId="7E54A9C0"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40.58</w:t>
            </w:r>
          </w:p>
        </w:tc>
        <w:tc>
          <w:tcPr>
            <w:tcW w:w="977" w:type="dxa"/>
            <w:tcBorders>
              <w:left w:val="nil"/>
              <w:bottom w:val="single" w:sz="4" w:space="0" w:color="auto"/>
              <w:right w:val="single" w:sz="4" w:space="0" w:color="auto"/>
            </w:tcBorders>
            <w:shd w:val="clear" w:color="auto" w:fill="FFF2CC" w:themeFill="accent4" w:themeFillTint="33"/>
            <w:noWrap/>
            <w:vAlign w:val="center"/>
            <w:hideMark/>
          </w:tcPr>
          <w:p w14:paraId="1101345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5.51</w:t>
            </w:r>
          </w:p>
        </w:tc>
        <w:tc>
          <w:tcPr>
            <w:tcW w:w="707" w:type="dxa"/>
            <w:tcBorders>
              <w:left w:val="nil"/>
              <w:bottom w:val="single" w:sz="4" w:space="0" w:color="auto"/>
              <w:right w:val="single" w:sz="4" w:space="0" w:color="auto"/>
            </w:tcBorders>
            <w:shd w:val="clear" w:color="auto" w:fill="FFF2CC" w:themeFill="accent4" w:themeFillTint="33"/>
            <w:vAlign w:val="center"/>
          </w:tcPr>
          <w:p w14:paraId="7640F425"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2647</w:t>
            </w:r>
          </w:p>
        </w:tc>
      </w:tr>
      <w:tr w:rsidR="002934F0" w:rsidRPr="002934F0" w14:paraId="1C3B6705"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820DBDD"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AM02</w:t>
            </w:r>
          </w:p>
        </w:tc>
        <w:tc>
          <w:tcPr>
            <w:tcW w:w="1761" w:type="dxa"/>
            <w:tcBorders>
              <w:top w:val="single" w:sz="4" w:space="0" w:color="auto"/>
              <w:left w:val="nil"/>
              <w:bottom w:val="single" w:sz="4" w:space="0" w:color="auto"/>
              <w:right w:val="nil"/>
            </w:tcBorders>
            <w:vAlign w:val="center"/>
          </w:tcPr>
          <w:p w14:paraId="6F9F74C4"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L. Wash: NW 520 Bridge</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534F67FB"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2854EDD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4.34</w:t>
            </w:r>
          </w:p>
        </w:tc>
        <w:tc>
          <w:tcPr>
            <w:tcW w:w="977" w:type="dxa"/>
            <w:tcBorders>
              <w:top w:val="single" w:sz="4" w:space="0" w:color="auto"/>
              <w:left w:val="nil"/>
              <w:bottom w:val="single" w:sz="4" w:space="0" w:color="auto"/>
              <w:right w:val="nil"/>
            </w:tcBorders>
            <w:shd w:val="clear" w:color="auto" w:fill="auto"/>
            <w:noWrap/>
            <w:vAlign w:val="center"/>
            <w:hideMark/>
          </w:tcPr>
          <w:p w14:paraId="5D35FD6B"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8.54</w:t>
            </w:r>
          </w:p>
        </w:tc>
        <w:tc>
          <w:tcPr>
            <w:tcW w:w="977" w:type="dxa"/>
            <w:tcBorders>
              <w:top w:val="single" w:sz="4" w:space="0" w:color="auto"/>
              <w:left w:val="nil"/>
              <w:bottom w:val="single" w:sz="4" w:space="0" w:color="auto"/>
              <w:right w:val="nil"/>
            </w:tcBorders>
            <w:shd w:val="clear" w:color="auto" w:fill="auto"/>
            <w:noWrap/>
            <w:vAlign w:val="center"/>
            <w:hideMark/>
          </w:tcPr>
          <w:p w14:paraId="7B47CC4E"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6.57</w:t>
            </w:r>
          </w:p>
        </w:tc>
        <w:tc>
          <w:tcPr>
            <w:tcW w:w="977" w:type="dxa"/>
            <w:tcBorders>
              <w:top w:val="single" w:sz="4" w:space="0" w:color="auto"/>
              <w:left w:val="nil"/>
              <w:bottom w:val="single" w:sz="4" w:space="0" w:color="auto"/>
              <w:right w:val="nil"/>
            </w:tcBorders>
            <w:shd w:val="clear" w:color="auto" w:fill="auto"/>
            <w:noWrap/>
            <w:vAlign w:val="center"/>
            <w:hideMark/>
          </w:tcPr>
          <w:p w14:paraId="0C75D5C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54.52</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1F962C0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11.64</w:t>
            </w:r>
          </w:p>
        </w:tc>
        <w:tc>
          <w:tcPr>
            <w:tcW w:w="707" w:type="dxa"/>
            <w:tcBorders>
              <w:top w:val="single" w:sz="4" w:space="0" w:color="auto"/>
              <w:left w:val="nil"/>
              <w:bottom w:val="single" w:sz="4" w:space="0" w:color="auto"/>
              <w:right w:val="single" w:sz="4" w:space="0" w:color="auto"/>
            </w:tcBorders>
            <w:vAlign w:val="center"/>
          </w:tcPr>
          <w:p w14:paraId="5F24A784"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2452</w:t>
            </w:r>
          </w:p>
        </w:tc>
      </w:tr>
      <w:tr w:rsidR="002934F0" w:rsidRPr="002934F0" w14:paraId="08990B1F"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DEBEC28"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SB02</w:t>
            </w:r>
          </w:p>
        </w:tc>
        <w:tc>
          <w:tcPr>
            <w:tcW w:w="1761" w:type="dxa"/>
            <w:tcBorders>
              <w:top w:val="single" w:sz="4" w:space="0" w:color="auto"/>
              <w:left w:val="nil"/>
              <w:bottom w:val="single" w:sz="4" w:space="0" w:color="auto"/>
              <w:right w:val="nil"/>
            </w:tcBorders>
            <w:vAlign w:val="center"/>
          </w:tcPr>
          <w:p w14:paraId="4ECF7CFE"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L. Wash: SE 520 Bridge</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08FAFA89"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1F6A2094"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3.52</w:t>
            </w:r>
          </w:p>
        </w:tc>
        <w:tc>
          <w:tcPr>
            <w:tcW w:w="977" w:type="dxa"/>
            <w:tcBorders>
              <w:top w:val="single" w:sz="4" w:space="0" w:color="auto"/>
              <w:left w:val="nil"/>
              <w:bottom w:val="single" w:sz="4" w:space="0" w:color="auto"/>
              <w:right w:val="nil"/>
            </w:tcBorders>
            <w:shd w:val="clear" w:color="auto" w:fill="auto"/>
            <w:noWrap/>
            <w:vAlign w:val="center"/>
            <w:hideMark/>
          </w:tcPr>
          <w:p w14:paraId="45709A31"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8.74</w:t>
            </w:r>
          </w:p>
        </w:tc>
        <w:tc>
          <w:tcPr>
            <w:tcW w:w="977" w:type="dxa"/>
            <w:tcBorders>
              <w:top w:val="single" w:sz="4" w:space="0" w:color="auto"/>
              <w:left w:val="nil"/>
              <w:bottom w:val="single" w:sz="4" w:space="0" w:color="auto"/>
              <w:right w:val="nil"/>
            </w:tcBorders>
            <w:shd w:val="clear" w:color="auto" w:fill="auto"/>
            <w:noWrap/>
            <w:vAlign w:val="center"/>
            <w:hideMark/>
          </w:tcPr>
          <w:p w14:paraId="0BD82E2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6.20</w:t>
            </w:r>
          </w:p>
        </w:tc>
        <w:tc>
          <w:tcPr>
            <w:tcW w:w="977" w:type="dxa"/>
            <w:tcBorders>
              <w:top w:val="single" w:sz="4" w:space="0" w:color="auto"/>
              <w:left w:val="nil"/>
              <w:bottom w:val="single" w:sz="4" w:space="0" w:color="auto"/>
              <w:right w:val="nil"/>
            </w:tcBorders>
            <w:shd w:val="clear" w:color="auto" w:fill="auto"/>
            <w:noWrap/>
            <w:vAlign w:val="center"/>
            <w:hideMark/>
          </w:tcPr>
          <w:p w14:paraId="7F6E8A24"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66.35</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4EB68555"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13.33</w:t>
            </w:r>
          </w:p>
        </w:tc>
        <w:tc>
          <w:tcPr>
            <w:tcW w:w="707" w:type="dxa"/>
            <w:tcBorders>
              <w:top w:val="single" w:sz="4" w:space="0" w:color="auto"/>
              <w:left w:val="nil"/>
              <w:bottom w:val="single" w:sz="4" w:space="0" w:color="auto"/>
              <w:right w:val="single" w:sz="4" w:space="0" w:color="auto"/>
            </w:tcBorders>
            <w:vAlign w:val="center"/>
          </w:tcPr>
          <w:p w14:paraId="4B25EA44"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2758</w:t>
            </w:r>
          </w:p>
        </w:tc>
      </w:tr>
      <w:tr w:rsidR="002934F0" w:rsidRPr="002934F0" w14:paraId="223DDFE2"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24C649F"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AM04</w:t>
            </w:r>
          </w:p>
        </w:tc>
        <w:tc>
          <w:tcPr>
            <w:tcW w:w="1761" w:type="dxa"/>
            <w:tcBorders>
              <w:top w:val="single" w:sz="4" w:space="0" w:color="auto"/>
              <w:left w:val="nil"/>
              <w:bottom w:val="single" w:sz="4" w:space="0" w:color="auto"/>
              <w:right w:val="nil"/>
            </w:tcBorders>
            <w:vAlign w:val="center"/>
          </w:tcPr>
          <w:p w14:paraId="77BD2916"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Ship Canal</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2EDE1E9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1A493CFC"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6.65</w:t>
            </w:r>
          </w:p>
        </w:tc>
        <w:tc>
          <w:tcPr>
            <w:tcW w:w="977" w:type="dxa"/>
            <w:tcBorders>
              <w:top w:val="single" w:sz="4" w:space="0" w:color="auto"/>
              <w:left w:val="nil"/>
              <w:bottom w:val="single" w:sz="4" w:space="0" w:color="auto"/>
              <w:right w:val="nil"/>
            </w:tcBorders>
            <w:shd w:val="clear" w:color="auto" w:fill="auto"/>
            <w:noWrap/>
            <w:vAlign w:val="center"/>
            <w:hideMark/>
          </w:tcPr>
          <w:p w14:paraId="06B5621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51.24</w:t>
            </w:r>
          </w:p>
        </w:tc>
        <w:tc>
          <w:tcPr>
            <w:tcW w:w="977" w:type="dxa"/>
            <w:tcBorders>
              <w:top w:val="single" w:sz="4" w:space="0" w:color="auto"/>
              <w:left w:val="nil"/>
              <w:bottom w:val="single" w:sz="4" w:space="0" w:color="auto"/>
              <w:right w:val="nil"/>
            </w:tcBorders>
            <w:shd w:val="clear" w:color="auto" w:fill="auto"/>
            <w:noWrap/>
            <w:vAlign w:val="center"/>
            <w:hideMark/>
          </w:tcPr>
          <w:p w14:paraId="7781F92E"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9.25</w:t>
            </w:r>
          </w:p>
        </w:tc>
        <w:tc>
          <w:tcPr>
            <w:tcW w:w="977" w:type="dxa"/>
            <w:tcBorders>
              <w:top w:val="single" w:sz="4" w:space="0" w:color="auto"/>
              <w:left w:val="nil"/>
              <w:bottom w:val="single" w:sz="4" w:space="0" w:color="auto"/>
              <w:right w:val="nil"/>
            </w:tcBorders>
            <w:shd w:val="clear" w:color="auto" w:fill="auto"/>
            <w:noWrap/>
            <w:vAlign w:val="center"/>
            <w:hideMark/>
          </w:tcPr>
          <w:p w14:paraId="50414336"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112.99</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72BC3ED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35.42</w:t>
            </w:r>
          </w:p>
        </w:tc>
        <w:tc>
          <w:tcPr>
            <w:tcW w:w="707" w:type="dxa"/>
            <w:tcBorders>
              <w:top w:val="single" w:sz="4" w:space="0" w:color="auto"/>
              <w:left w:val="nil"/>
              <w:bottom w:val="single" w:sz="4" w:space="0" w:color="auto"/>
              <w:right w:val="single" w:sz="4" w:space="0" w:color="auto"/>
            </w:tcBorders>
            <w:vAlign w:val="center"/>
          </w:tcPr>
          <w:p w14:paraId="3AC492BB"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3336</w:t>
            </w:r>
          </w:p>
        </w:tc>
      </w:tr>
      <w:tr w:rsidR="002934F0" w:rsidRPr="002934F0" w14:paraId="4E053A3C"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AC2B3AC"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AM05</w:t>
            </w:r>
          </w:p>
        </w:tc>
        <w:tc>
          <w:tcPr>
            <w:tcW w:w="1761" w:type="dxa"/>
            <w:tcBorders>
              <w:top w:val="single" w:sz="4" w:space="0" w:color="auto"/>
              <w:left w:val="nil"/>
              <w:bottom w:val="single" w:sz="4" w:space="0" w:color="auto"/>
              <w:right w:val="nil"/>
            </w:tcBorders>
            <w:vAlign w:val="center"/>
          </w:tcPr>
          <w:p w14:paraId="5A73ADC4"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Niqually River Delta</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22DE21B4"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3EBFC6A4"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4.55</w:t>
            </w:r>
          </w:p>
        </w:tc>
        <w:tc>
          <w:tcPr>
            <w:tcW w:w="977" w:type="dxa"/>
            <w:tcBorders>
              <w:top w:val="single" w:sz="4" w:space="0" w:color="auto"/>
              <w:left w:val="nil"/>
              <w:bottom w:val="single" w:sz="4" w:space="0" w:color="auto"/>
              <w:right w:val="nil"/>
            </w:tcBorders>
            <w:shd w:val="clear" w:color="auto" w:fill="auto"/>
            <w:noWrap/>
            <w:vAlign w:val="center"/>
            <w:hideMark/>
          </w:tcPr>
          <w:p w14:paraId="5E3449A8"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6.90</w:t>
            </w:r>
          </w:p>
        </w:tc>
        <w:tc>
          <w:tcPr>
            <w:tcW w:w="977" w:type="dxa"/>
            <w:tcBorders>
              <w:top w:val="single" w:sz="4" w:space="0" w:color="auto"/>
              <w:left w:val="nil"/>
              <w:bottom w:val="single" w:sz="4" w:space="0" w:color="auto"/>
              <w:right w:val="nil"/>
            </w:tcBorders>
            <w:shd w:val="clear" w:color="auto" w:fill="auto"/>
            <w:noWrap/>
            <w:vAlign w:val="center"/>
            <w:hideMark/>
          </w:tcPr>
          <w:p w14:paraId="16FAA83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5.49</w:t>
            </w:r>
          </w:p>
        </w:tc>
        <w:tc>
          <w:tcPr>
            <w:tcW w:w="977" w:type="dxa"/>
            <w:tcBorders>
              <w:top w:val="single" w:sz="4" w:space="0" w:color="auto"/>
              <w:left w:val="nil"/>
              <w:bottom w:val="single" w:sz="4" w:space="0" w:color="auto"/>
              <w:right w:val="nil"/>
            </w:tcBorders>
            <w:shd w:val="clear" w:color="auto" w:fill="auto"/>
            <w:noWrap/>
            <w:vAlign w:val="center"/>
            <w:hideMark/>
          </w:tcPr>
          <w:p w14:paraId="29134AC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42.63</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64295CA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5.21</w:t>
            </w:r>
          </w:p>
        </w:tc>
        <w:tc>
          <w:tcPr>
            <w:tcW w:w="707" w:type="dxa"/>
            <w:tcBorders>
              <w:top w:val="single" w:sz="4" w:space="0" w:color="auto"/>
              <w:left w:val="nil"/>
              <w:bottom w:val="single" w:sz="4" w:space="0" w:color="auto"/>
              <w:right w:val="single" w:sz="4" w:space="0" w:color="auto"/>
            </w:tcBorders>
            <w:vAlign w:val="center"/>
          </w:tcPr>
          <w:p w14:paraId="21D39B9A"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3334</w:t>
            </w:r>
          </w:p>
        </w:tc>
      </w:tr>
      <w:tr w:rsidR="002934F0" w:rsidRPr="002934F0" w14:paraId="4391E5B9"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9980117"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AM06</w:t>
            </w:r>
          </w:p>
        </w:tc>
        <w:tc>
          <w:tcPr>
            <w:tcW w:w="1761" w:type="dxa"/>
            <w:tcBorders>
              <w:top w:val="single" w:sz="4" w:space="0" w:color="auto"/>
              <w:left w:val="nil"/>
              <w:bottom w:val="single" w:sz="4" w:space="0" w:color="auto"/>
              <w:right w:val="nil"/>
            </w:tcBorders>
            <w:vAlign w:val="center"/>
          </w:tcPr>
          <w:p w14:paraId="176E9B69"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Henderson Inlet</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094CCCA3"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6253333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3.23</w:t>
            </w:r>
          </w:p>
        </w:tc>
        <w:tc>
          <w:tcPr>
            <w:tcW w:w="977" w:type="dxa"/>
            <w:tcBorders>
              <w:top w:val="single" w:sz="4" w:space="0" w:color="auto"/>
              <w:left w:val="nil"/>
              <w:bottom w:val="single" w:sz="4" w:space="0" w:color="auto"/>
              <w:right w:val="nil"/>
            </w:tcBorders>
            <w:shd w:val="clear" w:color="auto" w:fill="auto"/>
            <w:noWrap/>
            <w:vAlign w:val="center"/>
            <w:hideMark/>
          </w:tcPr>
          <w:p w14:paraId="2CE1F445"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5.80</w:t>
            </w:r>
          </w:p>
        </w:tc>
        <w:tc>
          <w:tcPr>
            <w:tcW w:w="977" w:type="dxa"/>
            <w:tcBorders>
              <w:top w:val="single" w:sz="4" w:space="0" w:color="auto"/>
              <w:left w:val="nil"/>
              <w:bottom w:val="single" w:sz="4" w:space="0" w:color="auto"/>
              <w:right w:val="nil"/>
            </w:tcBorders>
            <w:shd w:val="clear" w:color="auto" w:fill="auto"/>
            <w:noWrap/>
            <w:vAlign w:val="center"/>
            <w:hideMark/>
          </w:tcPr>
          <w:p w14:paraId="7364C29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4.91</w:t>
            </w:r>
          </w:p>
        </w:tc>
        <w:tc>
          <w:tcPr>
            <w:tcW w:w="977" w:type="dxa"/>
            <w:tcBorders>
              <w:top w:val="single" w:sz="4" w:space="0" w:color="auto"/>
              <w:left w:val="nil"/>
              <w:bottom w:val="single" w:sz="4" w:space="0" w:color="auto"/>
              <w:right w:val="nil"/>
            </w:tcBorders>
            <w:shd w:val="clear" w:color="auto" w:fill="auto"/>
            <w:noWrap/>
            <w:vAlign w:val="center"/>
            <w:hideMark/>
          </w:tcPr>
          <w:p w14:paraId="7B8B3981"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34.09</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272A11DC"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5.47</w:t>
            </w:r>
          </w:p>
        </w:tc>
        <w:tc>
          <w:tcPr>
            <w:tcW w:w="707" w:type="dxa"/>
            <w:tcBorders>
              <w:top w:val="single" w:sz="4" w:space="0" w:color="auto"/>
              <w:left w:val="nil"/>
              <w:bottom w:val="single" w:sz="4" w:space="0" w:color="auto"/>
              <w:right w:val="single" w:sz="4" w:space="0" w:color="auto"/>
            </w:tcBorders>
            <w:vAlign w:val="center"/>
          </w:tcPr>
          <w:p w14:paraId="13FBF27A"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2509</w:t>
            </w:r>
          </w:p>
        </w:tc>
      </w:tr>
      <w:tr w:rsidR="002934F0" w:rsidRPr="002934F0" w14:paraId="2E87D681"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FFF2CC" w:themeFill="accent4" w:themeFillTint="33"/>
            <w:noWrap/>
            <w:vAlign w:val="center"/>
            <w:hideMark/>
          </w:tcPr>
          <w:p w14:paraId="4F26B4E9"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AM07</w:t>
            </w:r>
          </w:p>
        </w:tc>
        <w:tc>
          <w:tcPr>
            <w:tcW w:w="1761" w:type="dxa"/>
            <w:tcBorders>
              <w:top w:val="single" w:sz="4" w:space="0" w:color="auto"/>
              <w:left w:val="nil"/>
              <w:bottom w:val="single" w:sz="4" w:space="0" w:color="auto"/>
              <w:right w:val="nil"/>
            </w:tcBorders>
            <w:shd w:val="clear" w:color="auto" w:fill="FFF2CC" w:themeFill="accent4" w:themeFillTint="33"/>
            <w:vAlign w:val="center"/>
          </w:tcPr>
          <w:p w14:paraId="1AF72C28"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Case Inlet</w:t>
            </w:r>
          </w:p>
        </w:tc>
        <w:tc>
          <w:tcPr>
            <w:tcW w:w="939" w:type="dxa"/>
            <w:gridSpan w:val="3"/>
            <w:tcBorders>
              <w:top w:val="single" w:sz="4" w:space="0" w:color="auto"/>
              <w:left w:val="nil"/>
              <w:bottom w:val="single" w:sz="4" w:space="0" w:color="auto"/>
              <w:right w:val="nil"/>
            </w:tcBorders>
            <w:shd w:val="clear" w:color="auto" w:fill="FFF2CC" w:themeFill="accent4" w:themeFillTint="33"/>
            <w:noWrap/>
            <w:vAlign w:val="center"/>
            <w:hideMark/>
          </w:tcPr>
          <w:p w14:paraId="1765C86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FFF2CC" w:themeFill="accent4" w:themeFillTint="33"/>
            <w:noWrap/>
            <w:vAlign w:val="center"/>
            <w:hideMark/>
          </w:tcPr>
          <w:p w14:paraId="36C526E0"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3.41</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44713FF5"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5.78</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47AF7903"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5.39</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31C24E38"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34.37</w:t>
            </w:r>
          </w:p>
        </w:tc>
        <w:tc>
          <w:tcPr>
            <w:tcW w:w="977" w:type="dxa"/>
            <w:tcBorders>
              <w:top w:val="single" w:sz="4" w:space="0" w:color="auto"/>
              <w:left w:val="nil"/>
              <w:bottom w:val="single" w:sz="4" w:space="0" w:color="auto"/>
              <w:right w:val="single" w:sz="4" w:space="0" w:color="auto"/>
            </w:tcBorders>
            <w:shd w:val="clear" w:color="auto" w:fill="FFF2CC" w:themeFill="accent4" w:themeFillTint="33"/>
            <w:noWrap/>
            <w:vAlign w:val="center"/>
            <w:hideMark/>
          </w:tcPr>
          <w:p w14:paraId="063F83E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5.73</w:t>
            </w:r>
          </w:p>
        </w:tc>
        <w:tc>
          <w:tcPr>
            <w:tcW w:w="707" w:type="dxa"/>
            <w:tcBorders>
              <w:top w:val="single" w:sz="4" w:space="0" w:color="auto"/>
              <w:left w:val="nil"/>
              <w:bottom w:val="single" w:sz="4" w:space="0" w:color="auto"/>
              <w:right w:val="single" w:sz="4" w:space="0" w:color="auto"/>
            </w:tcBorders>
            <w:shd w:val="clear" w:color="auto" w:fill="FFF2CC" w:themeFill="accent4" w:themeFillTint="33"/>
            <w:vAlign w:val="center"/>
          </w:tcPr>
          <w:p w14:paraId="4DB4DCCF"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2622</w:t>
            </w:r>
          </w:p>
        </w:tc>
      </w:tr>
      <w:tr w:rsidR="002934F0" w:rsidRPr="002934F0" w14:paraId="0048E24A"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C3CDC85"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AM08</w:t>
            </w:r>
          </w:p>
        </w:tc>
        <w:tc>
          <w:tcPr>
            <w:tcW w:w="1761" w:type="dxa"/>
            <w:tcBorders>
              <w:top w:val="single" w:sz="4" w:space="0" w:color="auto"/>
              <w:left w:val="nil"/>
              <w:bottom w:val="single" w:sz="4" w:space="0" w:color="auto"/>
              <w:right w:val="nil"/>
            </w:tcBorders>
            <w:vAlign w:val="center"/>
          </w:tcPr>
          <w:p w14:paraId="35E4A2FF"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Budd Inlet</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1F4DF1D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834" w:type="dxa"/>
            <w:tcBorders>
              <w:top w:val="single" w:sz="4" w:space="0" w:color="auto"/>
              <w:left w:val="nil"/>
              <w:bottom w:val="single" w:sz="4" w:space="0" w:color="auto"/>
              <w:right w:val="nil"/>
            </w:tcBorders>
            <w:shd w:val="clear" w:color="auto" w:fill="auto"/>
            <w:noWrap/>
            <w:vAlign w:val="center"/>
            <w:hideMark/>
          </w:tcPr>
          <w:p w14:paraId="0C42CF5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2.31</w:t>
            </w:r>
          </w:p>
        </w:tc>
        <w:tc>
          <w:tcPr>
            <w:tcW w:w="977" w:type="dxa"/>
            <w:tcBorders>
              <w:top w:val="single" w:sz="4" w:space="0" w:color="auto"/>
              <w:left w:val="nil"/>
              <w:bottom w:val="single" w:sz="4" w:space="0" w:color="auto"/>
              <w:right w:val="nil"/>
            </w:tcBorders>
            <w:shd w:val="clear" w:color="auto" w:fill="auto"/>
            <w:noWrap/>
            <w:vAlign w:val="center"/>
            <w:hideMark/>
          </w:tcPr>
          <w:p w14:paraId="7A1841F2"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5.43</w:t>
            </w:r>
          </w:p>
        </w:tc>
        <w:tc>
          <w:tcPr>
            <w:tcW w:w="977" w:type="dxa"/>
            <w:tcBorders>
              <w:top w:val="single" w:sz="4" w:space="0" w:color="auto"/>
              <w:left w:val="nil"/>
              <w:bottom w:val="single" w:sz="4" w:space="0" w:color="auto"/>
              <w:right w:val="nil"/>
            </w:tcBorders>
            <w:shd w:val="clear" w:color="auto" w:fill="auto"/>
            <w:noWrap/>
            <w:vAlign w:val="center"/>
            <w:hideMark/>
          </w:tcPr>
          <w:p w14:paraId="0FA6D3DB"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3.42</w:t>
            </w:r>
          </w:p>
        </w:tc>
        <w:tc>
          <w:tcPr>
            <w:tcW w:w="977" w:type="dxa"/>
            <w:tcBorders>
              <w:top w:val="single" w:sz="4" w:space="0" w:color="auto"/>
              <w:left w:val="nil"/>
              <w:bottom w:val="single" w:sz="4" w:space="0" w:color="auto"/>
              <w:right w:val="nil"/>
            </w:tcBorders>
            <w:shd w:val="clear" w:color="auto" w:fill="auto"/>
            <w:noWrap/>
            <w:vAlign w:val="center"/>
            <w:hideMark/>
          </w:tcPr>
          <w:p w14:paraId="0E1A449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26.29</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20C6FC86"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4.48</w:t>
            </w:r>
          </w:p>
        </w:tc>
        <w:tc>
          <w:tcPr>
            <w:tcW w:w="707" w:type="dxa"/>
            <w:tcBorders>
              <w:top w:val="single" w:sz="4" w:space="0" w:color="auto"/>
              <w:left w:val="nil"/>
              <w:bottom w:val="single" w:sz="4" w:space="0" w:color="auto"/>
              <w:right w:val="single" w:sz="4" w:space="0" w:color="auto"/>
            </w:tcBorders>
            <w:vAlign w:val="center"/>
          </w:tcPr>
          <w:p w14:paraId="0CD27115"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1955</w:t>
            </w:r>
          </w:p>
        </w:tc>
      </w:tr>
      <w:tr w:rsidR="002934F0" w:rsidRPr="002934F0" w14:paraId="6934798D"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71DD214"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AM09</w:t>
            </w:r>
          </w:p>
        </w:tc>
        <w:tc>
          <w:tcPr>
            <w:tcW w:w="1761" w:type="dxa"/>
            <w:tcBorders>
              <w:top w:val="single" w:sz="4" w:space="0" w:color="auto"/>
              <w:left w:val="nil"/>
              <w:bottom w:val="single" w:sz="4" w:space="0" w:color="auto"/>
              <w:right w:val="nil"/>
            </w:tcBorders>
            <w:vAlign w:val="center"/>
          </w:tcPr>
          <w:p w14:paraId="1E110EA7"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L.Wash – I-90 Bridge</w:t>
            </w:r>
          </w:p>
        </w:tc>
        <w:tc>
          <w:tcPr>
            <w:tcW w:w="939" w:type="dxa"/>
            <w:gridSpan w:val="3"/>
            <w:tcBorders>
              <w:top w:val="single" w:sz="4" w:space="0" w:color="auto"/>
              <w:left w:val="nil"/>
              <w:bottom w:val="single" w:sz="4" w:space="0" w:color="auto"/>
              <w:right w:val="nil"/>
            </w:tcBorders>
            <w:shd w:val="clear" w:color="auto" w:fill="auto"/>
            <w:noWrap/>
            <w:vAlign w:val="center"/>
            <w:hideMark/>
          </w:tcPr>
          <w:p w14:paraId="0F6BE62B"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37.14</w:t>
            </w:r>
          </w:p>
        </w:tc>
        <w:tc>
          <w:tcPr>
            <w:tcW w:w="834" w:type="dxa"/>
            <w:tcBorders>
              <w:top w:val="single" w:sz="4" w:space="0" w:color="auto"/>
              <w:left w:val="nil"/>
              <w:bottom w:val="single" w:sz="4" w:space="0" w:color="auto"/>
              <w:right w:val="nil"/>
            </w:tcBorders>
            <w:shd w:val="clear" w:color="auto" w:fill="auto"/>
            <w:noWrap/>
            <w:vAlign w:val="center"/>
            <w:hideMark/>
          </w:tcPr>
          <w:p w14:paraId="3969AB1E"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5.16</w:t>
            </w:r>
          </w:p>
        </w:tc>
        <w:tc>
          <w:tcPr>
            <w:tcW w:w="977" w:type="dxa"/>
            <w:tcBorders>
              <w:top w:val="single" w:sz="4" w:space="0" w:color="auto"/>
              <w:left w:val="nil"/>
              <w:bottom w:val="single" w:sz="4" w:space="0" w:color="auto"/>
              <w:right w:val="nil"/>
            </w:tcBorders>
            <w:shd w:val="clear" w:color="auto" w:fill="auto"/>
            <w:noWrap/>
            <w:vAlign w:val="center"/>
            <w:hideMark/>
          </w:tcPr>
          <w:p w14:paraId="25D67587"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8.10</w:t>
            </w:r>
          </w:p>
        </w:tc>
        <w:tc>
          <w:tcPr>
            <w:tcW w:w="977" w:type="dxa"/>
            <w:tcBorders>
              <w:top w:val="single" w:sz="4" w:space="0" w:color="auto"/>
              <w:left w:val="nil"/>
              <w:bottom w:val="single" w:sz="4" w:space="0" w:color="auto"/>
              <w:right w:val="nil"/>
            </w:tcBorders>
            <w:shd w:val="clear" w:color="auto" w:fill="auto"/>
            <w:noWrap/>
            <w:vAlign w:val="center"/>
            <w:hideMark/>
          </w:tcPr>
          <w:p w14:paraId="2F67931C"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9.34</w:t>
            </w:r>
          </w:p>
        </w:tc>
        <w:tc>
          <w:tcPr>
            <w:tcW w:w="977" w:type="dxa"/>
            <w:tcBorders>
              <w:top w:val="single" w:sz="4" w:space="0" w:color="auto"/>
              <w:left w:val="nil"/>
              <w:bottom w:val="single" w:sz="4" w:space="0" w:color="auto"/>
              <w:right w:val="nil"/>
            </w:tcBorders>
            <w:shd w:val="clear" w:color="auto" w:fill="auto"/>
            <w:noWrap/>
            <w:vAlign w:val="center"/>
            <w:hideMark/>
          </w:tcPr>
          <w:p w14:paraId="3383758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82.35</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5541C75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14.42</w:t>
            </w:r>
          </w:p>
        </w:tc>
        <w:tc>
          <w:tcPr>
            <w:tcW w:w="707" w:type="dxa"/>
            <w:tcBorders>
              <w:top w:val="single" w:sz="4" w:space="0" w:color="auto"/>
              <w:left w:val="nil"/>
              <w:bottom w:val="single" w:sz="4" w:space="0" w:color="auto"/>
              <w:right w:val="single" w:sz="4" w:space="0" w:color="auto"/>
            </w:tcBorders>
            <w:vAlign w:val="center"/>
          </w:tcPr>
          <w:p w14:paraId="578A2183"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4876</w:t>
            </w:r>
          </w:p>
        </w:tc>
      </w:tr>
      <w:tr w:rsidR="002934F0" w:rsidRPr="002934F0" w14:paraId="550A4F28" w14:textId="77777777" w:rsidTr="00705C12">
        <w:trPr>
          <w:trHeight w:val="300"/>
        </w:trPr>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1D2803B2"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AM06 (INV)</w:t>
            </w:r>
          </w:p>
        </w:tc>
        <w:tc>
          <w:tcPr>
            <w:tcW w:w="1897" w:type="dxa"/>
            <w:gridSpan w:val="2"/>
            <w:tcBorders>
              <w:top w:val="single" w:sz="4" w:space="0" w:color="auto"/>
              <w:left w:val="nil"/>
              <w:bottom w:val="single" w:sz="4" w:space="0" w:color="auto"/>
              <w:right w:val="nil"/>
            </w:tcBorders>
            <w:vAlign w:val="center"/>
          </w:tcPr>
          <w:p w14:paraId="2322859A"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Henderson Inlet</w:t>
            </w:r>
          </w:p>
        </w:tc>
        <w:tc>
          <w:tcPr>
            <w:tcW w:w="571" w:type="dxa"/>
            <w:tcBorders>
              <w:top w:val="single" w:sz="4" w:space="0" w:color="auto"/>
              <w:left w:val="nil"/>
              <w:bottom w:val="single" w:sz="4" w:space="0" w:color="auto"/>
              <w:right w:val="nil"/>
            </w:tcBorders>
            <w:shd w:val="clear" w:color="auto" w:fill="auto"/>
            <w:noWrap/>
            <w:vAlign w:val="center"/>
            <w:hideMark/>
          </w:tcPr>
          <w:p w14:paraId="7E6C38C9"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N/A</w:t>
            </w:r>
          </w:p>
        </w:tc>
        <w:tc>
          <w:tcPr>
            <w:tcW w:w="1066" w:type="dxa"/>
            <w:gridSpan w:val="2"/>
            <w:tcBorders>
              <w:top w:val="single" w:sz="4" w:space="0" w:color="auto"/>
              <w:left w:val="nil"/>
              <w:bottom w:val="single" w:sz="4" w:space="0" w:color="auto"/>
              <w:right w:val="nil"/>
            </w:tcBorders>
            <w:shd w:val="clear" w:color="auto" w:fill="auto"/>
            <w:noWrap/>
            <w:vAlign w:val="center"/>
            <w:hideMark/>
          </w:tcPr>
          <w:p w14:paraId="18CB810A"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6.05</w:t>
            </w:r>
          </w:p>
        </w:tc>
        <w:tc>
          <w:tcPr>
            <w:tcW w:w="977" w:type="dxa"/>
            <w:tcBorders>
              <w:top w:val="single" w:sz="4" w:space="0" w:color="auto"/>
              <w:left w:val="nil"/>
              <w:bottom w:val="single" w:sz="4" w:space="0" w:color="auto"/>
              <w:right w:val="nil"/>
            </w:tcBorders>
            <w:shd w:val="clear" w:color="auto" w:fill="auto"/>
            <w:noWrap/>
            <w:vAlign w:val="center"/>
            <w:hideMark/>
          </w:tcPr>
          <w:p w14:paraId="52222696"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2.01</w:t>
            </w:r>
          </w:p>
        </w:tc>
        <w:tc>
          <w:tcPr>
            <w:tcW w:w="977" w:type="dxa"/>
            <w:tcBorders>
              <w:top w:val="single" w:sz="4" w:space="0" w:color="auto"/>
              <w:left w:val="nil"/>
              <w:bottom w:val="single" w:sz="4" w:space="0" w:color="auto"/>
              <w:right w:val="nil"/>
            </w:tcBorders>
            <w:shd w:val="clear" w:color="auto" w:fill="auto"/>
            <w:noWrap/>
            <w:vAlign w:val="center"/>
            <w:hideMark/>
          </w:tcPr>
          <w:p w14:paraId="032F2D0D"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11.77</w:t>
            </w:r>
          </w:p>
        </w:tc>
        <w:tc>
          <w:tcPr>
            <w:tcW w:w="977" w:type="dxa"/>
            <w:tcBorders>
              <w:top w:val="single" w:sz="4" w:space="0" w:color="auto"/>
              <w:left w:val="nil"/>
              <w:bottom w:val="single" w:sz="4" w:space="0" w:color="auto"/>
              <w:right w:val="nil"/>
            </w:tcBorders>
            <w:shd w:val="clear" w:color="auto" w:fill="auto"/>
            <w:noWrap/>
            <w:vAlign w:val="center"/>
            <w:hideMark/>
          </w:tcPr>
          <w:p w14:paraId="43DFF60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32.88</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14:paraId="01EF68FC"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0.78</w:t>
            </w:r>
          </w:p>
        </w:tc>
        <w:tc>
          <w:tcPr>
            <w:tcW w:w="707" w:type="dxa"/>
            <w:tcBorders>
              <w:top w:val="single" w:sz="4" w:space="0" w:color="auto"/>
              <w:left w:val="nil"/>
              <w:bottom w:val="single" w:sz="4" w:space="0" w:color="auto"/>
              <w:right w:val="single" w:sz="4" w:space="0" w:color="auto"/>
            </w:tcBorders>
            <w:vAlign w:val="center"/>
          </w:tcPr>
          <w:p w14:paraId="589B3342" w14:textId="77777777" w:rsidR="002934F0" w:rsidRPr="002934F0" w:rsidRDefault="00F91E53" w:rsidP="00917EDF">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844.7</w:t>
            </w:r>
          </w:p>
        </w:tc>
      </w:tr>
      <w:tr w:rsidR="002934F0" w:rsidRPr="002934F0" w14:paraId="69267894" w14:textId="77777777" w:rsidTr="00705C12">
        <w:trPr>
          <w:trHeight w:val="315"/>
        </w:trPr>
        <w:tc>
          <w:tcPr>
            <w:tcW w:w="800" w:type="dxa"/>
            <w:tcBorders>
              <w:top w:val="single" w:sz="4" w:space="0" w:color="auto"/>
              <w:left w:val="single" w:sz="8" w:space="0" w:color="auto"/>
              <w:bottom w:val="single" w:sz="4" w:space="0" w:color="auto"/>
              <w:right w:val="single" w:sz="8" w:space="0" w:color="auto"/>
            </w:tcBorders>
            <w:shd w:val="clear" w:color="auto" w:fill="FFF2CC" w:themeFill="accent4" w:themeFillTint="33"/>
            <w:noWrap/>
            <w:vAlign w:val="center"/>
            <w:hideMark/>
          </w:tcPr>
          <w:p w14:paraId="078B9CC2" w14:textId="77777777" w:rsidR="002934F0" w:rsidRPr="002934F0" w:rsidRDefault="002934F0" w:rsidP="00917EDF">
            <w:pPr>
              <w:spacing w:after="0" w:line="276" w:lineRule="auto"/>
              <w:jc w:val="center"/>
              <w:rPr>
                <w:rFonts w:ascii="Times New Roman" w:eastAsia="Times New Roman" w:hAnsi="Times New Roman" w:cs="Times New Roman"/>
                <w:b/>
                <w:bCs/>
                <w:color w:val="000000"/>
                <w:sz w:val="20"/>
                <w:szCs w:val="20"/>
              </w:rPr>
            </w:pPr>
            <w:r w:rsidRPr="002934F0">
              <w:rPr>
                <w:rFonts w:ascii="Times New Roman" w:eastAsia="Times New Roman" w:hAnsi="Times New Roman" w:cs="Times New Roman"/>
                <w:b/>
                <w:bCs/>
                <w:color w:val="000000"/>
                <w:sz w:val="20"/>
                <w:szCs w:val="20"/>
              </w:rPr>
              <w:t>AM07 (INV)</w:t>
            </w:r>
          </w:p>
        </w:tc>
        <w:tc>
          <w:tcPr>
            <w:tcW w:w="1897" w:type="dxa"/>
            <w:gridSpan w:val="2"/>
            <w:tcBorders>
              <w:top w:val="single" w:sz="4" w:space="0" w:color="auto"/>
              <w:left w:val="nil"/>
              <w:bottom w:val="single" w:sz="4" w:space="0" w:color="auto"/>
              <w:right w:val="nil"/>
            </w:tcBorders>
            <w:shd w:val="clear" w:color="auto" w:fill="FFF2CC" w:themeFill="accent4" w:themeFillTint="33"/>
            <w:vAlign w:val="center"/>
          </w:tcPr>
          <w:p w14:paraId="12096F2F" w14:textId="77777777" w:rsidR="002934F0" w:rsidRPr="002934F0" w:rsidRDefault="002934F0" w:rsidP="00917EDF">
            <w:pPr>
              <w:spacing w:after="0" w:line="276" w:lineRule="auto"/>
              <w:jc w:val="center"/>
              <w:rPr>
                <w:rFonts w:ascii="Times New Roman" w:hAnsi="Times New Roman" w:cs="Times New Roman"/>
                <w:color w:val="000000"/>
                <w:sz w:val="20"/>
                <w:szCs w:val="20"/>
              </w:rPr>
            </w:pPr>
            <w:r w:rsidRPr="002934F0">
              <w:rPr>
                <w:rFonts w:ascii="Times New Roman" w:hAnsi="Times New Roman" w:cs="Times New Roman"/>
                <w:color w:val="000000"/>
                <w:sz w:val="20"/>
                <w:szCs w:val="20"/>
              </w:rPr>
              <w:t>Case Inlet</w:t>
            </w:r>
          </w:p>
        </w:tc>
        <w:tc>
          <w:tcPr>
            <w:tcW w:w="571" w:type="dxa"/>
            <w:tcBorders>
              <w:top w:val="single" w:sz="4" w:space="0" w:color="auto"/>
              <w:left w:val="nil"/>
              <w:bottom w:val="single" w:sz="4" w:space="0" w:color="auto"/>
              <w:right w:val="nil"/>
            </w:tcBorders>
            <w:shd w:val="clear" w:color="auto" w:fill="FFF2CC" w:themeFill="accent4" w:themeFillTint="33"/>
            <w:noWrap/>
            <w:vAlign w:val="center"/>
            <w:hideMark/>
          </w:tcPr>
          <w:p w14:paraId="0EFB141A"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6.44</w:t>
            </w:r>
          </w:p>
        </w:tc>
        <w:tc>
          <w:tcPr>
            <w:tcW w:w="1066" w:type="dxa"/>
            <w:gridSpan w:val="2"/>
            <w:tcBorders>
              <w:top w:val="single" w:sz="4" w:space="0" w:color="auto"/>
              <w:left w:val="nil"/>
              <w:bottom w:val="single" w:sz="4" w:space="0" w:color="auto"/>
              <w:right w:val="nil"/>
            </w:tcBorders>
            <w:shd w:val="clear" w:color="auto" w:fill="FFF2CC" w:themeFill="accent4" w:themeFillTint="33"/>
            <w:noWrap/>
            <w:vAlign w:val="center"/>
            <w:hideMark/>
          </w:tcPr>
          <w:p w14:paraId="513EDB7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0.03</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73777DDC"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3.66</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4A24623F"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15.74</w:t>
            </w:r>
          </w:p>
        </w:tc>
        <w:tc>
          <w:tcPr>
            <w:tcW w:w="977" w:type="dxa"/>
            <w:tcBorders>
              <w:top w:val="single" w:sz="4" w:space="0" w:color="auto"/>
              <w:left w:val="nil"/>
              <w:bottom w:val="single" w:sz="4" w:space="0" w:color="auto"/>
              <w:right w:val="nil"/>
            </w:tcBorders>
            <w:shd w:val="clear" w:color="auto" w:fill="FFF2CC" w:themeFill="accent4" w:themeFillTint="33"/>
            <w:noWrap/>
            <w:vAlign w:val="center"/>
            <w:hideMark/>
          </w:tcPr>
          <w:p w14:paraId="70D9F881"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0.08</w:t>
            </w:r>
          </w:p>
        </w:tc>
        <w:tc>
          <w:tcPr>
            <w:tcW w:w="977" w:type="dxa"/>
            <w:tcBorders>
              <w:top w:val="single" w:sz="4" w:space="0" w:color="auto"/>
              <w:left w:val="nil"/>
              <w:bottom w:val="single" w:sz="4" w:space="0" w:color="auto"/>
              <w:right w:val="single" w:sz="4" w:space="0" w:color="auto"/>
            </w:tcBorders>
            <w:shd w:val="clear" w:color="auto" w:fill="FFF2CC" w:themeFill="accent4" w:themeFillTint="33"/>
            <w:noWrap/>
            <w:vAlign w:val="center"/>
            <w:hideMark/>
          </w:tcPr>
          <w:p w14:paraId="751F6319" w14:textId="77777777" w:rsidR="002934F0" w:rsidRPr="002934F0" w:rsidRDefault="002934F0" w:rsidP="00917EDF">
            <w:pPr>
              <w:spacing w:after="0" w:line="276" w:lineRule="auto"/>
              <w:jc w:val="center"/>
              <w:rPr>
                <w:rFonts w:ascii="Times New Roman" w:eastAsia="Times New Roman" w:hAnsi="Times New Roman" w:cs="Times New Roman"/>
                <w:color w:val="000000"/>
                <w:sz w:val="20"/>
                <w:szCs w:val="20"/>
              </w:rPr>
            </w:pPr>
            <w:r w:rsidRPr="002934F0">
              <w:rPr>
                <w:rFonts w:ascii="Times New Roman" w:hAnsi="Times New Roman" w:cs="Times New Roman"/>
                <w:color w:val="000000"/>
                <w:sz w:val="20"/>
                <w:szCs w:val="20"/>
              </w:rPr>
              <w:t>0.71</w:t>
            </w:r>
          </w:p>
        </w:tc>
        <w:tc>
          <w:tcPr>
            <w:tcW w:w="707" w:type="dxa"/>
            <w:tcBorders>
              <w:top w:val="single" w:sz="4" w:space="0" w:color="auto"/>
              <w:left w:val="nil"/>
              <w:bottom w:val="single" w:sz="4" w:space="0" w:color="auto"/>
              <w:right w:val="single" w:sz="4" w:space="0" w:color="auto"/>
            </w:tcBorders>
            <w:shd w:val="clear" w:color="auto" w:fill="FFF2CC" w:themeFill="accent4" w:themeFillTint="33"/>
            <w:vAlign w:val="center"/>
          </w:tcPr>
          <w:p w14:paraId="5029A832" w14:textId="77777777" w:rsidR="002934F0" w:rsidRPr="002934F0" w:rsidRDefault="00F91E53" w:rsidP="00917EDF">
            <w:pPr>
              <w:spacing w:after="0" w:line="276"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ND</w:t>
            </w:r>
          </w:p>
        </w:tc>
      </w:tr>
    </w:tbl>
    <w:p w14:paraId="03ECAD9F" w14:textId="77777777" w:rsidR="00917EDF" w:rsidRDefault="00917EDF" w:rsidP="00917EDF">
      <w:pPr>
        <w:pStyle w:val="Caption"/>
        <w:keepNext/>
        <w:rPr>
          <w:rFonts w:ascii="Times New Roman" w:hAnsi="Times New Roman" w:cs="Times New Roman"/>
        </w:rPr>
      </w:pPr>
    </w:p>
    <w:p w14:paraId="29CD56CC" w14:textId="77777777" w:rsidR="002934F0" w:rsidRPr="002934F0" w:rsidRDefault="002934F0" w:rsidP="00917EDF">
      <w:pPr>
        <w:pStyle w:val="Caption"/>
        <w:keepNext/>
        <w:rPr>
          <w:rFonts w:ascii="Times New Roman" w:hAnsi="Times New Roman" w:cs="Times New Roman"/>
        </w:rPr>
      </w:pPr>
      <w:r w:rsidRPr="002934F0">
        <w:rPr>
          <w:rFonts w:ascii="Times New Roman" w:hAnsi="Times New Roman" w:cs="Times New Roman"/>
        </w:rPr>
        <w:t xml:space="preserve">Table </w:t>
      </w:r>
      <w:r w:rsidR="00832D83">
        <w:rPr>
          <w:rFonts w:ascii="Times New Roman" w:hAnsi="Times New Roman" w:cs="Times New Roman"/>
        </w:rPr>
        <w:t>4</w:t>
      </w:r>
      <w:r w:rsidRPr="002934F0">
        <w:rPr>
          <w:rFonts w:ascii="Times New Roman" w:hAnsi="Times New Roman" w:cs="Times New Roman"/>
        </w:rPr>
        <w:t xml:space="preserve"> - Metal Enrichment Factor Ranges, bold for emphasis</w:t>
      </w:r>
    </w:p>
    <w:tbl>
      <w:tblPr>
        <w:tblStyle w:val="TableGrid"/>
        <w:tblW w:w="10345" w:type="dxa"/>
        <w:tblLayout w:type="fixed"/>
        <w:tblLook w:val="04A0" w:firstRow="1" w:lastRow="0" w:firstColumn="1" w:lastColumn="0" w:noHBand="0" w:noVBand="1"/>
      </w:tblPr>
      <w:tblGrid>
        <w:gridCol w:w="777"/>
        <w:gridCol w:w="1378"/>
        <w:gridCol w:w="1080"/>
        <w:gridCol w:w="1350"/>
        <w:gridCol w:w="1620"/>
        <w:gridCol w:w="4140"/>
      </w:tblGrid>
      <w:tr w:rsidR="002934F0" w:rsidRPr="002934F0" w14:paraId="20E3293F" w14:textId="77777777" w:rsidTr="00E2230F">
        <w:trPr>
          <w:trHeight w:val="549"/>
        </w:trPr>
        <w:tc>
          <w:tcPr>
            <w:tcW w:w="777" w:type="dxa"/>
            <w:vAlign w:val="center"/>
          </w:tcPr>
          <w:p w14:paraId="4587A621"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Metal</w:t>
            </w:r>
          </w:p>
        </w:tc>
        <w:tc>
          <w:tcPr>
            <w:tcW w:w="1378" w:type="dxa"/>
            <w:vAlign w:val="center"/>
          </w:tcPr>
          <w:p w14:paraId="7FFD078B"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EF Range (N=8)</w:t>
            </w:r>
          </w:p>
        </w:tc>
        <w:tc>
          <w:tcPr>
            <w:tcW w:w="1080" w:type="dxa"/>
            <w:vAlign w:val="center"/>
          </w:tcPr>
          <w:p w14:paraId="29174B3F"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EF mean</w:t>
            </w:r>
          </w:p>
        </w:tc>
        <w:tc>
          <w:tcPr>
            <w:tcW w:w="1350" w:type="dxa"/>
            <w:vAlign w:val="center"/>
          </w:tcPr>
          <w:p w14:paraId="7DAE6B27"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EF median</w:t>
            </w:r>
          </w:p>
        </w:tc>
        <w:tc>
          <w:tcPr>
            <w:tcW w:w="1620" w:type="dxa"/>
            <w:vAlign w:val="center"/>
          </w:tcPr>
          <w:p w14:paraId="2751AB02"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EF Standard Deviation</w:t>
            </w:r>
          </w:p>
        </w:tc>
        <w:tc>
          <w:tcPr>
            <w:tcW w:w="4140" w:type="dxa"/>
            <w:vAlign w:val="center"/>
          </w:tcPr>
          <w:p w14:paraId="031A3EAD"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Notes</w:t>
            </w:r>
          </w:p>
        </w:tc>
      </w:tr>
      <w:tr w:rsidR="002934F0" w:rsidRPr="002934F0" w14:paraId="4A31ED62" w14:textId="77777777" w:rsidTr="00E2230F">
        <w:trPr>
          <w:trHeight w:val="289"/>
        </w:trPr>
        <w:tc>
          <w:tcPr>
            <w:tcW w:w="777" w:type="dxa"/>
            <w:vAlign w:val="center"/>
          </w:tcPr>
          <w:p w14:paraId="45B22AC8"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Cr</w:t>
            </w:r>
          </w:p>
        </w:tc>
        <w:tc>
          <w:tcPr>
            <w:tcW w:w="1378" w:type="dxa"/>
            <w:vAlign w:val="center"/>
          </w:tcPr>
          <w:p w14:paraId="5F2023C7"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2.31-6.65</w:t>
            </w:r>
          </w:p>
        </w:tc>
        <w:tc>
          <w:tcPr>
            <w:tcW w:w="1080" w:type="dxa"/>
            <w:vAlign w:val="center"/>
          </w:tcPr>
          <w:p w14:paraId="6F09836C"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4.16</w:t>
            </w:r>
          </w:p>
        </w:tc>
        <w:tc>
          <w:tcPr>
            <w:tcW w:w="1350" w:type="dxa"/>
            <w:vAlign w:val="center"/>
          </w:tcPr>
          <w:p w14:paraId="5B03C948"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4.30</w:t>
            </w:r>
          </w:p>
        </w:tc>
        <w:tc>
          <w:tcPr>
            <w:tcW w:w="1620" w:type="dxa"/>
            <w:vAlign w:val="center"/>
          </w:tcPr>
          <w:p w14:paraId="3B4DC385"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1.19</w:t>
            </w:r>
          </w:p>
        </w:tc>
        <w:tc>
          <w:tcPr>
            <w:tcW w:w="4140" w:type="dxa"/>
            <w:vAlign w:val="center"/>
          </w:tcPr>
          <w:p w14:paraId="3152A287" w14:textId="77777777" w:rsidR="002934F0" w:rsidRPr="00F91E53" w:rsidRDefault="002934F0" w:rsidP="00CF318B">
            <w:pPr>
              <w:spacing w:line="276" w:lineRule="auto"/>
              <w:rPr>
                <w:rFonts w:ascii="Times New Roman" w:hAnsi="Times New Roman" w:cs="Times New Roman"/>
              </w:rPr>
            </w:pPr>
            <w:r w:rsidRPr="00F91E53">
              <w:rPr>
                <w:rFonts w:ascii="Times New Roman" w:hAnsi="Times New Roman" w:cs="Times New Roman"/>
              </w:rPr>
              <w:t>Trace Cr found in inv-control sample</w:t>
            </w:r>
          </w:p>
        </w:tc>
      </w:tr>
      <w:tr w:rsidR="002934F0" w:rsidRPr="002934F0" w14:paraId="2874290E" w14:textId="77777777" w:rsidTr="00E2230F">
        <w:trPr>
          <w:trHeight w:val="274"/>
        </w:trPr>
        <w:tc>
          <w:tcPr>
            <w:tcW w:w="777" w:type="dxa"/>
            <w:vAlign w:val="center"/>
          </w:tcPr>
          <w:p w14:paraId="786CA85B"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Cu</w:t>
            </w:r>
          </w:p>
        </w:tc>
        <w:tc>
          <w:tcPr>
            <w:tcW w:w="1378" w:type="dxa"/>
            <w:vAlign w:val="center"/>
          </w:tcPr>
          <w:p w14:paraId="7B83B081"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4.87-</w:t>
            </w:r>
            <w:r w:rsidRPr="00F91E53">
              <w:rPr>
                <w:rFonts w:ascii="Times New Roman" w:hAnsi="Times New Roman" w:cs="Times New Roman"/>
                <w:b/>
              </w:rPr>
              <w:t>51.2</w:t>
            </w:r>
          </w:p>
        </w:tc>
        <w:tc>
          <w:tcPr>
            <w:tcW w:w="1080" w:type="dxa"/>
            <w:vAlign w:val="center"/>
          </w:tcPr>
          <w:p w14:paraId="0617320A"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11.71</w:t>
            </w:r>
          </w:p>
        </w:tc>
        <w:tc>
          <w:tcPr>
            <w:tcW w:w="1350" w:type="dxa"/>
            <w:vAlign w:val="center"/>
          </w:tcPr>
          <w:p w14:paraId="42E74FC5"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6.90</w:t>
            </w:r>
          </w:p>
        </w:tc>
        <w:tc>
          <w:tcPr>
            <w:tcW w:w="1620" w:type="dxa"/>
            <w:vAlign w:val="center"/>
          </w:tcPr>
          <w:p w14:paraId="3EEC23DD"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14.04</w:t>
            </w:r>
          </w:p>
        </w:tc>
        <w:tc>
          <w:tcPr>
            <w:tcW w:w="4140" w:type="dxa"/>
            <w:vAlign w:val="center"/>
          </w:tcPr>
          <w:p w14:paraId="0428B353" w14:textId="77777777" w:rsidR="002934F0" w:rsidRPr="00F91E53" w:rsidRDefault="002934F0" w:rsidP="00CF318B">
            <w:pPr>
              <w:spacing w:line="276" w:lineRule="auto"/>
              <w:rPr>
                <w:rFonts w:ascii="Times New Roman" w:hAnsi="Times New Roman" w:cs="Times New Roman"/>
              </w:rPr>
            </w:pPr>
            <w:r w:rsidRPr="00F91E53">
              <w:rPr>
                <w:rFonts w:ascii="Times New Roman" w:hAnsi="Times New Roman" w:cs="Times New Roman"/>
              </w:rPr>
              <w:t>High outlier – ship canal</w:t>
            </w:r>
          </w:p>
        </w:tc>
      </w:tr>
      <w:tr w:rsidR="002934F0" w:rsidRPr="002934F0" w14:paraId="75D62C3A" w14:textId="77777777" w:rsidTr="00E2230F">
        <w:trPr>
          <w:trHeight w:val="274"/>
        </w:trPr>
        <w:tc>
          <w:tcPr>
            <w:tcW w:w="777" w:type="dxa"/>
            <w:vAlign w:val="center"/>
          </w:tcPr>
          <w:p w14:paraId="0B57D6E1"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Ni</w:t>
            </w:r>
          </w:p>
        </w:tc>
        <w:tc>
          <w:tcPr>
            <w:tcW w:w="1378" w:type="dxa"/>
            <w:vAlign w:val="center"/>
          </w:tcPr>
          <w:p w14:paraId="43DB3295"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3.42-9.33</w:t>
            </w:r>
          </w:p>
        </w:tc>
        <w:tc>
          <w:tcPr>
            <w:tcW w:w="1080" w:type="dxa"/>
            <w:vAlign w:val="center"/>
          </w:tcPr>
          <w:p w14:paraId="4B30447C"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6.53</w:t>
            </w:r>
          </w:p>
        </w:tc>
        <w:tc>
          <w:tcPr>
            <w:tcW w:w="1350" w:type="dxa"/>
            <w:vAlign w:val="center"/>
          </w:tcPr>
          <w:p w14:paraId="15C03865"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6.20</w:t>
            </w:r>
          </w:p>
        </w:tc>
        <w:tc>
          <w:tcPr>
            <w:tcW w:w="1620" w:type="dxa"/>
            <w:vAlign w:val="center"/>
          </w:tcPr>
          <w:p w14:paraId="0A402B06"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1.91</w:t>
            </w:r>
          </w:p>
        </w:tc>
        <w:tc>
          <w:tcPr>
            <w:tcW w:w="4140" w:type="dxa"/>
            <w:vAlign w:val="center"/>
          </w:tcPr>
          <w:p w14:paraId="5ABF3EB9" w14:textId="77777777" w:rsidR="002934F0" w:rsidRPr="00F91E53" w:rsidRDefault="002934F0" w:rsidP="00CF318B">
            <w:pPr>
              <w:spacing w:line="276" w:lineRule="auto"/>
              <w:rPr>
                <w:rFonts w:ascii="Times New Roman" w:hAnsi="Times New Roman" w:cs="Times New Roman"/>
              </w:rPr>
            </w:pPr>
            <w:r w:rsidRPr="00F91E53">
              <w:rPr>
                <w:rFonts w:ascii="Times New Roman" w:hAnsi="Times New Roman" w:cs="Times New Roman"/>
              </w:rPr>
              <w:t>Higher EF in control site</w:t>
            </w:r>
          </w:p>
        </w:tc>
      </w:tr>
      <w:tr w:rsidR="002934F0" w:rsidRPr="002934F0" w14:paraId="28B46185" w14:textId="77777777" w:rsidTr="00E2230F">
        <w:trPr>
          <w:trHeight w:val="274"/>
        </w:trPr>
        <w:tc>
          <w:tcPr>
            <w:tcW w:w="777" w:type="dxa"/>
            <w:vAlign w:val="center"/>
          </w:tcPr>
          <w:p w14:paraId="346B91ED"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Pb</w:t>
            </w:r>
          </w:p>
        </w:tc>
        <w:tc>
          <w:tcPr>
            <w:tcW w:w="1378" w:type="dxa"/>
            <w:vAlign w:val="center"/>
          </w:tcPr>
          <w:p w14:paraId="1DC9F775"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26.3-</w:t>
            </w:r>
            <w:r w:rsidRPr="00F91E53">
              <w:rPr>
                <w:rFonts w:ascii="Times New Roman" w:hAnsi="Times New Roman" w:cs="Times New Roman"/>
                <w:b/>
              </w:rPr>
              <w:t>113.0</w:t>
            </w:r>
          </w:p>
        </w:tc>
        <w:tc>
          <w:tcPr>
            <w:tcW w:w="1080" w:type="dxa"/>
            <w:vAlign w:val="center"/>
          </w:tcPr>
          <w:p w14:paraId="68270C7B"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54.91</w:t>
            </w:r>
          </w:p>
        </w:tc>
        <w:tc>
          <w:tcPr>
            <w:tcW w:w="1350" w:type="dxa"/>
            <w:vAlign w:val="center"/>
          </w:tcPr>
          <w:p w14:paraId="3D16C7BD"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42.63</w:t>
            </w:r>
          </w:p>
        </w:tc>
        <w:tc>
          <w:tcPr>
            <w:tcW w:w="1620" w:type="dxa"/>
            <w:vAlign w:val="center"/>
          </w:tcPr>
          <w:p w14:paraId="2DF97D92"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26.43</w:t>
            </w:r>
          </w:p>
        </w:tc>
        <w:tc>
          <w:tcPr>
            <w:tcW w:w="4140" w:type="dxa"/>
            <w:vAlign w:val="center"/>
          </w:tcPr>
          <w:p w14:paraId="575310B2" w14:textId="77777777" w:rsidR="002934F0" w:rsidRPr="00F91E53" w:rsidRDefault="002934F0" w:rsidP="00CF318B">
            <w:pPr>
              <w:spacing w:line="276" w:lineRule="auto"/>
              <w:rPr>
                <w:rFonts w:ascii="Times New Roman" w:hAnsi="Times New Roman" w:cs="Times New Roman"/>
              </w:rPr>
            </w:pPr>
            <w:r w:rsidRPr="00F91E53">
              <w:rPr>
                <w:rFonts w:ascii="Times New Roman" w:hAnsi="Times New Roman" w:cs="Times New Roman"/>
              </w:rPr>
              <w:t>Trace Pb found in Inv-control sample</w:t>
            </w:r>
          </w:p>
        </w:tc>
      </w:tr>
      <w:tr w:rsidR="002934F0" w:rsidRPr="002934F0" w14:paraId="5AED60AF" w14:textId="77777777" w:rsidTr="00E2230F">
        <w:trPr>
          <w:trHeight w:val="274"/>
        </w:trPr>
        <w:tc>
          <w:tcPr>
            <w:tcW w:w="777" w:type="dxa"/>
            <w:vAlign w:val="center"/>
          </w:tcPr>
          <w:p w14:paraId="2B0DF187"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Zn</w:t>
            </w:r>
          </w:p>
        </w:tc>
        <w:tc>
          <w:tcPr>
            <w:tcW w:w="1378" w:type="dxa"/>
            <w:vAlign w:val="center"/>
          </w:tcPr>
          <w:p w14:paraId="50F78316"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4.48-</w:t>
            </w:r>
            <w:r w:rsidRPr="00F91E53">
              <w:rPr>
                <w:rFonts w:ascii="Times New Roman" w:hAnsi="Times New Roman" w:cs="Times New Roman"/>
                <w:b/>
              </w:rPr>
              <w:t>35.42</w:t>
            </w:r>
          </w:p>
        </w:tc>
        <w:tc>
          <w:tcPr>
            <w:tcW w:w="1080" w:type="dxa"/>
            <w:vAlign w:val="center"/>
          </w:tcPr>
          <w:p w14:paraId="426CC1ED"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11.25</w:t>
            </w:r>
          </w:p>
        </w:tc>
        <w:tc>
          <w:tcPr>
            <w:tcW w:w="1350" w:type="dxa"/>
            <w:vAlign w:val="center"/>
          </w:tcPr>
          <w:p w14:paraId="61588041"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5.73</w:t>
            </w:r>
          </w:p>
        </w:tc>
        <w:tc>
          <w:tcPr>
            <w:tcW w:w="1620" w:type="dxa"/>
            <w:vAlign w:val="center"/>
          </w:tcPr>
          <w:p w14:paraId="1B3D31AE"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rPr>
              <w:t>9.30</w:t>
            </w:r>
          </w:p>
        </w:tc>
        <w:tc>
          <w:tcPr>
            <w:tcW w:w="4140" w:type="dxa"/>
            <w:vAlign w:val="center"/>
          </w:tcPr>
          <w:p w14:paraId="15A7A18D" w14:textId="77777777" w:rsidR="002934F0" w:rsidRPr="00F91E53" w:rsidRDefault="002934F0" w:rsidP="00CF318B">
            <w:pPr>
              <w:spacing w:line="276" w:lineRule="auto"/>
              <w:rPr>
                <w:rFonts w:ascii="Times New Roman" w:hAnsi="Times New Roman" w:cs="Times New Roman"/>
              </w:rPr>
            </w:pPr>
            <w:r w:rsidRPr="00F91E53">
              <w:rPr>
                <w:rFonts w:ascii="Times New Roman" w:hAnsi="Times New Roman" w:cs="Times New Roman"/>
              </w:rPr>
              <w:t>High outlier – ship canal</w:t>
            </w:r>
          </w:p>
        </w:tc>
      </w:tr>
      <w:tr w:rsidR="002934F0" w:rsidRPr="002934F0" w14:paraId="345D36B6" w14:textId="77777777" w:rsidTr="00E2230F">
        <w:trPr>
          <w:trHeight w:val="274"/>
        </w:trPr>
        <w:tc>
          <w:tcPr>
            <w:tcW w:w="777" w:type="dxa"/>
            <w:vAlign w:val="center"/>
          </w:tcPr>
          <w:p w14:paraId="5FA2F7D5"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As</w:t>
            </w:r>
          </w:p>
        </w:tc>
        <w:tc>
          <w:tcPr>
            <w:tcW w:w="1378" w:type="dxa"/>
            <w:vAlign w:val="center"/>
          </w:tcPr>
          <w:p w14:paraId="0A0A938E"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37.14</w:t>
            </w:r>
          </w:p>
        </w:tc>
        <w:tc>
          <w:tcPr>
            <w:tcW w:w="1080" w:type="dxa"/>
            <w:vAlign w:val="center"/>
          </w:tcPr>
          <w:p w14:paraId="52CB54A6"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37.14</w:t>
            </w:r>
          </w:p>
        </w:tc>
        <w:tc>
          <w:tcPr>
            <w:tcW w:w="1350" w:type="dxa"/>
            <w:vAlign w:val="center"/>
          </w:tcPr>
          <w:p w14:paraId="5D7B48A2"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37.14</w:t>
            </w:r>
          </w:p>
        </w:tc>
        <w:tc>
          <w:tcPr>
            <w:tcW w:w="1620" w:type="dxa"/>
            <w:vAlign w:val="center"/>
          </w:tcPr>
          <w:p w14:paraId="5D9E5102" w14:textId="77777777" w:rsidR="002934F0" w:rsidRPr="00F91E53" w:rsidRDefault="002934F0" w:rsidP="00917EDF">
            <w:pPr>
              <w:spacing w:line="276" w:lineRule="auto"/>
              <w:jc w:val="center"/>
              <w:rPr>
                <w:rFonts w:ascii="Times New Roman" w:hAnsi="Times New Roman" w:cs="Times New Roman"/>
              </w:rPr>
            </w:pPr>
            <w:r w:rsidRPr="00F91E53">
              <w:rPr>
                <w:rFonts w:ascii="Times New Roman" w:hAnsi="Times New Roman" w:cs="Times New Roman"/>
                <w:i/>
              </w:rPr>
              <w:t>N/A</w:t>
            </w:r>
          </w:p>
        </w:tc>
        <w:tc>
          <w:tcPr>
            <w:tcW w:w="4140" w:type="dxa"/>
            <w:vAlign w:val="center"/>
          </w:tcPr>
          <w:p w14:paraId="1D96919F" w14:textId="77777777" w:rsidR="002934F0" w:rsidRPr="00F91E53" w:rsidRDefault="002934F0" w:rsidP="00CF318B">
            <w:pPr>
              <w:spacing w:line="276" w:lineRule="auto"/>
              <w:rPr>
                <w:rFonts w:ascii="Times New Roman" w:hAnsi="Times New Roman" w:cs="Times New Roman"/>
                <w:i/>
              </w:rPr>
            </w:pPr>
            <w:r w:rsidRPr="00F91E53">
              <w:rPr>
                <w:rFonts w:ascii="Times New Roman" w:hAnsi="Times New Roman" w:cs="Times New Roman"/>
                <w:i/>
              </w:rPr>
              <w:t>Only found in 1 sed/1 inv sample</w:t>
            </w:r>
          </w:p>
        </w:tc>
      </w:tr>
      <w:tr w:rsidR="002934F0" w:rsidRPr="002934F0" w14:paraId="067B429D" w14:textId="77777777" w:rsidTr="00E2230F">
        <w:trPr>
          <w:trHeight w:val="274"/>
        </w:trPr>
        <w:tc>
          <w:tcPr>
            <w:tcW w:w="777" w:type="dxa"/>
            <w:vAlign w:val="center"/>
          </w:tcPr>
          <w:p w14:paraId="7708B590"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Se</w:t>
            </w:r>
          </w:p>
        </w:tc>
        <w:tc>
          <w:tcPr>
            <w:tcW w:w="1378" w:type="dxa"/>
            <w:vAlign w:val="center"/>
          </w:tcPr>
          <w:p w14:paraId="242A402A"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1955-4876</w:t>
            </w:r>
          </w:p>
        </w:tc>
        <w:tc>
          <w:tcPr>
            <w:tcW w:w="1080" w:type="dxa"/>
            <w:vAlign w:val="center"/>
          </w:tcPr>
          <w:p w14:paraId="03EC3FA3"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2980</w:t>
            </w:r>
          </w:p>
        </w:tc>
        <w:tc>
          <w:tcPr>
            <w:tcW w:w="1350" w:type="dxa"/>
            <w:vAlign w:val="center"/>
          </w:tcPr>
          <w:p w14:paraId="1952026B"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2647</w:t>
            </w:r>
          </w:p>
        </w:tc>
        <w:tc>
          <w:tcPr>
            <w:tcW w:w="1620" w:type="dxa"/>
            <w:vAlign w:val="center"/>
          </w:tcPr>
          <w:p w14:paraId="7A33912B" w14:textId="77777777" w:rsidR="002934F0" w:rsidRPr="00F91E53" w:rsidRDefault="002934F0" w:rsidP="00917EDF">
            <w:pPr>
              <w:spacing w:line="276" w:lineRule="auto"/>
              <w:jc w:val="center"/>
              <w:rPr>
                <w:rFonts w:ascii="Times New Roman" w:hAnsi="Times New Roman" w:cs="Times New Roman"/>
                <w:i/>
              </w:rPr>
            </w:pPr>
            <w:r w:rsidRPr="00F91E53">
              <w:rPr>
                <w:rFonts w:ascii="Times New Roman" w:hAnsi="Times New Roman" w:cs="Times New Roman"/>
                <w:i/>
              </w:rPr>
              <w:t>818.6</w:t>
            </w:r>
          </w:p>
        </w:tc>
        <w:tc>
          <w:tcPr>
            <w:tcW w:w="4140" w:type="dxa"/>
            <w:vAlign w:val="center"/>
          </w:tcPr>
          <w:p w14:paraId="275517B5" w14:textId="77777777" w:rsidR="002934F0" w:rsidRPr="00F91E53" w:rsidRDefault="00F91E53" w:rsidP="00CF318B">
            <w:pPr>
              <w:spacing w:line="276" w:lineRule="auto"/>
              <w:rPr>
                <w:rFonts w:ascii="Times New Roman" w:hAnsi="Times New Roman" w:cs="Times New Roman"/>
                <w:i/>
              </w:rPr>
            </w:pPr>
            <w:r w:rsidRPr="00F91E53">
              <w:rPr>
                <w:rFonts w:ascii="Times New Roman" w:hAnsi="Times New Roman" w:cs="Times New Roman"/>
                <w:i/>
              </w:rPr>
              <w:t>Extremely high amounts found at all sites</w:t>
            </w:r>
          </w:p>
        </w:tc>
      </w:tr>
    </w:tbl>
    <w:p w14:paraId="41B73BEE" w14:textId="77777777" w:rsidR="00F91E53" w:rsidRDefault="00F91E53" w:rsidP="00917EDF">
      <w:pPr>
        <w:pStyle w:val="Caption"/>
      </w:pPr>
    </w:p>
    <w:p w14:paraId="2D82EA76" w14:textId="77777777" w:rsidR="002934F0" w:rsidRPr="002934F0" w:rsidRDefault="00917EDF" w:rsidP="00917EDF">
      <w:pPr>
        <w:pStyle w:val="Caption"/>
        <w:rPr>
          <w:rFonts w:ascii="Times New Roman" w:hAnsi="Times New Roman" w:cs="Times New Roman"/>
        </w:rPr>
      </w:pPr>
      <w:r>
        <w:t xml:space="preserve">Table </w:t>
      </w:r>
      <w:r w:rsidR="00832D83">
        <w:t>5</w:t>
      </w:r>
      <w:r>
        <w:t xml:space="preserve"> - Invertebrate Enrichment Factors</w:t>
      </w:r>
    </w:p>
    <w:tbl>
      <w:tblPr>
        <w:tblStyle w:val="TableGrid"/>
        <w:tblW w:w="10335" w:type="dxa"/>
        <w:tblLook w:val="04A0" w:firstRow="1" w:lastRow="0" w:firstColumn="1" w:lastColumn="0" w:noHBand="0" w:noVBand="1"/>
      </w:tblPr>
      <w:tblGrid>
        <w:gridCol w:w="1165"/>
        <w:gridCol w:w="2610"/>
        <w:gridCol w:w="6560"/>
      </w:tblGrid>
      <w:tr w:rsidR="002934F0" w:rsidRPr="002934F0" w14:paraId="321DA62C" w14:textId="77777777" w:rsidTr="00CF318B">
        <w:tc>
          <w:tcPr>
            <w:tcW w:w="1165" w:type="dxa"/>
          </w:tcPr>
          <w:p w14:paraId="126971E8"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Metal</w:t>
            </w:r>
          </w:p>
        </w:tc>
        <w:tc>
          <w:tcPr>
            <w:tcW w:w="2610" w:type="dxa"/>
          </w:tcPr>
          <w:p w14:paraId="72439E3B"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Invertebrate Range (N=2)</w:t>
            </w:r>
          </w:p>
        </w:tc>
        <w:tc>
          <w:tcPr>
            <w:tcW w:w="6560" w:type="dxa"/>
          </w:tcPr>
          <w:p w14:paraId="271A2C2E"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Notes</w:t>
            </w:r>
          </w:p>
        </w:tc>
      </w:tr>
      <w:tr w:rsidR="002934F0" w:rsidRPr="002934F0" w14:paraId="45E38272" w14:textId="77777777" w:rsidTr="00CF318B">
        <w:tc>
          <w:tcPr>
            <w:tcW w:w="1165" w:type="dxa"/>
          </w:tcPr>
          <w:p w14:paraId="367CA812"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Cr</w:t>
            </w:r>
          </w:p>
        </w:tc>
        <w:tc>
          <w:tcPr>
            <w:tcW w:w="2610" w:type="dxa"/>
          </w:tcPr>
          <w:p w14:paraId="67489C52"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0.02-6.05</w:t>
            </w:r>
          </w:p>
        </w:tc>
        <w:tc>
          <w:tcPr>
            <w:tcW w:w="6560" w:type="dxa"/>
          </w:tcPr>
          <w:p w14:paraId="67A1D133" w14:textId="77777777" w:rsidR="002934F0" w:rsidRPr="00E2230F" w:rsidRDefault="00CF318B" w:rsidP="00917EDF">
            <w:pPr>
              <w:spacing w:line="276" w:lineRule="auto"/>
              <w:rPr>
                <w:rFonts w:ascii="Times New Roman" w:hAnsi="Times New Roman" w:cs="Times New Roman"/>
              </w:rPr>
            </w:pPr>
            <w:r>
              <w:rPr>
                <w:rFonts w:ascii="Times New Roman" w:hAnsi="Times New Roman" w:cs="Times New Roman"/>
              </w:rPr>
              <w:t>High Cr found at Henderson Inlet</w:t>
            </w:r>
          </w:p>
        </w:tc>
      </w:tr>
      <w:tr w:rsidR="002934F0" w:rsidRPr="002934F0" w14:paraId="1374E618" w14:textId="77777777" w:rsidTr="00CF318B">
        <w:tc>
          <w:tcPr>
            <w:tcW w:w="1165" w:type="dxa"/>
          </w:tcPr>
          <w:p w14:paraId="44101EFD"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Cu</w:t>
            </w:r>
          </w:p>
        </w:tc>
        <w:tc>
          <w:tcPr>
            <w:tcW w:w="2610" w:type="dxa"/>
          </w:tcPr>
          <w:p w14:paraId="3981A601"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2.01-3.66</w:t>
            </w:r>
          </w:p>
        </w:tc>
        <w:tc>
          <w:tcPr>
            <w:tcW w:w="6560" w:type="dxa"/>
          </w:tcPr>
          <w:p w14:paraId="3DCA42E3" w14:textId="77777777" w:rsidR="002934F0" w:rsidRPr="00E2230F" w:rsidRDefault="00CF318B" w:rsidP="00CF318B">
            <w:pPr>
              <w:spacing w:line="276" w:lineRule="auto"/>
              <w:rPr>
                <w:rFonts w:ascii="Times New Roman" w:hAnsi="Times New Roman" w:cs="Times New Roman"/>
              </w:rPr>
            </w:pPr>
            <w:r>
              <w:rPr>
                <w:rFonts w:ascii="Times New Roman" w:hAnsi="Times New Roman" w:cs="Times New Roman"/>
              </w:rPr>
              <w:t>Higher Cu found at control site (Case Inlet)</w:t>
            </w:r>
          </w:p>
        </w:tc>
      </w:tr>
      <w:tr w:rsidR="002934F0" w:rsidRPr="002934F0" w14:paraId="4A1B1446" w14:textId="77777777" w:rsidTr="00CF318B">
        <w:tc>
          <w:tcPr>
            <w:tcW w:w="1165" w:type="dxa"/>
          </w:tcPr>
          <w:p w14:paraId="06ABE237"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Ni</w:t>
            </w:r>
          </w:p>
        </w:tc>
        <w:tc>
          <w:tcPr>
            <w:tcW w:w="2610" w:type="dxa"/>
          </w:tcPr>
          <w:p w14:paraId="0B121400"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11.77-15.74</w:t>
            </w:r>
          </w:p>
        </w:tc>
        <w:tc>
          <w:tcPr>
            <w:tcW w:w="6560" w:type="dxa"/>
          </w:tcPr>
          <w:p w14:paraId="4F960A6F" w14:textId="77777777" w:rsidR="002934F0" w:rsidRPr="00E2230F" w:rsidRDefault="002934F0" w:rsidP="00917EDF">
            <w:pPr>
              <w:spacing w:line="276" w:lineRule="auto"/>
              <w:rPr>
                <w:rFonts w:ascii="Times New Roman" w:hAnsi="Times New Roman" w:cs="Times New Roman"/>
              </w:rPr>
            </w:pPr>
          </w:p>
        </w:tc>
      </w:tr>
      <w:tr w:rsidR="002934F0" w:rsidRPr="002934F0" w14:paraId="68EBC847" w14:textId="77777777" w:rsidTr="00CF318B">
        <w:tc>
          <w:tcPr>
            <w:tcW w:w="1165" w:type="dxa"/>
          </w:tcPr>
          <w:p w14:paraId="0BE59401"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Pb</w:t>
            </w:r>
          </w:p>
        </w:tc>
        <w:tc>
          <w:tcPr>
            <w:tcW w:w="2610" w:type="dxa"/>
          </w:tcPr>
          <w:p w14:paraId="016BA449"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0.078-32.88</w:t>
            </w:r>
          </w:p>
        </w:tc>
        <w:tc>
          <w:tcPr>
            <w:tcW w:w="6560" w:type="dxa"/>
          </w:tcPr>
          <w:p w14:paraId="198A47A8" w14:textId="77777777" w:rsidR="00CF318B" w:rsidRPr="00E2230F" w:rsidRDefault="00CF318B" w:rsidP="00CF318B">
            <w:pPr>
              <w:spacing w:line="276" w:lineRule="auto"/>
              <w:rPr>
                <w:rFonts w:ascii="Times New Roman" w:hAnsi="Times New Roman" w:cs="Times New Roman"/>
              </w:rPr>
            </w:pPr>
            <w:r>
              <w:rPr>
                <w:rFonts w:ascii="Times New Roman" w:hAnsi="Times New Roman" w:cs="Times New Roman"/>
              </w:rPr>
              <w:t>High Pb found at Henderson Inlet, low concentration at control</w:t>
            </w:r>
          </w:p>
        </w:tc>
      </w:tr>
      <w:tr w:rsidR="002934F0" w:rsidRPr="002934F0" w14:paraId="705E91B4" w14:textId="77777777" w:rsidTr="00CF318B">
        <w:tc>
          <w:tcPr>
            <w:tcW w:w="1165" w:type="dxa"/>
          </w:tcPr>
          <w:p w14:paraId="386F45BD"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Zn</w:t>
            </w:r>
          </w:p>
        </w:tc>
        <w:tc>
          <w:tcPr>
            <w:tcW w:w="2610" w:type="dxa"/>
          </w:tcPr>
          <w:p w14:paraId="1FD34212"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rPr>
              <w:t>0.71-0.78</w:t>
            </w:r>
          </w:p>
        </w:tc>
        <w:tc>
          <w:tcPr>
            <w:tcW w:w="6560" w:type="dxa"/>
          </w:tcPr>
          <w:p w14:paraId="069A8149" w14:textId="77777777" w:rsidR="002934F0" w:rsidRPr="00E2230F" w:rsidRDefault="00CF318B" w:rsidP="00917EDF">
            <w:pPr>
              <w:spacing w:line="276" w:lineRule="auto"/>
              <w:rPr>
                <w:rFonts w:ascii="Times New Roman" w:hAnsi="Times New Roman" w:cs="Times New Roman"/>
              </w:rPr>
            </w:pPr>
            <w:r>
              <w:rPr>
                <w:rFonts w:ascii="Times New Roman" w:hAnsi="Times New Roman" w:cs="Times New Roman"/>
              </w:rPr>
              <w:t>Low Zn in both locations</w:t>
            </w:r>
          </w:p>
        </w:tc>
      </w:tr>
      <w:tr w:rsidR="002934F0" w:rsidRPr="002934F0" w14:paraId="1F271CEE" w14:textId="77777777" w:rsidTr="00CF318B">
        <w:tc>
          <w:tcPr>
            <w:tcW w:w="1165" w:type="dxa"/>
          </w:tcPr>
          <w:p w14:paraId="77088B77"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i/>
              </w:rPr>
              <w:t>As</w:t>
            </w:r>
          </w:p>
        </w:tc>
        <w:tc>
          <w:tcPr>
            <w:tcW w:w="2610" w:type="dxa"/>
          </w:tcPr>
          <w:p w14:paraId="1DDB55C9" w14:textId="77777777" w:rsidR="002934F0" w:rsidRPr="00E2230F" w:rsidRDefault="00CF318B" w:rsidP="00CF318B">
            <w:pPr>
              <w:spacing w:line="276" w:lineRule="auto"/>
              <w:jc w:val="center"/>
              <w:rPr>
                <w:rFonts w:ascii="Times New Roman" w:hAnsi="Times New Roman" w:cs="Times New Roman"/>
              </w:rPr>
            </w:pPr>
            <w:r>
              <w:rPr>
                <w:rFonts w:ascii="Times New Roman" w:hAnsi="Times New Roman" w:cs="Times New Roman"/>
                <w:i/>
              </w:rPr>
              <w:t>0-</w:t>
            </w:r>
            <w:r w:rsidR="002934F0" w:rsidRPr="00E2230F">
              <w:rPr>
                <w:rFonts w:ascii="Times New Roman" w:hAnsi="Times New Roman" w:cs="Times New Roman"/>
                <w:i/>
              </w:rPr>
              <w:t>6.44</w:t>
            </w:r>
          </w:p>
        </w:tc>
        <w:tc>
          <w:tcPr>
            <w:tcW w:w="6560" w:type="dxa"/>
          </w:tcPr>
          <w:p w14:paraId="0276B5BF" w14:textId="77777777" w:rsidR="002934F0" w:rsidRPr="00E2230F" w:rsidRDefault="00CF318B" w:rsidP="00917EDF">
            <w:pPr>
              <w:spacing w:line="276" w:lineRule="auto"/>
              <w:rPr>
                <w:rFonts w:ascii="Times New Roman" w:hAnsi="Times New Roman" w:cs="Times New Roman"/>
              </w:rPr>
            </w:pPr>
            <w:r>
              <w:rPr>
                <w:rFonts w:ascii="Times New Roman" w:hAnsi="Times New Roman" w:cs="Times New Roman"/>
              </w:rPr>
              <w:t>Only found at control site</w:t>
            </w:r>
          </w:p>
        </w:tc>
      </w:tr>
      <w:tr w:rsidR="002934F0" w:rsidRPr="002934F0" w14:paraId="4AD03935" w14:textId="77777777" w:rsidTr="00CF318B">
        <w:tc>
          <w:tcPr>
            <w:tcW w:w="1165" w:type="dxa"/>
          </w:tcPr>
          <w:p w14:paraId="3A8DA750" w14:textId="77777777" w:rsidR="002934F0" w:rsidRPr="00E2230F" w:rsidRDefault="002934F0" w:rsidP="00CF318B">
            <w:pPr>
              <w:spacing w:line="276" w:lineRule="auto"/>
              <w:jc w:val="center"/>
              <w:rPr>
                <w:rFonts w:ascii="Times New Roman" w:hAnsi="Times New Roman" w:cs="Times New Roman"/>
              </w:rPr>
            </w:pPr>
            <w:r w:rsidRPr="00E2230F">
              <w:rPr>
                <w:rFonts w:ascii="Times New Roman" w:hAnsi="Times New Roman" w:cs="Times New Roman"/>
                <w:i/>
              </w:rPr>
              <w:t>Se</w:t>
            </w:r>
          </w:p>
        </w:tc>
        <w:tc>
          <w:tcPr>
            <w:tcW w:w="2610" w:type="dxa"/>
          </w:tcPr>
          <w:p w14:paraId="6758722A" w14:textId="77777777" w:rsidR="002934F0" w:rsidRPr="00E2230F" w:rsidRDefault="002934F0" w:rsidP="00CF318B">
            <w:pPr>
              <w:spacing w:line="276" w:lineRule="auto"/>
              <w:jc w:val="center"/>
              <w:rPr>
                <w:rFonts w:ascii="Times New Roman" w:hAnsi="Times New Roman" w:cs="Times New Roman"/>
                <w:i/>
              </w:rPr>
            </w:pPr>
            <w:r w:rsidRPr="00E2230F">
              <w:rPr>
                <w:rFonts w:ascii="Times New Roman" w:hAnsi="Times New Roman" w:cs="Times New Roman"/>
                <w:i/>
              </w:rPr>
              <w:t>0-844.7</w:t>
            </w:r>
          </w:p>
        </w:tc>
        <w:tc>
          <w:tcPr>
            <w:tcW w:w="6560" w:type="dxa"/>
          </w:tcPr>
          <w:p w14:paraId="4720A7C0" w14:textId="77777777" w:rsidR="002934F0" w:rsidRPr="00E2230F" w:rsidRDefault="00CF318B" w:rsidP="00917EDF">
            <w:pPr>
              <w:spacing w:line="276" w:lineRule="auto"/>
              <w:rPr>
                <w:rFonts w:ascii="Times New Roman" w:hAnsi="Times New Roman" w:cs="Times New Roman"/>
              </w:rPr>
            </w:pPr>
            <w:r>
              <w:rPr>
                <w:rFonts w:ascii="Times New Roman" w:hAnsi="Times New Roman" w:cs="Times New Roman"/>
              </w:rPr>
              <w:t>Only found at Henderson Inlet</w:t>
            </w:r>
          </w:p>
        </w:tc>
      </w:tr>
    </w:tbl>
    <w:p w14:paraId="312F7288" w14:textId="08743B71" w:rsidR="00917EDF" w:rsidRPr="002934F0" w:rsidRDefault="00601488" w:rsidP="00917EDF">
      <w:pPr>
        <w:keepNext/>
        <w:spacing w:line="480" w:lineRule="auto"/>
        <w:rPr>
          <w:rFonts w:ascii="Times New Roman" w:hAnsi="Times New Roman" w:cs="Times New Roman"/>
        </w:rPr>
      </w:pPr>
      <w:r>
        <w:rPr>
          <w:rFonts w:ascii="Times New Roman" w:hAnsi="Times New Roman" w:cs="Times New Roman"/>
          <w:noProof/>
        </w:rPr>
        <w:lastRenderedPageBreak/>
        <mc:AlternateContent>
          <mc:Choice Requires="wps">
            <w:drawing>
              <wp:anchor distT="0" distB="0" distL="114300" distR="114300" simplePos="0" relativeHeight="251669504" behindDoc="0" locked="0" layoutInCell="1" allowOverlap="1" wp14:anchorId="0AE60FBC" wp14:editId="3CDE8F0D">
                <wp:simplePos x="0" y="0"/>
                <wp:positionH relativeFrom="column">
                  <wp:posOffset>2993366</wp:posOffset>
                </wp:positionH>
                <wp:positionV relativeFrom="paragraph">
                  <wp:posOffset>284672</wp:posOffset>
                </wp:positionV>
                <wp:extent cx="20500" cy="2736682"/>
                <wp:effectExtent l="0" t="0" r="36830" b="26035"/>
                <wp:wrapNone/>
                <wp:docPr id="22" name="Straight Connector 22"/>
                <wp:cNvGraphicFramePr/>
                <a:graphic xmlns:a="http://schemas.openxmlformats.org/drawingml/2006/main">
                  <a:graphicData uri="http://schemas.microsoft.com/office/word/2010/wordprocessingShape">
                    <wps:wsp>
                      <wps:cNvCnPr/>
                      <wps:spPr>
                        <a:xfrm flipV="1">
                          <a:off x="0" y="0"/>
                          <a:ext cx="20500" cy="2736682"/>
                        </a:xfrm>
                        <a:prstGeom prst="line">
                          <a:avLst/>
                        </a:prstGeom>
                        <a:ln w="127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73C25E" id="Straight Connector 22"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7pt,22.4pt" to="237.3pt,23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" strokecolor="black [3213]" strokeweight="1pt">
                <v:stroke dashstyle="3 1" joinstyle="miter"/>
              </v:line>
            </w:pict>
          </mc:Fallback>
        </mc:AlternateContent>
      </w:r>
      <w:r>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45EE9133" wp14:editId="5A05457D">
                <wp:simplePos x="0" y="0"/>
                <wp:positionH relativeFrom="column">
                  <wp:posOffset>2351497</wp:posOffset>
                </wp:positionH>
                <wp:positionV relativeFrom="paragraph">
                  <wp:posOffset>879475</wp:posOffset>
                </wp:positionV>
                <wp:extent cx="618409" cy="502127"/>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18409" cy="50212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6DAB56" w14:textId="06FEB0DB" w:rsidR="0077598F" w:rsidRPr="00601488" w:rsidRDefault="0077598F" w:rsidP="00601488">
                            <w:pPr>
                              <w:jc w:val="center"/>
                              <w:rPr>
                                <w:sz w:val="16"/>
                              </w:rPr>
                            </w:pPr>
                            <w:r>
                              <w:rPr>
                                <w:sz w:val="16"/>
                              </w:rPr>
                              <w:t>Lake W. &amp; Canal (fresh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EE9133" id="_x0000_t202" coordsize="21600,21600" o:spt="202" path="m,l,21600r21600,l21600,xe">
                <v:stroke joinstyle="miter"/>
                <v:path gradientshapeok="t" o:connecttype="rect"/>
              </v:shapetype>
              <v:shape id="Text Box 24" o:spid="_x0000_s1026" type="#_x0000_t202" style="position:absolute;margin-left:185.15pt;margin-top:69.25pt;width:48.7pt;height:39.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" filled="f" stroked="f" strokeweight=".5pt">
                <v:textbox>
                  <w:txbxContent>
                    <w:p w14:paraId="196DAB56" w14:textId="06FEB0DB" w:rsidR="0077598F" w:rsidRPr="00601488" w:rsidRDefault="0077598F" w:rsidP="00601488">
                      <w:pPr>
                        <w:jc w:val="center"/>
                        <w:rPr>
                          <w:sz w:val="16"/>
                        </w:rPr>
                      </w:pPr>
                      <w:r>
                        <w:rPr>
                          <w:sz w:val="16"/>
                        </w:rPr>
                        <w:t>Lake W. &amp; Canal (fresh w.)</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4DAFCD99" wp14:editId="6E190277">
                <wp:simplePos x="0" y="0"/>
                <wp:positionH relativeFrom="column">
                  <wp:posOffset>3049556</wp:posOffset>
                </wp:positionH>
                <wp:positionV relativeFrom="paragraph">
                  <wp:posOffset>879442</wp:posOffset>
                </wp:positionV>
                <wp:extent cx="528334" cy="502127"/>
                <wp:effectExtent l="0" t="0" r="0" b="0"/>
                <wp:wrapNone/>
                <wp:docPr id="23" name="Text Box 23"/>
                <wp:cNvGraphicFramePr/>
                <a:graphic xmlns:a="http://schemas.openxmlformats.org/drawingml/2006/main">
                  <a:graphicData uri="http://schemas.microsoft.com/office/word/2010/wordprocessingShape">
                    <wps:wsp>
                      <wps:cNvSpPr txBox="1"/>
                      <wps:spPr>
                        <a:xfrm>
                          <a:off x="0" y="0"/>
                          <a:ext cx="528334" cy="50212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439845" w14:textId="15AEFC57" w:rsidR="0077598F" w:rsidRPr="00601488" w:rsidRDefault="0077598F" w:rsidP="00601488">
                            <w:pPr>
                              <w:jc w:val="center"/>
                              <w:rPr>
                                <w:sz w:val="16"/>
                              </w:rPr>
                            </w:pPr>
                            <w:r w:rsidRPr="00601488">
                              <w:rPr>
                                <w:sz w:val="16"/>
                              </w:rPr>
                              <w:t>South Sound (salt 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AFCD99" id="Text Box 23" o:spid="_x0000_s1027" type="#_x0000_t202" style="position:absolute;margin-left:240.1pt;margin-top:69.25pt;width:41.6pt;height:39.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" filled="f" stroked="f" strokeweight=".5pt">
                <v:textbox>
                  <w:txbxContent>
                    <w:p w14:paraId="1B439845" w14:textId="15AEFC57" w:rsidR="0077598F" w:rsidRPr="00601488" w:rsidRDefault="0077598F" w:rsidP="00601488">
                      <w:pPr>
                        <w:jc w:val="center"/>
                        <w:rPr>
                          <w:sz w:val="16"/>
                        </w:rPr>
                      </w:pPr>
                      <w:r w:rsidRPr="00601488">
                        <w:rPr>
                          <w:sz w:val="16"/>
                        </w:rPr>
                        <w:t>South Sound (salt w.)</w:t>
                      </w:r>
                    </w:p>
                  </w:txbxContent>
                </v:textbox>
              </v:shape>
            </w:pict>
          </mc:Fallback>
        </mc:AlternateContent>
      </w:r>
      <w:r w:rsidR="00983C5C">
        <w:rPr>
          <w:rFonts w:ascii="Times New Roman" w:hAnsi="Times New Roman" w:cs="Times New Roman"/>
          <w:noProof/>
        </w:rPr>
        <w:drawing>
          <wp:inline distT="0" distB="0" distL="0" distR="0" wp14:anchorId="7B678B27" wp14:editId="251BA0A0">
            <wp:extent cx="5943600" cy="35337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533775"/>
                    </a:xfrm>
                    <a:prstGeom prst="rect">
                      <a:avLst/>
                    </a:prstGeom>
                    <a:noFill/>
                    <a:ln>
                      <a:noFill/>
                    </a:ln>
                  </pic:spPr>
                </pic:pic>
              </a:graphicData>
            </a:graphic>
          </wp:inline>
        </w:drawing>
      </w:r>
    </w:p>
    <w:p w14:paraId="0449A1CD" w14:textId="213E6F1C" w:rsidR="002934F0" w:rsidRDefault="00917EDF" w:rsidP="007E4DCD">
      <w:pPr>
        <w:pStyle w:val="Caption"/>
        <w:spacing w:line="480" w:lineRule="auto"/>
        <w:rPr>
          <w:rFonts w:ascii="Times New Roman" w:hAnsi="Times New Roman" w:cs="Times New Roman"/>
        </w:rPr>
      </w:pPr>
      <w:r w:rsidRPr="002934F0">
        <w:rPr>
          <w:rFonts w:ascii="Times New Roman" w:hAnsi="Times New Roman" w:cs="Times New Roman"/>
        </w:rPr>
        <w:t xml:space="preserve">Figure </w:t>
      </w:r>
      <w:r w:rsidR="00A665CD">
        <w:rPr>
          <w:rFonts w:ascii="Times New Roman" w:hAnsi="Times New Roman" w:cs="Times New Roman"/>
        </w:rPr>
        <w:t>3</w:t>
      </w:r>
      <w:r w:rsidRPr="002934F0">
        <w:rPr>
          <w:rFonts w:ascii="Times New Roman" w:hAnsi="Times New Roman" w:cs="Times New Roman"/>
        </w:rPr>
        <w:t>- Site Enrichment Factors and Grain Size Distribution</w:t>
      </w:r>
      <w:r w:rsidR="00473188">
        <w:rPr>
          <w:rFonts w:ascii="Times New Roman" w:hAnsi="Times New Roman" w:cs="Times New Roman"/>
        </w:rPr>
        <w:t xml:space="preserve"> (LW = Lake Washington, SS = South Sound)</w:t>
      </w:r>
    </w:p>
    <w:p w14:paraId="0EB82F64" w14:textId="0545C398" w:rsidR="00983C5C" w:rsidRPr="00983C5C" w:rsidRDefault="00983C5C" w:rsidP="00983C5C"/>
    <w:p w14:paraId="17D0F983" w14:textId="536CE404" w:rsidR="00F91E53" w:rsidRDefault="00473188" w:rsidP="00F91E53">
      <w:pPr>
        <w:keepNext/>
        <w:spacing w:line="480" w:lineRule="auto"/>
      </w:pPr>
      <w:r>
        <w:rPr>
          <w:noProof/>
        </w:rPr>
        <mc:AlternateContent>
          <mc:Choice Requires="wps">
            <w:drawing>
              <wp:anchor distT="0" distB="0" distL="114300" distR="114300" simplePos="0" relativeHeight="251673600" behindDoc="0" locked="0" layoutInCell="1" allowOverlap="1" wp14:anchorId="137449B1" wp14:editId="7091B7A0">
                <wp:simplePos x="0" y="0"/>
                <wp:positionH relativeFrom="column">
                  <wp:posOffset>4701025</wp:posOffset>
                </wp:positionH>
                <wp:positionV relativeFrom="paragraph">
                  <wp:posOffset>1384252</wp:posOffset>
                </wp:positionV>
                <wp:extent cx="1242204" cy="250166"/>
                <wp:effectExtent l="0" t="0" r="0" b="0"/>
                <wp:wrapNone/>
                <wp:docPr id="3" name="Text Box 3"/>
                <wp:cNvGraphicFramePr/>
                <a:graphic xmlns:a="http://schemas.openxmlformats.org/drawingml/2006/main">
                  <a:graphicData uri="http://schemas.microsoft.com/office/word/2010/wordprocessingShape">
                    <wps:wsp>
                      <wps:cNvSpPr txBox="1"/>
                      <wps:spPr>
                        <a:xfrm>
                          <a:off x="0" y="0"/>
                          <a:ext cx="1242204" cy="2501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803EA1" w14:textId="7868DF07" w:rsidR="00473188" w:rsidRPr="00473188" w:rsidRDefault="00473188">
                            <w:pPr>
                              <w:rPr>
                                <w:color w:val="FF0000"/>
                                <w:sz w:val="20"/>
                              </w:rPr>
                            </w:pPr>
                            <w:r w:rsidRPr="00473188">
                              <w:rPr>
                                <w:color w:val="FF0000"/>
                                <w:sz w:val="20"/>
                              </w:rPr>
                              <w:t>S. S. Invert. Samples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449B1" id="Text Box 3" o:spid="_x0000_s1028" type="#_x0000_t202" style="position:absolute;margin-left:370.15pt;margin-top:109pt;width:97.8pt;height:19.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" filled="f" stroked="f" strokeweight=".5pt">
                <v:textbox>
                  <w:txbxContent>
                    <w:p w14:paraId="3F803EA1" w14:textId="7868DF07" w:rsidR="00473188" w:rsidRPr="00473188" w:rsidRDefault="00473188">
                      <w:pPr>
                        <w:rPr>
                          <w:color w:val="FF0000"/>
                          <w:sz w:val="20"/>
                        </w:rPr>
                      </w:pPr>
                      <w:r w:rsidRPr="00473188">
                        <w:rPr>
                          <w:color w:val="FF0000"/>
                          <w:sz w:val="20"/>
                        </w:rPr>
                        <w:t>S. S. Invert. Samples</w:t>
                      </w:r>
                    </w:p>
                  </w:txbxContent>
                </v:textbox>
              </v:shape>
            </w:pict>
          </mc:Fallback>
        </mc:AlternateContent>
      </w:r>
      <w:r w:rsidR="00983C5C">
        <w:rPr>
          <w:noProof/>
        </w:rPr>
        <mc:AlternateContent>
          <mc:Choice Requires="wps">
            <w:drawing>
              <wp:anchor distT="0" distB="0" distL="114300" distR="114300" simplePos="0" relativeHeight="251668480" behindDoc="0" locked="0" layoutInCell="1" allowOverlap="1" wp14:anchorId="6972A83F" wp14:editId="0693302B">
                <wp:simplePos x="0" y="0"/>
                <wp:positionH relativeFrom="column">
                  <wp:posOffset>4905375</wp:posOffset>
                </wp:positionH>
                <wp:positionV relativeFrom="paragraph">
                  <wp:posOffset>1681480</wp:posOffset>
                </wp:positionV>
                <wp:extent cx="819150" cy="67627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819150" cy="6762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F085CC" id="Rectangle 20" o:spid="_x0000_s1026" style="position:absolute;margin-left:386.25pt;margin-top:132.4pt;width:64.5pt;height:53.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" filled="f" strokecolor="red" strokeweight="1pt"/>
            </w:pict>
          </mc:Fallback>
        </mc:AlternateContent>
      </w:r>
      <w:r w:rsidR="00983C5C">
        <w:rPr>
          <w:noProof/>
        </w:rPr>
        <w:drawing>
          <wp:inline distT="0" distB="0" distL="0" distR="0" wp14:anchorId="0F6B66F6" wp14:editId="30881D8E">
            <wp:extent cx="5943600" cy="3457575"/>
            <wp:effectExtent l="0" t="0" r="0" b="9525"/>
            <wp:docPr id="1" name="Chart 1">
              <a:extLst xmlns:a="http://schemas.openxmlformats.org/drawingml/2006/main">
                <a:ext uri="{FF2B5EF4-FFF2-40B4-BE49-F238E27FC236}">
                  <a16:creationId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D23037BD-A02F-4BF5-8EC6-368C0B237F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700C75E" w14:textId="733953EB" w:rsidR="00F91E53" w:rsidRDefault="00F91E53" w:rsidP="00F91E53">
      <w:pPr>
        <w:pStyle w:val="Caption"/>
        <w:rPr>
          <w:rFonts w:ascii="Times New Roman" w:hAnsi="Times New Roman" w:cs="Times New Roman"/>
          <w:b/>
        </w:rPr>
      </w:pPr>
      <w:r>
        <w:t xml:space="preserve">Figure </w:t>
      </w:r>
      <w:r w:rsidR="00E2230F">
        <w:t>4</w:t>
      </w:r>
      <w:r>
        <w:t>- Selenium Enrichment Factors</w:t>
      </w:r>
      <w:r w:rsidR="00473188">
        <w:t xml:space="preserve"> (LW = Lake Washington, SS = South Sound)</w:t>
      </w:r>
    </w:p>
    <w:p w14:paraId="03ED4482" w14:textId="77777777" w:rsidR="00E2230F" w:rsidRDefault="00E2230F" w:rsidP="007E4DCD">
      <w:pPr>
        <w:spacing w:line="480" w:lineRule="auto"/>
        <w:rPr>
          <w:rFonts w:ascii="Times New Roman" w:hAnsi="Times New Roman" w:cs="Times New Roman"/>
          <w:b/>
        </w:rPr>
      </w:pPr>
    </w:p>
    <w:p w14:paraId="4069DD28" w14:textId="77777777" w:rsidR="007E4DCD" w:rsidRPr="007E4DCD" w:rsidRDefault="007E4DCD" w:rsidP="007E4DCD">
      <w:pPr>
        <w:spacing w:line="480" w:lineRule="auto"/>
        <w:rPr>
          <w:rFonts w:ascii="Times New Roman" w:hAnsi="Times New Roman" w:cs="Times New Roman"/>
          <w:b/>
        </w:rPr>
      </w:pPr>
      <w:r w:rsidRPr="007E4DCD">
        <w:rPr>
          <w:rFonts w:ascii="Times New Roman" w:hAnsi="Times New Roman" w:cs="Times New Roman"/>
          <w:b/>
        </w:rPr>
        <w:lastRenderedPageBreak/>
        <w:t>Discussion</w:t>
      </w:r>
    </w:p>
    <w:p w14:paraId="38562EA2" w14:textId="77777777" w:rsidR="002934F0" w:rsidRPr="002934F0" w:rsidRDefault="002934F0" w:rsidP="00917EDF">
      <w:pPr>
        <w:spacing w:line="480" w:lineRule="auto"/>
        <w:ind w:firstLine="720"/>
        <w:rPr>
          <w:rFonts w:ascii="Times New Roman" w:hAnsi="Times New Roman" w:cs="Times New Roman"/>
        </w:rPr>
      </w:pPr>
      <w:r w:rsidRPr="002934F0">
        <w:rPr>
          <w:rFonts w:ascii="Times New Roman" w:hAnsi="Times New Roman" w:cs="Times New Roman"/>
        </w:rPr>
        <w:t xml:space="preserve">The results of this experiment tell us, broadly, that heavy metals are pervasive in the benthic sediments of the aquatic and estuarine environments of lowland western Washington.  Metals such as lead and selenium were found in high </w:t>
      </w:r>
      <w:r w:rsidR="0024419D">
        <w:rPr>
          <w:rFonts w:ascii="Times New Roman" w:hAnsi="Times New Roman" w:cs="Times New Roman"/>
        </w:rPr>
        <w:t xml:space="preserve">enough </w:t>
      </w:r>
      <w:r w:rsidRPr="002934F0">
        <w:rPr>
          <w:rFonts w:ascii="Times New Roman" w:hAnsi="Times New Roman" w:cs="Times New Roman"/>
        </w:rPr>
        <w:t>concentrations that suggest a business-as-usual approach to runoff and wastewater management will not be enough to prevent ecological, economic, or potentially human health harm.</w:t>
      </w:r>
    </w:p>
    <w:p w14:paraId="5D47D44B" w14:textId="77777777" w:rsidR="002934F0" w:rsidRPr="007E4DCD" w:rsidRDefault="002934F0" w:rsidP="002934F0">
      <w:pPr>
        <w:spacing w:line="480" w:lineRule="auto"/>
        <w:rPr>
          <w:rFonts w:ascii="Times New Roman" w:hAnsi="Times New Roman" w:cs="Times New Roman"/>
          <w:i/>
        </w:rPr>
      </w:pPr>
      <w:r w:rsidRPr="007E4DCD">
        <w:rPr>
          <w:rFonts w:ascii="Times New Roman" w:hAnsi="Times New Roman" w:cs="Times New Roman"/>
          <w:i/>
        </w:rPr>
        <w:t>Sediment Metal Contamination</w:t>
      </w:r>
    </w:p>
    <w:p w14:paraId="27A81A1D" w14:textId="77777777" w:rsidR="002934F0" w:rsidRPr="002934F0" w:rsidRDefault="002934F0" w:rsidP="002934F0">
      <w:pPr>
        <w:spacing w:line="480" w:lineRule="auto"/>
        <w:ind w:firstLine="720"/>
        <w:rPr>
          <w:rFonts w:ascii="Times New Roman" w:hAnsi="Times New Roman" w:cs="Times New Roman"/>
        </w:rPr>
      </w:pPr>
      <w:r w:rsidRPr="002934F0">
        <w:rPr>
          <w:rFonts w:ascii="Times New Roman" w:hAnsi="Times New Roman" w:cs="Times New Roman"/>
        </w:rPr>
        <w:t>In comparison to earth shale average concentrations (Brumsack 2006), metal enrichment factors were found well above 1.0 for every key metal analyzed from sediment at every site, indicating a strong amount of metal contamination in Lake Washington and south Puget Sound</w:t>
      </w:r>
      <w:r w:rsidR="00F91E53">
        <w:rPr>
          <w:rFonts w:ascii="Times New Roman" w:hAnsi="Times New Roman" w:cs="Times New Roman"/>
        </w:rPr>
        <w:t xml:space="preserve"> (Table 3)</w:t>
      </w:r>
      <w:r w:rsidRPr="002934F0">
        <w:rPr>
          <w:rFonts w:ascii="Times New Roman" w:hAnsi="Times New Roman" w:cs="Times New Roman"/>
        </w:rPr>
        <w:t>.  The freshwater sediments from Lake Washington and the shipping canal were more contaminated than those in South Sound, which agrees with the relative amount of urban development between the two areas</w:t>
      </w:r>
      <w:r w:rsidR="00F91E53">
        <w:rPr>
          <w:rFonts w:ascii="Times New Roman" w:hAnsi="Times New Roman" w:cs="Times New Roman"/>
        </w:rPr>
        <w:t xml:space="preserve"> (Table 3, Figure 3)</w:t>
      </w:r>
      <w:r w:rsidRPr="002934F0">
        <w:rPr>
          <w:rFonts w:ascii="Times New Roman" w:hAnsi="Times New Roman" w:cs="Times New Roman"/>
        </w:rPr>
        <w:t xml:space="preserve">.  The sites with the highest amounts of metal contamination </w:t>
      </w:r>
      <w:r w:rsidR="00F91E53">
        <w:rPr>
          <w:rFonts w:ascii="Times New Roman" w:hAnsi="Times New Roman" w:cs="Times New Roman"/>
        </w:rPr>
        <w:t xml:space="preserve">overall </w:t>
      </w:r>
      <w:r w:rsidRPr="002934F0">
        <w:rPr>
          <w:rFonts w:ascii="Times New Roman" w:hAnsi="Times New Roman" w:cs="Times New Roman"/>
        </w:rPr>
        <w:t>were the shipping canal underneath the Interstate-99 Bridge and Lake Washington near the Interstate-90 Bridge and Mercer Island</w:t>
      </w:r>
      <w:r w:rsidR="00F91E53">
        <w:rPr>
          <w:rFonts w:ascii="Times New Roman" w:hAnsi="Times New Roman" w:cs="Times New Roman"/>
        </w:rPr>
        <w:t xml:space="preserve"> (Figure 3)</w:t>
      </w:r>
      <w:r w:rsidRPr="002934F0">
        <w:rPr>
          <w:rFonts w:ascii="Times New Roman" w:hAnsi="Times New Roman" w:cs="Times New Roman"/>
        </w:rPr>
        <w:t xml:space="preserve">.  When considering grain size distribution, the shipping canal site appears to exhibit even greater metal contamination; this site had the greatest proportion of sand-sized sediment particles and still exhibited the highest degree of metal concentration.  </w:t>
      </w:r>
      <w:r w:rsidR="00F91E53">
        <w:rPr>
          <w:rFonts w:ascii="Times New Roman" w:hAnsi="Times New Roman" w:cs="Times New Roman"/>
        </w:rPr>
        <w:t>Under this context</w:t>
      </w:r>
      <w:r w:rsidRPr="002934F0">
        <w:rPr>
          <w:rFonts w:ascii="Times New Roman" w:hAnsi="Times New Roman" w:cs="Times New Roman"/>
        </w:rPr>
        <w:t xml:space="preserve">, this site exhibited even greater metal contamination relative to the other sites.  As a high-volume shipping canal in an urban setting, this is not a surprise. </w:t>
      </w:r>
      <w:r w:rsidR="00F91E53">
        <w:rPr>
          <w:rFonts w:ascii="Times New Roman" w:hAnsi="Times New Roman" w:cs="Times New Roman"/>
        </w:rPr>
        <w:t xml:space="preserve"> However, i</w:t>
      </w:r>
      <w:r w:rsidRPr="002934F0">
        <w:rPr>
          <w:rFonts w:ascii="Times New Roman" w:hAnsi="Times New Roman" w:cs="Times New Roman"/>
        </w:rPr>
        <w:t xml:space="preserve">f the city of Seattle considers the metal pollution of its shipping canal to be of concern, then this could be important for them to consider.  </w:t>
      </w:r>
    </w:p>
    <w:p w14:paraId="31D4CA58" w14:textId="77777777" w:rsidR="00E24B4C" w:rsidRDefault="002934F0" w:rsidP="002934F0">
      <w:pPr>
        <w:spacing w:line="480" w:lineRule="auto"/>
        <w:ind w:firstLine="720"/>
        <w:rPr>
          <w:rFonts w:ascii="Times New Roman" w:hAnsi="Times New Roman" w:cs="Times New Roman"/>
        </w:rPr>
      </w:pPr>
      <w:r w:rsidRPr="002934F0">
        <w:rPr>
          <w:rFonts w:ascii="Times New Roman" w:hAnsi="Times New Roman" w:cs="Times New Roman"/>
        </w:rPr>
        <w:t xml:space="preserve">Other sites with relatively coarse grain size distribution, thus higher relative metal contamination, include the Nisqually River Delta (AM05, 74.3% sand) and Lake Washington Mercer Island (AM09, 51.8% sand) sites.  The toxic metal Arsenic that is easily engrained in food webs, was found in extremely high abundance at the Mercer Island site with an enrichment factor of 37.1.   Arsenic was however not found in any other sediment sample.  A naturally-occurring toxin, arsenic was previously used as a pesticide, and continues modern use as an industrial alloying agent and in the production of glass, metals, pigments, and ammunition and is a byproduct of copper and coal mining.  This site was likely </w:t>
      </w:r>
      <w:r w:rsidRPr="002934F0">
        <w:rPr>
          <w:rFonts w:ascii="Times New Roman" w:hAnsi="Times New Roman" w:cs="Times New Roman"/>
        </w:rPr>
        <w:lastRenderedPageBreak/>
        <w:t>contaminated from bridge construction or from the nearby Mercer Slough which carries runoff from Bellevue to Factoria.  Other toxic metals, such as copper (</w:t>
      </w:r>
      <w:r w:rsidR="00F91E53">
        <w:rPr>
          <w:rFonts w:ascii="Times New Roman" w:hAnsi="Times New Roman" w:cs="Times New Roman"/>
        </w:rPr>
        <w:t xml:space="preserve">EF = </w:t>
      </w:r>
      <w:r w:rsidRPr="002934F0">
        <w:rPr>
          <w:rFonts w:ascii="Times New Roman" w:hAnsi="Times New Roman" w:cs="Times New Roman"/>
        </w:rPr>
        <w:t>11.7), nickel (</w:t>
      </w:r>
      <w:r w:rsidR="00F91E53">
        <w:rPr>
          <w:rFonts w:ascii="Times New Roman" w:hAnsi="Times New Roman" w:cs="Times New Roman"/>
        </w:rPr>
        <w:t xml:space="preserve">EF = </w:t>
      </w:r>
      <w:r w:rsidRPr="002934F0">
        <w:rPr>
          <w:rFonts w:ascii="Times New Roman" w:hAnsi="Times New Roman" w:cs="Times New Roman"/>
        </w:rPr>
        <w:t>6.5), and lead (</w:t>
      </w:r>
      <w:r w:rsidR="00F91E53">
        <w:rPr>
          <w:rFonts w:ascii="Times New Roman" w:hAnsi="Times New Roman" w:cs="Times New Roman"/>
        </w:rPr>
        <w:t xml:space="preserve">EF = </w:t>
      </w:r>
      <w:r w:rsidRPr="002934F0">
        <w:rPr>
          <w:rFonts w:ascii="Times New Roman" w:hAnsi="Times New Roman" w:cs="Times New Roman"/>
        </w:rPr>
        <w:t>54.9), were found to have high mean enrichment factors well above 1.0 at each site. Control sites saw lower Cu and Pb concentration relative to experimental sites, supporting the hypothesis that samples farther from influence of road runoff would exhibit lower levels of these road-based contaminants.</w:t>
      </w:r>
      <w:r w:rsidR="00E24B4C">
        <w:rPr>
          <w:rFonts w:ascii="Times New Roman" w:hAnsi="Times New Roman" w:cs="Times New Roman"/>
        </w:rPr>
        <w:t xml:space="preserve">  </w:t>
      </w:r>
    </w:p>
    <w:p w14:paraId="76FE8E58" w14:textId="0F5F4008" w:rsidR="002934F0" w:rsidRDefault="00E24B4C" w:rsidP="002934F0">
      <w:pPr>
        <w:spacing w:line="480" w:lineRule="auto"/>
        <w:ind w:firstLine="720"/>
        <w:rPr>
          <w:rFonts w:ascii="Times New Roman" w:hAnsi="Times New Roman" w:cs="Times New Roman"/>
        </w:rPr>
      </w:pPr>
      <w:r w:rsidRPr="002934F0">
        <w:rPr>
          <w:rFonts w:ascii="Times New Roman" w:hAnsi="Times New Roman" w:cs="Times New Roman"/>
        </w:rPr>
        <w:t xml:space="preserve">Selenium, while not an initial target of this study due to its lack of connection to road materials, was found in such high quantities (4 orders of magnitude above earth shale average) that it should be emphasized as a toxic problem in our community, considering its harmful potential to human health.  </w:t>
      </w:r>
      <w:r>
        <w:rPr>
          <w:rFonts w:ascii="Times New Roman" w:hAnsi="Times New Roman" w:cs="Times New Roman"/>
        </w:rPr>
        <w:t xml:space="preserve">One possible explanation for the high selenium content is the high concentration of selenium in igneous rock, a common rock type in the Pacific Northwest (Malisa, 2001).  Selenium content may source from the Cascade Mountains and have been transferred to the region via weathering processes and rivers.  Mining activity in the mountains may have also contributed; selenium can be found in concentrations up to 12 mg/L in mining wastewater (Santos et al., 2015), so the history of mining in the region may have contributed to the high concentrations found in sediment samples.  </w:t>
      </w:r>
      <w:r w:rsidR="00473188">
        <w:rPr>
          <w:rFonts w:ascii="Times New Roman" w:hAnsi="Times New Roman" w:cs="Times New Roman"/>
        </w:rPr>
        <w:t xml:space="preserve">Selenium has also been associated with constructed wetlands, oil transport and refining, and feedlot waste (Lemly, 2004).  </w:t>
      </w:r>
      <w:r>
        <w:rPr>
          <w:rFonts w:ascii="Times New Roman" w:hAnsi="Times New Roman" w:cs="Times New Roman"/>
        </w:rPr>
        <w:t xml:space="preserve">It would be useful to compare </w:t>
      </w:r>
      <w:r w:rsidR="00473188">
        <w:rPr>
          <w:rFonts w:ascii="Times New Roman" w:hAnsi="Times New Roman" w:cs="Times New Roman"/>
        </w:rPr>
        <w:t>selenium</w:t>
      </w:r>
      <w:r>
        <w:rPr>
          <w:rFonts w:ascii="Times New Roman" w:hAnsi="Times New Roman" w:cs="Times New Roman"/>
        </w:rPr>
        <w:t xml:space="preserve"> concentrations</w:t>
      </w:r>
      <w:r w:rsidR="00473188">
        <w:rPr>
          <w:rFonts w:ascii="Times New Roman" w:hAnsi="Times New Roman" w:cs="Times New Roman"/>
        </w:rPr>
        <w:t xml:space="preserve"> in the sediment</w:t>
      </w:r>
      <w:r>
        <w:rPr>
          <w:rFonts w:ascii="Times New Roman" w:hAnsi="Times New Roman" w:cs="Times New Roman"/>
        </w:rPr>
        <w:t xml:space="preserve"> with water column measurements; reduced mining activity in recent years should coincide with reduced selenium content in the water if mining is indeed the primary source.  </w:t>
      </w:r>
    </w:p>
    <w:p w14:paraId="49D2905E" w14:textId="22EE3030" w:rsidR="004D7E1E" w:rsidRPr="002934F0" w:rsidRDefault="004D7E1E" w:rsidP="002934F0">
      <w:pPr>
        <w:spacing w:line="480" w:lineRule="auto"/>
        <w:ind w:firstLine="720"/>
        <w:rPr>
          <w:rFonts w:ascii="Times New Roman" w:hAnsi="Times New Roman" w:cs="Times New Roman"/>
        </w:rPr>
      </w:pPr>
      <w:r>
        <w:rPr>
          <w:rFonts w:ascii="Times New Roman" w:hAnsi="Times New Roman" w:cs="Times New Roman"/>
        </w:rPr>
        <w:t xml:space="preserve">The observed metal concentrations, though high relative to average earth shale, are still beneath the Washington State Marine Sediment Quality Standard for the elements arsenic, cadmium, chromium, copper, lead, and zinc (Table 2).  These concentrations are deemed those which will result in “no acute or chronic adverse effects on biological resources and no significant risk to humans” (EPA Sed. Mar. Qual. Stan., 2013).  This could suggest that the standard is lax on metal contamination or that contamination in the region is not at concerning levels. </w:t>
      </w:r>
    </w:p>
    <w:p w14:paraId="1EA7AE92" w14:textId="77777777" w:rsidR="002934F0" w:rsidRPr="007E4DCD" w:rsidRDefault="002934F0" w:rsidP="002934F0">
      <w:pPr>
        <w:spacing w:after="0" w:line="480" w:lineRule="auto"/>
        <w:rPr>
          <w:rFonts w:ascii="Times New Roman" w:eastAsia="Times New Roman" w:hAnsi="Times New Roman" w:cs="Times New Roman"/>
          <w:i/>
          <w:color w:val="000000"/>
        </w:rPr>
      </w:pPr>
      <w:r w:rsidRPr="007E4DCD">
        <w:rPr>
          <w:rFonts w:ascii="Times New Roman" w:eastAsia="Times New Roman" w:hAnsi="Times New Roman" w:cs="Times New Roman"/>
          <w:i/>
          <w:color w:val="000000"/>
        </w:rPr>
        <w:t>Invertebrate Metal Contamination</w:t>
      </w:r>
    </w:p>
    <w:p w14:paraId="21E0E065" w14:textId="77777777" w:rsidR="002934F0" w:rsidRPr="002934F0" w:rsidRDefault="002934F0" w:rsidP="002934F0">
      <w:pPr>
        <w:spacing w:line="480" w:lineRule="auto"/>
        <w:rPr>
          <w:rFonts w:ascii="Times New Roman" w:hAnsi="Times New Roman" w:cs="Times New Roman"/>
        </w:rPr>
      </w:pPr>
      <w:r w:rsidRPr="002934F0">
        <w:rPr>
          <w:rFonts w:ascii="Times New Roman" w:hAnsi="Times New Roman" w:cs="Times New Roman"/>
        </w:rPr>
        <w:tab/>
        <w:t xml:space="preserve">Invertebrate samples were collected from 4 of the 9 sites, but only in sufficient masses (&gt; 0.1 g dry weight) at 2 sites: Henderson Inlet and the control site at Case Inlet, both in South Sound.   The </w:t>
      </w:r>
      <w:r w:rsidRPr="002934F0">
        <w:rPr>
          <w:rFonts w:ascii="Times New Roman" w:hAnsi="Times New Roman" w:cs="Times New Roman"/>
        </w:rPr>
        <w:lastRenderedPageBreak/>
        <w:t xml:space="preserve">collected and tested organisms were unidentified brittle stars (class </w:t>
      </w:r>
      <w:r w:rsidRPr="002934F0">
        <w:rPr>
          <w:rFonts w:ascii="Times New Roman" w:hAnsi="Times New Roman" w:cs="Times New Roman"/>
          <w:i/>
        </w:rPr>
        <w:t>Ophiuroidea</w:t>
      </w:r>
      <w:r w:rsidRPr="002934F0">
        <w:rPr>
          <w:rFonts w:ascii="Times New Roman" w:hAnsi="Times New Roman" w:cs="Times New Roman"/>
        </w:rPr>
        <w:t>).  With such a small sample, only able to be analyzed at two sites, it is difficult to draw meaningful conclusions.  The control site invertebrate tissue saw elevated nickel (</w:t>
      </w:r>
      <w:r w:rsidR="00F91E53">
        <w:rPr>
          <w:rFonts w:ascii="Times New Roman" w:hAnsi="Times New Roman" w:cs="Times New Roman"/>
        </w:rPr>
        <w:t xml:space="preserve">EF = </w:t>
      </w:r>
      <w:r w:rsidRPr="002934F0">
        <w:rPr>
          <w:rFonts w:ascii="Times New Roman" w:hAnsi="Times New Roman" w:cs="Times New Roman"/>
        </w:rPr>
        <w:t>15.7) and arsenic (</w:t>
      </w:r>
      <w:r w:rsidR="00F91E53">
        <w:rPr>
          <w:rFonts w:ascii="Times New Roman" w:hAnsi="Times New Roman" w:cs="Times New Roman"/>
        </w:rPr>
        <w:t xml:space="preserve">EF = </w:t>
      </w:r>
      <w:r w:rsidRPr="002934F0">
        <w:rPr>
          <w:rFonts w:ascii="Times New Roman" w:hAnsi="Times New Roman" w:cs="Times New Roman"/>
        </w:rPr>
        <w:t>6.4) when compared to the Henderson Inlet experimental site (</w:t>
      </w:r>
      <w:r w:rsidR="00F91E53">
        <w:rPr>
          <w:rFonts w:ascii="Times New Roman" w:hAnsi="Times New Roman" w:cs="Times New Roman"/>
        </w:rPr>
        <w:t xml:space="preserve">EF = </w:t>
      </w:r>
      <w:r w:rsidRPr="002934F0">
        <w:rPr>
          <w:rFonts w:ascii="Times New Roman" w:hAnsi="Times New Roman" w:cs="Times New Roman"/>
        </w:rPr>
        <w:t>11.8 and not detected, respectively).  Yet the experimental site saw heightened lead (</w:t>
      </w:r>
      <w:r w:rsidR="00F91E53">
        <w:rPr>
          <w:rFonts w:ascii="Times New Roman" w:hAnsi="Times New Roman" w:cs="Times New Roman"/>
        </w:rPr>
        <w:t xml:space="preserve">EF = </w:t>
      </w:r>
      <w:r w:rsidRPr="002934F0">
        <w:rPr>
          <w:rFonts w:ascii="Times New Roman" w:hAnsi="Times New Roman" w:cs="Times New Roman"/>
        </w:rPr>
        <w:t>32.9) and chromium (</w:t>
      </w:r>
      <w:r w:rsidR="00F91E53">
        <w:rPr>
          <w:rFonts w:ascii="Times New Roman" w:hAnsi="Times New Roman" w:cs="Times New Roman"/>
        </w:rPr>
        <w:t xml:space="preserve">EF = </w:t>
      </w:r>
      <w:r w:rsidRPr="002934F0">
        <w:rPr>
          <w:rFonts w:ascii="Times New Roman" w:hAnsi="Times New Roman" w:cs="Times New Roman"/>
        </w:rPr>
        <w:t xml:space="preserve">6.1), neither of which were detected at the control site.  These effective enrichment factors were calculated with respect to metal contamination of invertebrate tissue found in previous studies (Demina 2015, Proum 2016).  This stark contrast in metal concentration could be indicative of the relative isolation of the control site.  Case Inlet, sandwiched between Harstine Island and southern Kitsap Peninsula, receives surface water from the surrounding rural lands dominated by agriculture, a potential source of the arsenic found in the invertebrate tissue.  Henderson Inlet, however, is closer to a watershed which includes sections of I-5, and is closer to the more industrial and ship-trafficked waters of Olympia.  </w:t>
      </w:r>
    </w:p>
    <w:p w14:paraId="4B0D55DD" w14:textId="77777777" w:rsidR="002934F0" w:rsidRPr="002934F0" w:rsidRDefault="002934F0" w:rsidP="002934F0">
      <w:pPr>
        <w:spacing w:after="0" w:line="480" w:lineRule="auto"/>
        <w:ind w:firstLine="720"/>
        <w:rPr>
          <w:rFonts w:ascii="Times New Roman" w:eastAsia="Times New Roman" w:hAnsi="Times New Roman" w:cs="Times New Roman"/>
          <w:sz w:val="24"/>
          <w:szCs w:val="24"/>
        </w:rPr>
      </w:pPr>
      <w:r w:rsidRPr="002934F0">
        <w:rPr>
          <w:rFonts w:ascii="Times New Roman" w:eastAsia="Times New Roman" w:hAnsi="Times New Roman" w:cs="Times New Roman"/>
          <w:color w:val="000000"/>
        </w:rPr>
        <w:t>Previous studies have delved into heavy metal contamination in marine organisms and the resulting effect on the food web.  In a 2011 review of studies concerning metal contamination in bivalves along China’s coast (Pan and Wang, 2011), researchers compiled data from previous studies where bivalves were tested for the presence of Cd, Zn, Cu, Pb, Ni, Cr, and Hg to determine the degree of contamination and differences in metal accumulation between species.  The degree of metal contamination varied by species of organism and type of metal, so the issue of determining the extent of contamination is complex.  Having only a few classes of organisms to analyze makes it difficult to claim anything more than broad observations of contamination.  Bioavailability of metals has been found to depend on processes such as chemical speciation, competition between sediment metals for uptake, and influence by bioturbation, salinity, and pH (Bryan and Langston, 1991).  Some heavy metals, such as cadmium and lead, have been found to be widely toxic to marine organisms as well as humans (Storelli, 2008).  However, cadmium has been found to have a biological role in marine diatoms during a period of low available zinc, so it is important to consider how intertwined with ecology the presence of a metal may be, and not to assume that all traces are anthropogenic (Lane and Morel, 2000).</w:t>
      </w:r>
    </w:p>
    <w:p w14:paraId="59A3CA96" w14:textId="77777777" w:rsidR="002934F0" w:rsidRPr="007E4DCD" w:rsidRDefault="002934F0" w:rsidP="002934F0">
      <w:pPr>
        <w:spacing w:line="480" w:lineRule="auto"/>
        <w:rPr>
          <w:rFonts w:ascii="Times New Roman" w:hAnsi="Times New Roman" w:cs="Times New Roman"/>
          <w:i/>
        </w:rPr>
      </w:pPr>
      <w:r w:rsidRPr="007E4DCD">
        <w:rPr>
          <w:rFonts w:ascii="Times New Roman" w:hAnsi="Times New Roman" w:cs="Times New Roman"/>
          <w:i/>
        </w:rPr>
        <w:t>Connection to Road Runoff</w:t>
      </w:r>
    </w:p>
    <w:p w14:paraId="7B9FCB62" w14:textId="77777777" w:rsidR="002934F0" w:rsidRPr="002934F0" w:rsidRDefault="002934F0" w:rsidP="0024419D">
      <w:pPr>
        <w:spacing w:after="0" w:line="480" w:lineRule="auto"/>
        <w:ind w:firstLine="720"/>
        <w:rPr>
          <w:rFonts w:ascii="Times New Roman" w:eastAsia="Times New Roman" w:hAnsi="Times New Roman" w:cs="Times New Roman"/>
          <w:color w:val="000000"/>
        </w:rPr>
      </w:pPr>
      <w:r w:rsidRPr="002934F0">
        <w:rPr>
          <w:rFonts w:ascii="Times New Roman" w:eastAsia="Times New Roman" w:hAnsi="Times New Roman" w:cs="Times New Roman"/>
          <w:color w:val="000000"/>
        </w:rPr>
        <w:lastRenderedPageBreak/>
        <w:t xml:space="preserve">This study hypothesized that elevated metal concentration would be observed near sources of road input relative to control sites farther away.  To a general extent, this was observed, however there are more factors to consider before either fully supporting or refuting the hypothesis.  Proximity to shipping activities and industry in general provide other sources of metal input which generally coincide with the spatial arrangement of roads.  </w:t>
      </w:r>
      <w:r w:rsidR="00F91E53">
        <w:rPr>
          <w:rFonts w:ascii="Times New Roman" w:eastAsia="Times New Roman" w:hAnsi="Times New Roman" w:cs="Times New Roman"/>
          <w:color w:val="000000"/>
        </w:rPr>
        <w:t xml:space="preserve">However, it is difficult to confirm whether these differences are due to road-sourced metal contamination.  </w:t>
      </w:r>
      <w:r w:rsidRPr="002934F0">
        <w:rPr>
          <w:rFonts w:ascii="Times New Roman" w:eastAsia="Times New Roman" w:hAnsi="Times New Roman" w:cs="Times New Roman"/>
          <w:color w:val="000000"/>
        </w:rPr>
        <w:t xml:space="preserve">Spatial analysis of watershed dynamics would be </w:t>
      </w:r>
      <w:r w:rsidR="00F91E53">
        <w:rPr>
          <w:rFonts w:ascii="Times New Roman" w:eastAsia="Times New Roman" w:hAnsi="Times New Roman" w:cs="Times New Roman"/>
          <w:color w:val="000000"/>
        </w:rPr>
        <w:t>an impactful addition</w:t>
      </w:r>
      <w:r w:rsidRPr="002934F0">
        <w:rPr>
          <w:rFonts w:ascii="Times New Roman" w:eastAsia="Times New Roman" w:hAnsi="Times New Roman" w:cs="Times New Roman"/>
          <w:color w:val="000000"/>
        </w:rPr>
        <w:t xml:space="preserve"> to this study to make</w:t>
      </w:r>
      <w:r w:rsidR="00F91E53">
        <w:rPr>
          <w:rFonts w:ascii="Times New Roman" w:eastAsia="Times New Roman" w:hAnsi="Times New Roman" w:cs="Times New Roman"/>
          <w:color w:val="000000"/>
        </w:rPr>
        <w:t xml:space="preserve"> for</w:t>
      </w:r>
      <w:r w:rsidRPr="002934F0">
        <w:rPr>
          <w:rFonts w:ascii="Times New Roman" w:eastAsia="Times New Roman" w:hAnsi="Times New Roman" w:cs="Times New Roman"/>
          <w:color w:val="000000"/>
        </w:rPr>
        <w:t xml:space="preserve"> a more ac</w:t>
      </w:r>
      <w:r w:rsidR="00F91E53">
        <w:rPr>
          <w:rFonts w:ascii="Times New Roman" w:eastAsia="Times New Roman" w:hAnsi="Times New Roman" w:cs="Times New Roman"/>
          <w:color w:val="000000"/>
        </w:rPr>
        <w:t>curate and precise conclusion, while also considering the processes which govern the influence of other source pollutants.</w:t>
      </w:r>
    </w:p>
    <w:p w14:paraId="3C4A6836" w14:textId="77777777" w:rsidR="002934F0" w:rsidRPr="002934F0" w:rsidRDefault="002934F0" w:rsidP="0024419D">
      <w:pPr>
        <w:spacing w:line="480" w:lineRule="auto"/>
        <w:rPr>
          <w:rFonts w:ascii="Times New Roman" w:hAnsi="Times New Roman" w:cs="Times New Roman"/>
          <w:b/>
        </w:rPr>
      </w:pPr>
      <w:r w:rsidRPr="002934F0">
        <w:rPr>
          <w:rFonts w:ascii="Times New Roman" w:hAnsi="Times New Roman" w:cs="Times New Roman"/>
          <w:b/>
        </w:rPr>
        <w:t>Conclusion</w:t>
      </w:r>
    </w:p>
    <w:p w14:paraId="3C168174" w14:textId="76C81563" w:rsidR="00E24B4C" w:rsidRDefault="002934F0" w:rsidP="0024419D">
      <w:pPr>
        <w:spacing w:line="480" w:lineRule="auto"/>
        <w:ind w:firstLine="720"/>
        <w:rPr>
          <w:rFonts w:ascii="Times New Roman" w:hAnsi="Times New Roman" w:cs="Times New Roman"/>
        </w:rPr>
      </w:pPr>
      <w:r w:rsidRPr="002934F0">
        <w:rPr>
          <w:rFonts w:ascii="Times New Roman" w:hAnsi="Times New Roman" w:cs="Times New Roman"/>
        </w:rPr>
        <w:t xml:space="preserve">The findings of this study suggest that metal content in Puget Sound and Lake Washington sediments </w:t>
      </w:r>
      <w:r w:rsidR="0077598F">
        <w:rPr>
          <w:rFonts w:ascii="Times New Roman" w:hAnsi="Times New Roman" w:cs="Times New Roman"/>
        </w:rPr>
        <w:t>may be</w:t>
      </w:r>
      <w:r w:rsidRPr="002934F0">
        <w:rPr>
          <w:rFonts w:ascii="Times New Roman" w:hAnsi="Times New Roman" w:cs="Times New Roman"/>
        </w:rPr>
        <w:t xml:space="preserve"> of concern to the local ecology and potentially human health.  Lead content was elevated by one to two orders of magnitude over earth-shale averages, which could be an issue that needs to be addressed by policy makers.  Elevated nickel content of greater than an order of magnitude in both invertebrate samples, as well as elevated nickel in all sediments, suggest that nickel is a metal that is contaminating local waters similarly to lead, albeit to a lesser degree.  Sites such as the shipping canal appear to be so contaminated with heavy metals that more hyper-focused studies should be done to assess the extent of contamination and mitigation strategies.  </w:t>
      </w:r>
      <w:r w:rsidR="0077598F">
        <w:rPr>
          <w:rFonts w:ascii="Times New Roman" w:hAnsi="Times New Roman" w:cs="Times New Roman"/>
        </w:rPr>
        <w:t>Despite these findings relative to earth-shale averages, all samples were beneath the Washington State Marine Sediment Quality Standard set in 2013 (EPA, 2013).</w:t>
      </w:r>
    </w:p>
    <w:p w14:paraId="0D8CB1F7" w14:textId="467103C6" w:rsidR="002934F0" w:rsidRPr="002934F0" w:rsidRDefault="002934F0" w:rsidP="0024419D">
      <w:pPr>
        <w:spacing w:line="480" w:lineRule="auto"/>
        <w:ind w:firstLine="720"/>
        <w:rPr>
          <w:rFonts w:ascii="Times New Roman" w:hAnsi="Times New Roman" w:cs="Times New Roman"/>
        </w:rPr>
      </w:pPr>
      <w:r w:rsidRPr="002934F0">
        <w:rPr>
          <w:rFonts w:ascii="Times New Roman" w:hAnsi="Times New Roman" w:cs="Times New Roman"/>
        </w:rPr>
        <w:t xml:space="preserve">Though road runoff appears to be correlated with copper, lead, and nickel entering marine and aquatic sediments, the streams, rivers, lakes, and canals which make up the Puget Sound watershed form a dynamic system that is difficult to make concrete conclusions about.  More research needs to be done on the runoff pathways and circulation patterns in the region in order to produce a more precise assessment of metal contamination sources.  </w:t>
      </w:r>
    </w:p>
    <w:p w14:paraId="69941C1B" w14:textId="77777777" w:rsidR="002934F0" w:rsidRPr="002934F0" w:rsidRDefault="002934F0" w:rsidP="002934F0">
      <w:pPr>
        <w:spacing w:line="480" w:lineRule="auto"/>
        <w:rPr>
          <w:rFonts w:ascii="Times New Roman" w:hAnsi="Times New Roman" w:cs="Times New Roman"/>
        </w:rPr>
      </w:pPr>
    </w:p>
    <w:p w14:paraId="436B5A68" w14:textId="77777777" w:rsidR="00473188" w:rsidRDefault="00473188" w:rsidP="006558F1">
      <w:pPr>
        <w:spacing w:line="480" w:lineRule="auto"/>
        <w:rPr>
          <w:rFonts w:ascii="Times New Roman" w:hAnsi="Times New Roman" w:cs="Times New Roman"/>
          <w:b/>
        </w:rPr>
      </w:pPr>
    </w:p>
    <w:p w14:paraId="72072DAB" w14:textId="77777777" w:rsidR="002934F0" w:rsidRDefault="00A71A11" w:rsidP="006558F1">
      <w:pPr>
        <w:spacing w:line="480" w:lineRule="auto"/>
        <w:rPr>
          <w:rFonts w:ascii="Times New Roman" w:hAnsi="Times New Roman" w:cs="Times New Roman"/>
          <w:b/>
        </w:rPr>
      </w:pPr>
      <w:r w:rsidRPr="006558F1">
        <w:rPr>
          <w:rFonts w:ascii="Times New Roman" w:hAnsi="Times New Roman" w:cs="Times New Roman"/>
          <w:b/>
        </w:rPr>
        <w:lastRenderedPageBreak/>
        <w:t>Acknowledgements</w:t>
      </w:r>
    </w:p>
    <w:p w14:paraId="186FEE9D" w14:textId="5DDAFD17" w:rsidR="00A71A11" w:rsidRPr="00A71A11" w:rsidRDefault="00A71A11" w:rsidP="006558F1">
      <w:pPr>
        <w:spacing w:line="480" w:lineRule="auto"/>
        <w:rPr>
          <w:rFonts w:ascii="Times New Roman" w:hAnsi="Times New Roman" w:cs="Times New Roman"/>
        </w:rPr>
      </w:pPr>
      <w:r>
        <w:rPr>
          <w:rFonts w:ascii="Times New Roman" w:hAnsi="Times New Roman" w:cs="Times New Roman"/>
        </w:rPr>
        <w:tab/>
      </w:r>
      <w:r w:rsidR="00544F41">
        <w:rPr>
          <w:rFonts w:ascii="Times New Roman" w:hAnsi="Times New Roman" w:cs="Times New Roman"/>
        </w:rPr>
        <w:t>I would like to thank the captain and crew of the R/V Rachel Carson for their expert navigation, implementation of machinery, and accommodation for our science cruise.  Special thanks as well to science advisor Julian Sachs and faculty Kathy Newell for their assistance throughout the data collection, analysis, and writing portions of this research.  Fellow senior oceanography students James S</w:t>
      </w:r>
      <w:r w:rsidR="00EC1A8C">
        <w:rPr>
          <w:rFonts w:ascii="Times New Roman" w:hAnsi="Times New Roman" w:cs="Times New Roman"/>
        </w:rPr>
        <w:t>c</w:t>
      </w:r>
      <w:r w:rsidR="00544F41">
        <w:rPr>
          <w:rFonts w:ascii="Times New Roman" w:hAnsi="Times New Roman" w:cs="Times New Roman"/>
        </w:rPr>
        <w:t>ukas, Monique Bell, and Signe Bergman for collaboration on this process through overlapping sampling</w:t>
      </w:r>
      <w:r w:rsidR="00E01D58">
        <w:rPr>
          <w:rFonts w:ascii="Times New Roman" w:hAnsi="Times New Roman" w:cs="Times New Roman"/>
        </w:rPr>
        <w:t>, ship time,</w:t>
      </w:r>
      <w:r w:rsidR="00544F41">
        <w:rPr>
          <w:rFonts w:ascii="Times New Roman" w:hAnsi="Times New Roman" w:cs="Times New Roman"/>
        </w:rPr>
        <w:t xml:space="preserve"> and analysis.  </w:t>
      </w:r>
      <w:r w:rsidR="0026217C">
        <w:rPr>
          <w:rFonts w:ascii="Times New Roman" w:hAnsi="Times New Roman" w:cs="Times New Roman"/>
        </w:rPr>
        <w:t xml:space="preserve">Thank you to the Ogston Lab at the </w:t>
      </w:r>
      <w:r w:rsidR="00E01D58">
        <w:rPr>
          <w:rFonts w:ascii="Times New Roman" w:hAnsi="Times New Roman" w:cs="Times New Roman"/>
        </w:rPr>
        <w:t xml:space="preserve">School of Oceanography, </w:t>
      </w:r>
      <w:r w:rsidR="0026217C">
        <w:rPr>
          <w:rFonts w:ascii="Times New Roman" w:hAnsi="Times New Roman" w:cs="Times New Roman"/>
        </w:rPr>
        <w:t xml:space="preserve">University of Washington for use of their Coulter Counter, and Robin McLachlan for assistance with the </w:t>
      </w:r>
      <w:r w:rsidR="00EC1A8C">
        <w:rPr>
          <w:rFonts w:ascii="Times New Roman" w:hAnsi="Times New Roman" w:cs="Times New Roman"/>
        </w:rPr>
        <w:t>instrument</w:t>
      </w:r>
      <w:r w:rsidR="0026217C">
        <w:rPr>
          <w:rFonts w:ascii="Times New Roman" w:hAnsi="Times New Roman" w:cs="Times New Roman"/>
        </w:rPr>
        <w:t>.  Thank you to Dr. Dongsen Xue of the School of Forestry</w:t>
      </w:r>
      <w:r w:rsidR="00E01D58">
        <w:rPr>
          <w:rFonts w:ascii="Times New Roman" w:hAnsi="Times New Roman" w:cs="Times New Roman"/>
        </w:rPr>
        <w:t>, University of Washington</w:t>
      </w:r>
      <w:r w:rsidR="0026217C">
        <w:rPr>
          <w:rFonts w:ascii="Times New Roman" w:hAnsi="Times New Roman" w:cs="Times New Roman"/>
        </w:rPr>
        <w:t xml:space="preserve"> for performing the trace metal analysis.</w:t>
      </w:r>
      <w:r w:rsidR="00AF0F99">
        <w:rPr>
          <w:rFonts w:ascii="Times New Roman" w:hAnsi="Times New Roman" w:cs="Times New Roman"/>
        </w:rPr>
        <w:t xml:space="preserve">  Finally, thank you to the School of Oceanography as a whole for providing the means and the opportunity to perform undergraduate research.</w:t>
      </w:r>
    </w:p>
    <w:p w14:paraId="1921A952"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3B696FAD"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56EE2539"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0916F2B2"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50695B39"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74DD7B43"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6FCEA635"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65CB3C9B"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40E1022A"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131CE8C4"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571A6312"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2A578866"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7B18893E" w14:textId="77777777" w:rsid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775607B5" w14:textId="77777777" w:rsidR="00EC0BBC" w:rsidRDefault="00EC0BBC" w:rsidP="002934F0">
      <w:pPr>
        <w:spacing w:after="0" w:line="360" w:lineRule="auto"/>
        <w:rPr>
          <w:rFonts w:ascii="Times New Roman" w:eastAsia="Times New Roman" w:hAnsi="Times New Roman" w:cs="Times New Roman"/>
          <w:b/>
          <w:bCs/>
          <w:color w:val="222222"/>
          <w:shd w:val="clear" w:color="auto" w:fill="FFFFFF"/>
        </w:rPr>
      </w:pPr>
    </w:p>
    <w:p w14:paraId="2CE2F251"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1976CF11"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7DF27725"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59D1BA94"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5DEFAE95"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4F097CC5"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3A0467F6"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56150C67" w14:textId="77777777" w:rsidR="00E24B4C" w:rsidRDefault="00E24B4C" w:rsidP="002934F0">
      <w:pPr>
        <w:spacing w:after="0" w:line="360" w:lineRule="auto"/>
        <w:rPr>
          <w:rFonts w:ascii="Times New Roman" w:eastAsia="Times New Roman" w:hAnsi="Times New Roman" w:cs="Times New Roman"/>
          <w:b/>
          <w:bCs/>
          <w:color w:val="222222"/>
          <w:shd w:val="clear" w:color="auto" w:fill="FFFFFF"/>
        </w:rPr>
      </w:pPr>
    </w:p>
    <w:p w14:paraId="760972D7" w14:textId="77777777" w:rsidR="00473188" w:rsidRDefault="00473188" w:rsidP="002934F0">
      <w:pPr>
        <w:spacing w:after="0" w:line="360" w:lineRule="auto"/>
        <w:rPr>
          <w:rFonts w:ascii="Times New Roman" w:eastAsia="Times New Roman" w:hAnsi="Times New Roman" w:cs="Times New Roman"/>
          <w:b/>
          <w:bCs/>
          <w:color w:val="222222"/>
          <w:shd w:val="clear" w:color="auto" w:fill="FFFFFF"/>
        </w:rPr>
      </w:pPr>
    </w:p>
    <w:p w14:paraId="3A729215" w14:textId="77777777" w:rsidR="002934F0" w:rsidRPr="002934F0" w:rsidRDefault="002934F0" w:rsidP="002934F0">
      <w:pPr>
        <w:spacing w:after="0" w:line="360" w:lineRule="auto"/>
        <w:rPr>
          <w:rFonts w:ascii="Times New Roman" w:eastAsia="Times New Roman" w:hAnsi="Times New Roman" w:cs="Times New Roman"/>
          <w:b/>
          <w:bCs/>
          <w:color w:val="222222"/>
          <w:shd w:val="clear" w:color="auto" w:fill="FFFFFF"/>
        </w:rPr>
      </w:pPr>
      <w:r w:rsidRPr="002934F0">
        <w:rPr>
          <w:rFonts w:ascii="Times New Roman" w:eastAsia="Times New Roman" w:hAnsi="Times New Roman" w:cs="Times New Roman"/>
          <w:b/>
          <w:bCs/>
          <w:color w:val="222222"/>
          <w:shd w:val="clear" w:color="auto" w:fill="FFFFFF"/>
        </w:rPr>
        <w:t>References:</w:t>
      </w:r>
    </w:p>
    <w:p w14:paraId="585AF5B0" w14:textId="77777777" w:rsidR="002934F0" w:rsidRPr="002934F0" w:rsidRDefault="002934F0" w:rsidP="002934F0">
      <w:pPr>
        <w:spacing w:after="0" w:line="360" w:lineRule="auto"/>
        <w:rPr>
          <w:rFonts w:ascii="Times New Roman" w:eastAsia="Times New Roman" w:hAnsi="Times New Roman" w:cs="Times New Roman"/>
          <w:b/>
          <w:bCs/>
          <w:color w:val="222222"/>
          <w:shd w:val="clear" w:color="auto" w:fill="FFFFFF"/>
        </w:rPr>
      </w:pPr>
    </w:p>
    <w:p w14:paraId="34903469"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Bloom NS, Crecelius EA, 1987.  “Distribution of silver, mercury, lead, copper, and cadmium in central Puget Sound sediments.” Mar. Chem. 21(4): 377-390.</w:t>
      </w:r>
    </w:p>
    <w:p w14:paraId="1B3760F6" w14:textId="77777777" w:rsidR="002934F0" w:rsidRPr="00E24B4C" w:rsidRDefault="002934F0" w:rsidP="00E24B4C">
      <w:pPr>
        <w:spacing w:after="0" w:line="276" w:lineRule="auto"/>
        <w:rPr>
          <w:rFonts w:ascii="Times New Roman" w:eastAsia="Times New Roman" w:hAnsi="Times New Roman" w:cs="Times New Roman"/>
          <w:bCs/>
          <w:color w:val="222222"/>
          <w:shd w:val="clear" w:color="auto" w:fill="FFFFFF"/>
        </w:rPr>
      </w:pPr>
    </w:p>
    <w:p w14:paraId="368F756A" w14:textId="77777777" w:rsidR="002934F0" w:rsidRPr="00E24B4C" w:rsidRDefault="002934F0" w:rsidP="00E24B4C">
      <w:pPr>
        <w:spacing w:after="0" w:line="276" w:lineRule="auto"/>
        <w:rPr>
          <w:rFonts w:ascii="Times New Roman" w:eastAsia="Times New Roman" w:hAnsi="Times New Roman" w:cs="Times New Roman"/>
          <w:bCs/>
          <w:color w:val="222222"/>
          <w:shd w:val="clear" w:color="auto" w:fill="FFFFFF"/>
        </w:rPr>
      </w:pPr>
      <w:r w:rsidRPr="00E24B4C">
        <w:rPr>
          <w:rFonts w:ascii="Times New Roman" w:eastAsia="Times New Roman" w:hAnsi="Times New Roman" w:cs="Times New Roman"/>
          <w:bCs/>
          <w:color w:val="222222"/>
          <w:shd w:val="clear" w:color="auto" w:fill="FFFFFF"/>
        </w:rPr>
        <w:t xml:space="preserve">Brumsack H, 2006.  “The trace metal content of recent organic carbon-rich sediments: Implications for Cretaceous black shale formation.” </w:t>
      </w:r>
      <w:r w:rsidRPr="00E24B4C">
        <w:rPr>
          <w:rFonts w:ascii="Times New Roman" w:eastAsia="Times New Roman" w:hAnsi="Times New Roman" w:cs="Times New Roman"/>
          <w:bCs/>
          <w:i/>
          <w:color w:val="222222"/>
          <w:shd w:val="clear" w:color="auto" w:fill="FFFFFF"/>
        </w:rPr>
        <w:t>Palaeogeography, Palaeoclimatology, Palaeoecology</w:t>
      </w:r>
      <w:r w:rsidRPr="00E24B4C">
        <w:rPr>
          <w:rFonts w:ascii="Times New Roman" w:eastAsia="Times New Roman" w:hAnsi="Times New Roman" w:cs="Times New Roman"/>
          <w:bCs/>
          <w:color w:val="222222"/>
          <w:shd w:val="clear" w:color="auto" w:fill="FFFFFF"/>
        </w:rPr>
        <w:t xml:space="preserve"> 232: 344-361.</w:t>
      </w:r>
    </w:p>
    <w:p w14:paraId="38983841"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p>
    <w:p w14:paraId="42B2D9CC"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Bryan GW, Langston WJ, 1991. “Bioavailability, accumulation and effects of heavy metals in sediments with special reference to United Kingdom estuaries: a review.” Environmental Pollution 76: 89-131.</w:t>
      </w:r>
    </w:p>
    <w:p w14:paraId="625A4C30"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p>
    <w:p w14:paraId="3D29A88D"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Chapman P, Wang F, 2001. “Assessing sediment contamination in estuaries.” Environmental Toxicology and Chemistry 20: 3-22.</w:t>
      </w:r>
    </w:p>
    <w:p w14:paraId="0233FE45"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p>
    <w:p w14:paraId="1FAE56C3" w14:textId="77777777" w:rsidR="002934F0" w:rsidRPr="00E24B4C" w:rsidRDefault="002934F0" w:rsidP="00E24B4C">
      <w:pPr>
        <w:spacing w:after="0" w:line="276" w:lineRule="auto"/>
        <w:rPr>
          <w:rFonts w:ascii="Times New Roman" w:eastAsia="Times New Roman" w:hAnsi="Times New Roman" w:cs="Times New Roman"/>
          <w:sz w:val="24"/>
          <w:szCs w:val="24"/>
        </w:rPr>
      </w:pPr>
      <w:r w:rsidRPr="00E24B4C">
        <w:rPr>
          <w:rFonts w:ascii="Times New Roman" w:eastAsia="Times New Roman" w:hAnsi="Times New Roman" w:cs="Times New Roman"/>
          <w:color w:val="222222"/>
          <w:shd w:val="clear" w:color="auto" w:fill="FFFFFF"/>
        </w:rPr>
        <w:t>Christoforidis A, Stamatis N, 2009. “Heavy metal contamination in street dust and roadside soil along the major national road in Kavala’s region, Greece.” Geoderma 151: 257-263.</w:t>
      </w:r>
    </w:p>
    <w:p w14:paraId="7E434B6F" w14:textId="77777777" w:rsidR="002934F0" w:rsidRPr="00E24B4C" w:rsidRDefault="002934F0" w:rsidP="00E24B4C">
      <w:pPr>
        <w:spacing w:after="0" w:line="276" w:lineRule="auto"/>
        <w:rPr>
          <w:rFonts w:ascii="Times New Roman" w:eastAsia="Times New Roman" w:hAnsi="Times New Roman" w:cs="Times New Roman"/>
          <w:sz w:val="24"/>
          <w:szCs w:val="24"/>
        </w:rPr>
      </w:pPr>
    </w:p>
    <w:p w14:paraId="76B1D4F0" w14:textId="77777777" w:rsidR="002934F0" w:rsidRPr="00E24B4C" w:rsidRDefault="002934F0" w:rsidP="00E24B4C">
      <w:pPr>
        <w:spacing w:line="276" w:lineRule="auto"/>
        <w:rPr>
          <w:rFonts w:ascii="Times New Roman" w:hAnsi="Times New Roman" w:cs="Times New Roman"/>
        </w:rPr>
      </w:pPr>
      <w:r w:rsidRPr="00E24B4C">
        <w:rPr>
          <w:rFonts w:ascii="Times New Roman" w:hAnsi="Times New Roman" w:cs="Times New Roman"/>
        </w:rPr>
        <w:t xml:space="preserve">Demina, L., et al., 2015. “Trace metal accumulation in carbonate biominerals of the Atlantic Ocean.” </w:t>
      </w:r>
      <w:r w:rsidRPr="00E24B4C">
        <w:rPr>
          <w:rFonts w:ascii="Times New Roman" w:hAnsi="Times New Roman" w:cs="Times New Roman"/>
          <w:i/>
        </w:rPr>
        <w:t>Oceanology</w:t>
      </w:r>
      <w:r w:rsidRPr="00E24B4C">
        <w:rPr>
          <w:rFonts w:ascii="Times New Roman" w:hAnsi="Times New Roman" w:cs="Times New Roman"/>
        </w:rPr>
        <w:t xml:space="preserve"> 56: 131-136.</w:t>
      </w:r>
    </w:p>
    <w:p w14:paraId="1C1A9FBE" w14:textId="77777777" w:rsidR="00E24B4C" w:rsidRDefault="002934F0" w:rsidP="00E24B4C">
      <w:pPr>
        <w:spacing w:after="0" w:line="276" w:lineRule="auto"/>
        <w:rPr>
          <w:rFonts w:ascii="Times New Roman" w:eastAsia="Times New Roman" w:hAnsi="Times New Roman" w:cs="Times New Roman"/>
          <w:sz w:val="24"/>
          <w:szCs w:val="24"/>
        </w:rPr>
      </w:pPr>
      <w:r w:rsidRPr="00E24B4C">
        <w:rPr>
          <w:rFonts w:ascii="Times New Roman" w:eastAsia="Times New Roman" w:hAnsi="Times New Roman" w:cs="Times New Roman"/>
          <w:color w:val="222222"/>
          <w:shd w:val="clear" w:color="auto" w:fill="FFFFFF"/>
        </w:rPr>
        <w:t>Duong T, Lee B, 2010. “Determining contamination level of heavy metals in road dust from busy traffic areas with different characteristics.” Journal of Env. Management 92: 554-562.</w:t>
      </w:r>
    </w:p>
    <w:p w14:paraId="70794110" w14:textId="77777777" w:rsidR="00E24B4C" w:rsidRDefault="00E24B4C" w:rsidP="00E24B4C">
      <w:pPr>
        <w:spacing w:after="0" w:line="276" w:lineRule="auto"/>
        <w:rPr>
          <w:rFonts w:ascii="Times New Roman" w:eastAsia="Times New Roman" w:hAnsi="Times New Roman" w:cs="Times New Roman"/>
          <w:sz w:val="24"/>
          <w:szCs w:val="24"/>
        </w:rPr>
      </w:pPr>
    </w:p>
    <w:p w14:paraId="1A51C2F0" w14:textId="446EF9FD" w:rsidR="002934F0" w:rsidRPr="00E24B4C" w:rsidRDefault="002934F0" w:rsidP="00E24B4C">
      <w:pPr>
        <w:spacing w:after="0" w:line="276" w:lineRule="auto"/>
        <w:rPr>
          <w:rFonts w:ascii="Times New Roman" w:eastAsia="Times New Roman" w:hAnsi="Times New Roman" w:cs="Times New Roman"/>
          <w:sz w:val="24"/>
          <w:szCs w:val="24"/>
        </w:rPr>
      </w:pPr>
      <w:r w:rsidRPr="00E24B4C">
        <w:rPr>
          <w:rFonts w:ascii="Times New Roman" w:eastAsia="Times New Roman" w:hAnsi="Times New Roman" w:cs="Times New Roman"/>
          <w:color w:val="222222"/>
          <w:shd w:val="clear" w:color="auto" w:fill="FFFFFF"/>
        </w:rPr>
        <w:t xml:space="preserve">EPA, 2001. “Trace Elements in Water, Solids, and Biosoilds by Inductively Coupled Plasma-Atomic Emission Spectrometry.” Revision 5. </w:t>
      </w:r>
      <w:r w:rsidRPr="00E24B4C">
        <w:rPr>
          <w:rFonts w:ascii="Times New Roman" w:eastAsia="Times New Roman" w:hAnsi="Times New Roman" w:cs="Times New Roman"/>
          <w:i/>
          <w:iCs/>
          <w:color w:val="222222"/>
          <w:shd w:val="clear" w:color="auto" w:fill="FFFFFF"/>
        </w:rPr>
        <w:t>United States Environmental Protection Agency</w:t>
      </w:r>
      <w:r w:rsidRPr="00E24B4C">
        <w:rPr>
          <w:rFonts w:ascii="Times New Roman" w:eastAsia="Times New Roman" w:hAnsi="Times New Roman" w:cs="Times New Roman"/>
          <w:color w:val="222222"/>
          <w:shd w:val="clear" w:color="auto" w:fill="FFFFFF"/>
        </w:rPr>
        <w:t>.</w:t>
      </w:r>
    </w:p>
    <w:p w14:paraId="537CAEE8" w14:textId="77777777" w:rsidR="00E24B4C" w:rsidRDefault="00E24B4C" w:rsidP="00E24B4C">
      <w:pPr>
        <w:spacing w:after="0" w:line="276" w:lineRule="auto"/>
        <w:rPr>
          <w:rFonts w:ascii="Times New Roman" w:eastAsia="Times New Roman" w:hAnsi="Times New Roman" w:cs="Times New Roman"/>
          <w:color w:val="222222"/>
          <w:shd w:val="clear" w:color="auto" w:fill="FFFFFF"/>
        </w:rPr>
      </w:pPr>
    </w:p>
    <w:p w14:paraId="28FF708E" w14:textId="77777777" w:rsidR="00E24B4C" w:rsidRDefault="0055442C"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 xml:space="preserve">EPA 2013. “Sediment Management Standards” Department of Ecology, State of Washington.  </w:t>
      </w:r>
      <w:r w:rsidRPr="00E24B4C">
        <w:rPr>
          <w:rFonts w:ascii="Times New Roman" w:eastAsia="Times New Roman" w:hAnsi="Times New Roman" w:cs="Times New Roman"/>
          <w:i/>
          <w:iCs/>
          <w:color w:val="222222"/>
          <w:shd w:val="clear" w:color="auto" w:fill="FFFFFF"/>
        </w:rPr>
        <w:t>United States Environmental Protection Agency</w:t>
      </w:r>
      <w:r w:rsidR="00E24B4C">
        <w:rPr>
          <w:rFonts w:ascii="Times New Roman" w:eastAsia="Times New Roman" w:hAnsi="Times New Roman" w:cs="Times New Roman"/>
          <w:color w:val="222222"/>
          <w:shd w:val="clear" w:color="auto" w:fill="FFFFFF"/>
        </w:rPr>
        <w:t>. Chapter 173-204 WAC.</w:t>
      </w:r>
    </w:p>
    <w:p w14:paraId="68D9F152" w14:textId="77777777" w:rsidR="00E24B4C" w:rsidRDefault="00E24B4C" w:rsidP="00E24B4C">
      <w:pPr>
        <w:spacing w:after="0" w:line="276" w:lineRule="auto"/>
        <w:rPr>
          <w:rFonts w:ascii="Times New Roman" w:eastAsia="Times New Roman" w:hAnsi="Times New Roman" w:cs="Times New Roman"/>
          <w:color w:val="222222"/>
          <w:shd w:val="clear" w:color="auto" w:fill="FFFFFF"/>
        </w:rPr>
      </w:pPr>
    </w:p>
    <w:p w14:paraId="2BAC3B77" w14:textId="6A8DB33A" w:rsidR="00E24B4C" w:rsidRDefault="002934F0" w:rsidP="00E24B4C">
      <w:pPr>
        <w:spacing w:after="0" w:line="276" w:lineRule="auto"/>
        <w:rPr>
          <w:rFonts w:ascii="Times New Roman" w:hAnsi="Times New Roman" w:cs="Times New Roman"/>
        </w:rPr>
      </w:pPr>
      <w:r w:rsidRPr="00E24B4C">
        <w:rPr>
          <w:rFonts w:ascii="Times New Roman" w:hAnsi="Times New Roman" w:cs="Times New Roman"/>
        </w:rPr>
        <w:t xml:space="preserve">Fordyce F, 2007.  “Selenium Geochemistry and Health.” </w:t>
      </w:r>
      <w:r w:rsidRPr="00E24B4C">
        <w:rPr>
          <w:rFonts w:ascii="Times New Roman" w:hAnsi="Times New Roman" w:cs="Times New Roman"/>
          <w:i/>
        </w:rPr>
        <w:t xml:space="preserve">Ambio </w:t>
      </w:r>
      <w:r w:rsidR="00E24B4C">
        <w:rPr>
          <w:rFonts w:ascii="Times New Roman" w:hAnsi="Times New Roman" w:cs="Times New Roman"/>
        </w:rPr>
        <w:t>36: 93-97</w:t>
      </w:r>
    </w:p>
    <w:p w14:paraId="0C0BCF34" w14:textId="77777777" w:rsidR="00E24B4C" w:rsidRPr="00E24B4C" w:rsidRDefault="00E24B4C" w:rsidP="00E24B4C">
      <w:pPr>
        <w:spacing w:after="0" w:line="276" w:lineRule="auto"/>
        <w:rPr>
          <w:rFonts w:ascii="Times New Roman" w:eastAsia="Times New Roman" w:hAnsi="Times New Roman" w:cs="Times New Roman"/>
          <w:color w:val="222222"/>
          <w:shd w:val="clear" w:color="auto" w:fill="FFFFFF"/>
        </w:rPr>
      </w:pPr>
    </w:p>
    <w:p w14:paraId="19C0DBAD" w14:textId="77777777" w:rsidR="00E24B4C" w:rsidRDefault="002934F0" w:rsidP="00E24B4C">
      <w:pPr>
        <w:spacing w:line="276" w:lineRule="auto"/>
        <w:rPr>
          <w:rFonts w:ascii="Times New Roman" w:hAnsi="Times New Roman" w:cs="Times New Roman"/>
        </w:rPr>
      </w:pPr>
      <w:r w:rsidRPr="00E24B4C">
        <w:rPr>
          <w:rFonts w:ascii="Times New Roman" w:eastAsia="Times New Roman" w:hAnsi="Times New Roman" w:cs="Times New Roman"/>
          <w:bCs/>
          <w:color w:val="222222"/>
          <w:shd w:val="clear" w:color="auto" w:fill="FFFFFF"/>
        </w:rPr>
        <w:t xml:space="preserve">Gregory M, 2009.  “Environmental implications of plastic debris in marine settings—entanglement, ingestion, smothering, hangers-on, hitch-hiking and alien invasions.” </w:t>
      </w:r>
      <w:r w:rsidRPr="00E24B4C">
        <w:rPr>
          <w:rFonts w:ascii="Times New Roman" w:eastAsia="Times New Roman" w:hAnsi="Times New Roman" w:cs="Times New Roman"/>
          <w:bCs/>
          <w:i/>
          <w:color w:val="222222"/>
          <w:shd w:val="clear" w:color="auto" w:fill="FFFFFF"/>
        </w:rPr>
        <w:t>Philosophical Transcations of the Royal Society B</w:t>
      </w:r>
      <w:r w:rsidRPr="00E24B4C">
        <w:rPr>
          <w:rFonts w:ascii="Times New Roman" w:eastAsia="Times New Roman" w:hAnsi="Times New Roman" w:cs="Times New Roman"/>
          <w:bCs/>
          <w:color w:val="222222"/>
          <w:shd w:val="clear" w:color="auto" w:fill="FFFFFF"/>
        </w:rPr>
        <w:t xml:space="preserve"> 364: 2013-2025.</w:t>
      </w:r>
    </w:p>
    <w:p w14:paraId="53A689A7" w14:textId="16B8497A" w:rsidR="002934F0" w:rsidRPr="00E24B4C" w:rsidRDefault="002934F0" w:rsidP="00E24B4C">
      <w:pPr>
        <w:spacing w:line="276" w:lineRule="auto"/>
        <w:rPr>
          <w:rFonts w:ascii="Times New Roman" w:hAnsi="Times New Roman" w:cs="Times New Roman"/>
        </w:rPr>
      </w:pPr>
      <w:r w:rsidRPr="00E24B4C">
        <w:rPr>
          <w:rFonts w:ascii="Times New Roman" w:eastAsia="Times New Roman" w:hAnsi="Times New Roman" w:cs="Times New Roman"/>
          <w:bCs/>
          <w:color w:val="222222"/>
          <w:shd w:val="clear" w:color="auto" w:fill="FFFFFF"/>
        </w:rPr>
        <w:t xml:space="preserve">Hubner R, et al., 2009.  “Comparison of sediment quality guidelines (SQGs) for the assessment of metal contamination in marine and estuarine environments.” </w:t>
      </w:r>
      <w:r w:rsidRPr="00E24B4C">
        <w:rPr>
          <w:rFonts w:ascii="Times New Roman" w:eastAsia="Times New Roman" w:hAnsi="Times New Roman" w:cs="Times New Roman"/>
          <w:bCs/>
          <w:i/>
          <w:color w:val="222222"/>
          <w:shd w:val="clear" w:color="auto" w:fill="FFFFFF"/>
        </w:rPr>
        <w:t>Journal of Environmental Monitoring</w:t>
      </w:r>
      <w:r w:rsidRPr="00E24B4C">
        <w:rPr>
          <w:rFonts w:ascii="Times New Roman" w:eastAsia="Times New Roman" w:hAnsi="Times New Roman" w:cs="Times New Roman"/>
          <w:bCs/>
          <w:color w:val="222222"/>
          <w:shd w:val="clear" w:color="auto" w:fill="FFFFFF"/>
        </w:rPr>
        <w:t xml:space="preserve"> 11: 713-722.</w:t>
      </w:r>
    </w:p>
    <w:p w14:paraId="6E45C6B1" w14:textId="77777777" w:rsidR="002934F0" w:rsidRDefault="002934F0"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 xml:space="preserve">Lane TW, Moral MM, 1999.  “A biological function for cadmium in marine diatoms.” </w:t>
      </w:r>
      <w:r w:rsidRPr="00E24B4C">
        <w:rPr>
          <w:rFonts w:ascii="Times New Roman" w:eastAsia="Times New Roman" w:hAnsi="Times New Roman" w:cs="Times New Roman"/>
          <w:i/>
          <w:color w:val="222222"/>
          <w:shd w:val="clear" w:color="auto" w:fill="FFFFFF"/>
        </w:rPr>
        <w:t>Proc. Natl. Acad. Sci.</w:t>
      </w:r>
      <w:r w:rsidRPr="00E24B4C">
        <w:rPr>
          <w:rFonts w:ascii="Times New Roman" w:eastAsia="Times New Roman" w:hAnsi="Times New Roman" w:cs="Times New Roman"/>
          <w:color w:val="222222"/>
          <w:shd w:val="clear" w:color="auto" w:fill="FFFFFF"/>
        </w:rPr>
        <w:t xml:space="preserve"> 97: 4627-4631.</w:t>
      </w:r>
    </w:p>
    <w:p w14:paraId="63879A5D" w14:textId="77777777" w:rsidR="00473188" w:rsidRDefault="00473188" w:rsidP="00E24B4C">
      <w:pPr>
        <w:spacing w:after="0" w:line="276" w:lineRule="auto"/>
        <w:rPr>
          <w:rFonts w:ascii="Times New Roman" w:eastAsia="Times New Roman" w:hAnsi="Times New Roman" w:cs="Times New Roman"/>
          <w:color w:val="222222"/>
          <w:shd w:val="clear" w:color="auto" w:fill="FFFFFF"/>
        </w:rPr>
      </w:pPr>
    </w:p>
    <w:p w14:paraId="6439D027" w14:textId="015F6326" w:rsidR="00473188" w:rsidRPr="00473188" w:rsidRDefault="00473188" w:rsidP="00E24B4C">
      <w:pPr>
        <w:spacing w:after="0" w:line="276" w:lineRule="auto"/>
        <w:rPr>
          <w:rFonts w:ascii="Times New Roman" w:eastAsia="Times New Roman" w:hAnsi="Times New Roman" w:cs="Times New Roman"/>
          <w:color w:val="222222"/>
          <w:shd w:val="clear" w:color="auto" w:fill="FFFFFF"/>
        </w:rPr>
      </w:pPr>
      <w:r>
        <w:rPr>
          <w:rFonts w:ascii="Times New Roman" w:eastAsia="Times New Roman" w:hAnsi="Times New Roman" w:cs="Times New Roman"/>
          <w:color w:val="222222"/>
          <w:shd w:val="clear" w:color="auto" w:fill="FFFFFF"/>
        </w:rPr>
        <w:t xml:space="preserve">Lemly AD, 2004. “Aquatic selenium pollution is a global environmental safety issue.” </w:t>
      </w:r>
      <w:r>
        <w:rPr>
          <w:rFonts w:ascii="Times New Roman" w:eastAsia="Times New Roman" w:hAnsi="Times New Roman" w:cs="Times New Roman"/>
          <w:i/>
          <w:color w:val="222222"/>
          <w:shd w:val="clear" w:color="auto" w:fill="FFFFFF"/>
        </w:rPr>
        <w:t xml:space="preserve">Ecotoxicology and Environmental Safety </w:t>
      </w:r>
      <w:r>
        <w:rPr>
          <w:rFonts w:ascii="Times New Roman" w:eastAsia="Times New Roman" w:hAnsi="Times New Roman" w:cs="Times New Roman"/>
          <w:color w:val="222222"/>
          <w:shd w:val="clear" w:color="auto" w:fill="FFFFFF"/>
        </w:rPr>
        <w:t>59: 44-56.</w:t>
      </w:r>
    </w:p>
    <w:p w14:paraId="05E45962"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p>
    <w:p w14:paraId="21E7669D" w14:textId="6B4D57E2" w:rsidR="00690D4E" w:rsidRDefault="00690D4E"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 xml:space="preserve">Malisa, EP, 2001. “The behavior of selenium in geological processes.” </w:t>
      </w:r>
      <w:r w:rsidRPr="00E24B4C">
        <w:rPr>
          <w:rFonts w:ascii="Times New Roman" w:eastAsia="Times New Roman" w:hAnsi="Times New Roman" w:cs="Times New Roman"/>
          <w:i/>
          <w:color w:val="222222"/>
          <w:shd w:val="clear" w:color="auto" w:fill="FFFFFF"/>
        </w:rPr>
        <w:t xml:space="preserve">Environmental Geochemistry and Health </w:t>
      </w:r>
      <w:r w:rsidRPr="00E24B4C">
        <w:rPr>
          <w:rFonts w:ascii="Times New Roman" w:eastAsia="Times New Roman" w:hAnsi="Times New Roman" w:cs="Times New Roman"/>
          <w:color w:val="222222"/>
          <w:shd w:val="clear" w:color="auto" w:fill="FFFFFF"/>
        </w:rPr>
        <w:t>23: 137-158.</w:t>
      </w:r>
    </w:p>
    <w:p w14:paraId="113156FD" w14:textId="77777777" w:rsidR="00E24B4C" w:rsidRPr="00E24B4C" w:rsidRDefault="00E24B4C" w:rsidP="00E24B4C">
      <w:pPr>
        <w:spacing w:after="0" w:line="276" w:lineRule="auto"/>
        <w:rPr>
          <w:rFonts w:ascii="Times New Roman" w:eastAsia="Times New Roman" w:hAnsi="Times New Roman" w:cs="Times New Roman"/>
          <w:color w:val="222222"/>
          <w:shd w:val="clear" w:color="auto" w:fill="FFFFFF"/>
        </w:rPr>
      </w:pPr>
    </w:p>
    <w:p w14:paraId="45584A9C" w14:textId="77777777" w:rsidR="002934F0" w:rsidRPr="00E24B4C" w:rsidRDefault="002934F0" w:rsidP="00E24B4C">
      <w:pPr>
        <w:spacing w:line="276" w:lineRule="auto"/>
        <w:rPr>
          <w:rFonts w:ascii="Times New Roman" w:hAnsi="Times New Roman" w:cs="Times New Roman"/>
        </w:rPr>
      </w:pPr>
      <w:r w:rsidRPr="00E24B4C">
        <w:rPr>
          <w:rFonts w:ascii="Times New Roman" w:hAnsi="Times New Roman" w:cs="Times New Roman"/>
        </w:rPr>
        <w:lastRenderedPageBreak/>
        <w:t xml:space="preserve">Mandal B, Suzuki K, 2002. “Arsenic round the world: a review” </w:t>
      </w:r>
      <w:r w:rsidRPr="00E24B4C">
        <w:rPr>
          <w:rFonts w:ascii="Times New Roman" w:hAnsi="Times New Roman" w:cs="Times New Roman"/>
          <w:i/>
        </w:rPr>
        <w:t xml:space="preserve">Talanta </w:t>
      </w:r>
      <w:r w:rsidRPr="00E24B4C">
        <w:rPr>
          <w:rFonts w:ascii="Times New Roman" w:hAnsi="Times New Roman" w:cs="Times New Roman"/>
        </w:rPr>
        <w:t xml:space="preserve">58: 201-235. </w:t>
      </w:r>
    </w:p>
    <w:p w14:paraId="673317A3" w14:textId="77777777" w:rsidR="00A122C2" w:rsidRPr="00E24B4C" w:rsidRDefault="00A122C2" w:rsidP="00E24B4C">
      <w:pPr>
        <w:spacing w:line="276" w:lineRule="auto"/>
        <w:rPr>
          <w:rFonts w:ascii="Times New Roman" w:hAnsi="Times New Roman" w:cs="Times New Roman"/>
        </w:rPr>
      </w:pPr>
      <w:r w:rsidRPr="00E24B4C">
        <w:rPr>
          <w:rFonts w:ascii="Times New Roman" w:hAnsi="Times New Roman" w:cs="Times New Roman"/>
        </w:rPr>
        <w:t xml:space="preserve">Nagajyoti PC, Lee KD, Sreekanth TVM, 2010. “Heavy metals, occurrence and toxicity for plants: a review.” </w:t>
      </w:r>
      <w:r w:rsidRPr="00E24B4C">
        <w:rPr>
          <w:rFonts w:ascii="Times New Roman" w:hAnsi="Times New Roman" w:cs="Times New Roman"/>
          <w:i/>
        </w:rPr>
        <w:t xml:space="preserve">Environ Chem Lett </w:t>
      </w:r>
      <w:r w:rsidRPr="00E24B4C">
        <w:rPr>
          <w:rFonts w:ascii="Times New Roman" w:hAnsi="Times New Roman" w:cs="Times New Roman"/>
        </w:rPr>
        <w:t>8: 199-216.</w:t>
      </w:r>
    </w:p>
    <w:p w14:paraId="2E1EC7AB" w14:textId="77777777" w:rsidR="002934F0" w:rsidRPr="00E24B4C" w:rsidRDefault="002934F0" w:rsidP="00E24B4C">
      <w:pPr>
        <w:spacing w:after="0" w:line="276" w:lineRule="auto"/>
        <w:rPr>
          <w:rFonts w:ascii="Times New Roman" w:eastAsia="Times New Roman" w:hAnsi="Times New Roman" w:cs="Times New Roman"/>
          <w:sz w:val="24"/>
          <w:szCs w:val="24"/>
        </w:rPr>
      </w:pPr>
      <w:r w:rsidRPr="00E24B4C">
        <w:rPr>
          <w:rFonts w:ascii="Times New Roman" w:eastAsia="Times New Roman" w:hAnsi="Times New Roman" w:cs="Times New Roman"/>
          <w:bCs/>
          <w:color w:val="222222"/>
          <w:shd w:val="clear" w:color="auto" w:fill="FFFFFF"/>
        </w:rPr>
        <w:t xml:space="preserve">O’Connor T, 2002. “National distribution of chemical concentrations in mussels and oysters in the USA.” </w:t>
      </w:r>
      <w:r w:rsidRPr="00E24B4C">
        <w:rPr>
          <w:rFonts w:ascii="Times New Roman" w:eastAsia="Times New Roman" w:hAnsi="Times New Roman" w:cs="Times New Roman"/>
          <w:bCs/>
          <w:i/>
          <w:color w:val="222222"/>
          <w:shd w:val="clear" w:color="auto" w:fill="FFFFFF"/>
        </w:rPr>
        <w:t>Marine Environmental Research</w:t>
      </w:r>
      <w:r w:rsidRPr="00E24B4C">
        <w:rPr>
          <w:rFonts w:ascii="Times New Roman" w:eastAsia="Times New Roman" w:hAnsi="Times New Roman" w:cs="Times New Roman"/>
          <w:bCs/>
          <w:color w:val="222222"/>
          <w:shd w:val="clear" w:color="auto" w:fill="FFFFFF"/>
        </w:rPr>
        <w:t xml:space="preserve"> 53: 117-143.</w:t>
      </w:r>
    </w:p>
    <w:p w14:paraId="6DDEC3D5" w14:textId="77777777" w:rsidR="002934F0" w:rsidRPr="00E24B4C" w:rsidRDefault="002934F0" w:rsidP="00E24B4C">
      <w:pPr>
        <w:spacing w:after="0" w:line="276" w:lineRule="auto"/>
        <w:rPr>
          <w:rFonts w:ascii="Times New Roman" w:eastAsia="Times New Roman" w:hAnsi="Times New Roman" w:cs="Times New Roman"/>
          <w:sz w:val="24"/>
          <w:szCs w:val="24"/>
        </w:rPr>
      </w:pPr>
    </w:p>
    <w:p w14:paraId="160BC4FB"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r w:rsidRPr="00E24B4C">
        <w:rPr>
          <w:rFonts w:ascii="Times New Roman" w:eastAsia="Times New Roman" w:hAnsi="Times New Roman" w:cs="Times New Roman"/>
          <w:color w:val="222222"/>
          <w:shd w:val="clear" w:color="auto" w:fill="FFFFFF"/>
        </w:rPr>
        <w:t>Pan K, Wang W, 2011.  “Trace metal contamination in estuarine and coastal environments in China.” Science of the Total Env. 421-422: 3-16.</w:t>
      </w:r>
    </w:p>
    <w:p w14:paraId="5C909BBC" w14:textId="77777777" w:rsidR="002934F0" w:rsidRPr="00E24B4C" w:rsidRDefault="002934F0" w:rsidP="00E24B4C">
      <w:pPr>
        <w:spacing w:after="0" w:line="276" w:lineRule="auto"/>
        <w:rPr>
          <w:rFonts w:ascii="Times New Roman" w:eastAsia="Times New Roman" w:hAnsi="Times New Roman" w:cs="Times New Roman"/>
          <w:color w:val="222222"/>
          <w:shd w:val="clear" w:color="auto" w:fill="FFFFFF"/>
        </w:rPr>
      </w:pPr>
    </w:p>
    <w:p w14:paraId="32B3713C" w14:textId="77777777" w:rsidR="002934F0" w:rsidRPr="00E24B4C" w:rsidRDefault="002934F0" w:rsidP="00E24B4C">
      <w:pPr>
        <w:spacing w:line="276" w:lineRule="auto"/>
        <w:rPr>
          <w:rFonts w:ascii="Times New Roman" w:hAnsi="Times New Roman" w:cs="Times New Roman"/>
        </w:rPr>
      </w:pPr>
      <w:r w:rsidRPr="00E24B4C">
        <w:rPr>
          <w:rFonts w:ascii="Times New Roman" w:hAnsi="Times New Roman" w:cs="Times New Roman"/>
        </w:rPr>
        <w:t xml:space="preserve">Proum S, et al., 2016. “Metal accumulation in the tissues and shells of </w:t>
      </w:r>
      <w:r w:rsidRPr="00E24B4C">
        <w:rPr>
          <w:rFonts w:ascii="Times New Roman" w:hAnsi="Times New Roman" w:cs="Times New Roman"/>
          <w:i/>
        </w:rPr>
        <w:t xml:space="preserve">Indothais gradata </w:t>
      </w:r>
      <w:r w:rsidRPr="00E24B4C">
        <w:rPr>
          <w:rFonts w:ascii="Times New Roman" w:hAnsi="Times New Roman" w:cs="Times New Roman"/>
        </w:rPr>
        <w:t xml:space="preserve">snails inhabiting soft and hard substrata in an acidified tropical estuary (Brunei, South East Asia)” </w:t>
      </w:r>
      <w:r w:rsidRPr="00E24B4C">
        <w:rPr>
          <w:rFonts w:ascii="Times New Roman" w:hAnsi="Times New Roman" w:cs="Times New Roman"/>
          <w:i/>
        </w:rPr>
        <w:t xml:space="preserve">Regional Studies in Marine Science </w:t>
      </w:r>
      <w:r w:rsidRPr="00E24B4C">
        <w:rPr>
          <w:rFonts w:ascii="Times New Roman" w:hAnsi="Times New Roman" w:cs="Times New Roman"/>
        </w:rPr>
        <w:t>8: 487:497.</w:t>
      </w:r>
    </w:p>
    <w:p w14:paraId="3F513FB3" w14:textId="4C1C3E71" w:rsidR="00E24B4C" w:rsidRPr="00E24B4C" w:rsidRDefault="00E24B4C" w:rsidP="00E24B4C">
      <w:pPr>
        <w:spacing w:line="276" w:lineRule="auto"/>
        <w:rPr>
          <w:rFonts w:ascii="Times New Roman" w:hAnsi="Times New Roman" w:cs="Times New Roman"/>
        </w:rPr>
      </w:pPr>
      <w:r w:rsidRPr="00E24B4C">
        <w:rPr>
          <w:rFonts w:ascii="Times New Roman" w:hAnsi="Times New Roman" w:cs="Times New Roman"/>
        </w:rPr>
        <w:t xml:space="preserve">Santos S, et al., 2015. “Selenium contaminated waters: An overview of analytical methods, treatment options and recent advances in sorption methods.” </w:t>
      </w:r>
      <w:r w:rsidRPr="00E24B4C">
        <w:rPr>
          <w:rFonts w:ascii="Times New Roman" w:hAnsi="Times New Roman" w:cs="Times New Roman"/>
          <w:i/>
        </w:rPr>
        <w:t xml:space="preserve">Science of the Total Environment </w:t>
      </w:r>
      <w:r w:rsidRPr="00E24B4C">
        <w:rPr>
          <w:rFonts w:ascii="Times New Roman" w:hAnsi="Times New Roman" w:cs="Times New Roman"/>
        </w:rPr>
        <w:t>521-522: 246-260.</w:t>
      </w:r>
    </w:p>
    <w:p w14:paraId="290BE0E4" w14:textId="77777777" w:rsidR="002934F0" w:rsidRPr="00E24B4C" w:rsidRDefault="002934F0" w:rsidP="00E24B4C">
      <w:pPr>
        <w:spacing w:after="0" w:line="276" w:lineRule="auto"/>
        <w:rPr>
          <w:rFonts w:ascii="Times New Roman" w:eastAsia="Times New Roman" w:hAnsi="Times New Roman" w:cs="Times New Roman"/>
          <w:bCs/>
          <w:color w:val="222222"/>
          <w:shd w:val="clear" w:color="auto" w:fill="FFFFFF"/>
        </w:rPr>
      </w:pPr>
      <w:r w:rsidRPr="00E24B4C">
        <w:rPr>
          <w:rFonts w:ascii="Times New Roman" w:eastAsia="Times New Roman" w:hAnsi="Times New Roman" w:cs="Times New Roman"/>
          <w:bCs/>
          <w:color w:val="222222"/>
          <w:shd w:val="clear" w:color="auto" w:fill="FFFFFF"/>
        </w:rPr>
        <w:t xml:space="preserve">Schindler D, et al., 2006. “A review of anthropogenic sources of nitrogen and their effects on Canadian aquatic ecosystems.” </w:t>
      </w:r>
      <w:r w:rsidRPr="00E24B4C">
        <w:rPr>
          <w:rFonts w:ascii="Times New Roman" w:eastAsia="Times New Roman" w:hAnsi="Times New Roman" w:cs="Times New Roman"/>
          <w:bCs/>
          <w:i/>
          <w:color w:val="222222"/>
          <w:shd w:val="clear" w:color="auto" w:fill="FFFFFF"/>
        </w:rPr>
        <w:t>Biogeochemistry</w:t>
      </w:r>
      <w:r w:rsidRPr="00E24B4C">
        <w:rPr>
          <w:rFonts w:ascii="Times New Roman" w:eastAsia="Times New Roman" w:hAnsi="Times New Roman" w:cs="Times New Roman"/>
          <w:bCs/>
          <w:color w:val="222222"/>
          <w:shd w:val="clear" w:color="auto" w:fill="FFFFFF"/>
        </w:rPr>
        <w:t xml:space="preserve"> 79: 25-44.</w:t>
      </w:r>
    </w:p>
    <w:p w14:paraId="47BF595A" w14:textId="77777777" w:rsidR="002934F0" w:rsidRPr="00E24B4C" w:rsidRDefault="002934F0" w:rsidP="00E24B4C">
      <w:pPr>
        <w:spacing w:after="0" w:line="276" w:lineRule="auto"/>
        <w:rPr>
          <w:rFonts w:ascii="Times New Roman" w:eastAsia="Times New Roman" w:hAnsi="Times New Roman" w:cs="Times New Roman"/>
          <w:sz w:val="24"/>
          <w:szCs w:val="24"/>
        </w:rPr>
      </w:pPr>
    </w:p>
    <w:p w14:paraId="12D3B953" w14:textId="77777777" w:rsidR="002934F0" w:rsidRPr="00E24B4C" w:rsidRDefault="002934F0" w:rsidP="00E24B4C">
      <w:pPr>
        <w:spacing w:line="276" w:lineRule="auto"/>
        <w:rPr>
          <w:rFonts w:ascii="Times New Roman" w:hAnsi="Times New Roman" w:cs="Times New Roman"/>
        </w:rPr>
      </w:pPr>
      <w:r w:rsidRPr="00E24B4C">
        <w:rPr>
          <w:rFonts w:ascii="Times New Roman" w:hAnsi="Times New Roman" w:cs="Times New Roman"/>
        </w:rPr>
        <w:t xml:space="preserve">Storelli MM, 2008. “Potential human health risks from metals (Hg, Cd, and Pb) and polychlorinated biphenyls (PCBs) vis seafood consumption: Estimation of target hazard quotients (THQs) and toxic equivalents (TEQs).” </w:t>
      </w:r>
      <w:r w:rsidRPr="00E24B4C">
        <w:rPr>
          <w:rFonts w:ascii="Times New Roman" w:hAnsi="Times New Roman" w:cs="Times New Roman"/>
          <w:i/>
        </w:rPr>
        <w:t xml:space="preserve">Food and Chemical Toxicology </w:t>
      </w:r>
      <w:r w:rsidRPr="00E24B4C">
        <w:rPr>
          <w:rFonts w:ascii="Times New Roman" w:hAnsi="Times New Roman" w:cs="Times New Roman"/>
        </w:rPr>
        <w:t>46: 2782-2788.</w:t>
      </w:r>
    </w:p>
    <w:p w14:paraId="5F7960A5" w14:textId="77777777" w:rsidR="00AA620B" w:rsidRPr="00E24B4C" w:rsidRDefault="00AA620B" w:rsidP="00E24B4C">
      <w:pPr>
        <w:spacing w:line="276" w:lineRule="auto"/>
        <w:rPr>
          <w:rFonts w:ascii="Times New Roman" w:hAnsi="Times New Roman" w:cs="Times New Roman"/>
        </w:rPr>
      </w:pPr>
      <w:r w:rsidRPr="00E24B4C">
        <w:rPr>
          <w:rFonts w:ascii="Times New Roman" w:hAnsi="Times New Roman" w:cs="Times New Roman"/>
        </w:rPr>
        <w:t xml:space="preserve">Sunda WG and Huntsman SA, 2000.  “Effect of Zn, Mn, and Fe on Cd accumulation in phytoplankton: Implications for oceanic Cd cycling.” </w:t>
      </w:r>
      <w:r w:rsidRPr="00E24B4C">
        <w:rPr>
          <w:rFonts w:ascii="Times New Roman" w:hAnsi="Times New Roman" w:cs="Times New Roman"/>
          <w:i/>
        </w:rPr>
        <w:t xml:space="preserve">Limnology and Oceanography </w:t>
      </w:r>
      <w:r w:rsidRPr="00E24B4C">
        <w:rPr>
          <w:rFonts w:ascii="Times New Roman" w:hAnsi="Times New Roman" w:cs="Times New Roman"/>
        </w:rPr>
        <w:t>45(7): 1501-1516.</w:t>
      </w:r>
    </w:p>
    <w:p w14:paraId="4E7D7C52" w14:textId="77777777" w:rsidR="00C703BD" w:rsidRPr="00E24B4C" w:rsidRDefault="002C1AFE" w:rsidP="00E24B4C">
      <w:pPr>
        <w:spacing w:line="276" w:lineRule="auto"/>
        <w:rPr>
          <w:rFonts w:ascii="Times New Roman" w:hAnsi="Times New Roman" w:cs="Times New Roman"/>
        </w:rPr>
      </w:pPr>
      <w:r w:rsidRPr="00E24B4C">
        <w:rPr>
          <w:rFonts w:ascii="Times New Roman" w:hAnsi="Times New Roman" w:cs="Times New Roman"/>
        </w:rPr>
        <w:t xml:space="preserve">Turekian </w:t>
      </w:r>
      <w:r w:rsidR="002A7CFD" w:rsidRPr="00E24B4C">
        <w:rPr>
          <w:rFonts w:ascii="Times New Roman" w:hAnsi="Times New Roman" w:cs="Times New Roman"/>
        </w:rPr>
        <w:t xml:space="preserve">K and Wedepohl K, 1961. “Distribution of the Elements in Some Major Units of the Earth’s Crust.” </w:t>
      </w:r>
      <w:r w:rsidR="002A7CFD" w:rsidRPr="00E24B4C">
        <w:rPr>
          <w:rFonts w:ascii="Times New Roman" w:hAnsi="Times New Roman" w:cs="Times New Roman"/>
          <w:i/>
        </w:rPr>
        <w:t xml:space="preserve">Geological Society of America </w:t>
      </w:r>
      <w:r w:rsidR="002A7CFD" w:rsidRPr="00E24B4C">
        <w:rPr>
          <w:rFonts w:ascii="Times New Roman" w:hAnsi="Times New Roman" w:cs="Times New Roman"/>
        </w:rPr>
        <w:t>72: 175-192.</w:t>
      </w:r>
    </w:p>
    <w:p w14:paraId="3F174296" w14:textId="77777777" w:rsidR="001B1133" w:rsidRPr="00E24B4C" w:rsidRDefault="001B1133" w:rsidP="00E24B4C">
      <w:pPr>
        <w:spacing w:line="276" w:lineRule="auto"/>
        <w:rPr>
          <w:rFonts w:ascii="Times New Roman" w:hAnsi="Times New Roman" w:cs="Times New Roman"/>
        </w:rPr>
      </w:pPr>
      <w:r w:rsidRPr="00E24B4C">
        <w:rPr>
          <w:rFonts w:ascii="Times New Roman" w:hAnsi="Times New Roman" w:cs="Times New Roman"/>
        </w:rPr>
        <w:t xml:space="preserve">Wahba ZZ, et al., 1993. “Protective effects of selenium on cadmium toxicity in rats: Role of altered toxicokinetics and metallothionein.” </w:t>
      </w:r>
      <w:r w:rsidRPr="00E24B4C">
        <w:rPr>
          <w:rFonts w:ascii="Times New Roman" w:hAnsi="Times New Roman" w:cs="Times New Roman"/>
          <w:i/>
        </w:rPr>
        <w:t>J. Toxicol. Environ. Health</w:t>
      </w:r>
      <w:r w:rsidRPr="00E24B4C">
        <w:rPr>
          <w:rFonts w:ascii="Times New Roman" w:hAnsi="Times New Roman" w:cs="Times New Roman"/>
        </w:rPr>
        <w:t xml:space="preserve"> 38: 171-182.</w:t>
      </w:r>
    </w:p>
    <w:p w14:paraId="7A624470" w14:textId="77777777" w:rsidR="00A665CD" w:rsidRPr="00E24B4C" w:rsidRDefault="00A665CD" w:rsidP="00E24B4C">
      <w:pPr>
        <w:spacing w:line="276" w:lineRule="auto"/>
        <w:rPr>
          <w:rFonts w:ascii="Times New Roman" w:hAnsi="Times New Roman" w:cs="Times New Roman"/>
        </w:rPr>
      </w:pPr>
      <w:r w:rsidRPr="00E24B4C">
        <w:rPr>
          <w:rFonts w:ascii="Times New Roman" w:hAnsi="Times New Roman" w:cs="Times New Roman"/>
        </w:rPr>
        <w:t>WSDOT, 2007. “Highway System Plan Chapter – Pavement”</w:t>
      </w:r>
    </w:p>
    <w:sectPr w:rsidR="00A665CD" w:rsidRPr="00E24B4C" w:rsidSect="00AA620B">
      <w:footerReference w:type="default" r:id="rId14"/>
      <w:pgSz w:w="12240" w:h="15840"/>
      <w:pgMar w:top="720" w:right="1440" w:bottom="990" w:left="1440" w:header="720" w:footer="18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A68651" w14:textId="77777777" w:rsidR="00D16E68" w:rsidRDefault="00D16E68" w:rsidP="001F29F2">
      <w:pPr>
        <w:spacing w:after="0" w:line="240" w:lineRule="auto"/>
      </w:pPr>
      <w:r>
        <w:separator/>
      </w:r>
    </w:p>
  </w:endnote>
  <w:endnote w:type="continuationSeparator" w:id="0">
    <w:p w14:paraId="7B2CA3F5" w14:textId="77777777" w:rsidR="00D16E68" w:rsidRDefault="00D16E68" w:rsidP="001F29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5136779"/>
      <w:docPartObj>
        <w:docPartGallery w:val="Page Numbers (Bottom of Page)"/>
        <w:docPartUnique/>
      </w:docPartObj>
    </w:sdtPr>
    <w:sdtEndPr>
      <w:rPr>
        <w:noProof/>
      </w:rPr>
    </w:sdtEndPr>
    <w:sdtContent>
      <w:p w14:paraId="6C3557F2" w14:textId="77777777" w:rsidR="0077598F" w:rsidRDefault="0077598F">
        <w:pPr>
          <w:pStyle w:val="Footer"/>
          <w:jc w:val="center"/>
        </w:pPr>
        <w:r>
          <w:fldChar w:fldCharType="begin"/>
        </w:r>
        <w:r>
          <w:instrText xml:space="preserve"> PAGE   \* MERGEFORMAT </w:instrText>
        </w:r>
        <w:r>
          <w:fldChar w:fldCharType="separate"/>
        </w:r>
        <w:r w:rsidR="00EB4A97">
          <w:rPr>
            <w:noProof/>
          </w:rPr>
          <w:t>1</w:t>
        </w:r>
        <w:r>
          <w:rPr>
            <w:noProof/>
          </w:rPr>
          <w:fldChar w:fldCharType="end"/>
        </w:r>
      </w:p>
    </w:sdtContent>
  </w:sdt>
  <w:p w14:paraId="557BD394" w14:textId="77777777" w:rsidR="0077598F" w:rsidRDefault="007759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334E8" w14:textId="77777777" w:rsidR="00D16E68" w:rsidRDefault="00D16E68" w:rsidP="001F29F2">
      <w:pPr>
        <w:spacing w:after="0" w:line="240" w:lineRule="auto"/>
      </w:pPr>
      <w:r>
        <w:separator/>
      </w:r>
    </w:p>
  </w:footnote>
  <w:footnote w:type="continuationSeparator" w:id="0">
    <w:p w14:paraId="2D2CABC3" w14:textId="77777777" w:rsidR="00D16E68" w:rsidRDefault="00D16E68" w:rsidP="001F29F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4F0"/>
    <w:rsid w:val="00030AF8"/>
    <w:rsid w:val="000640CC"/>
    <w:rsid w:val="00071A7F"/>
    <w:rsid w:val="000932C3"/>
    <w:rsid w:val="000C500F"/>
    <w:rsid w:val="000C5B76"/>
    <w:rsid w:val="001821ED"/>
    <w:rsid w:val="001B1133"/>
    <w:rsid w:val="001C4CF1"/>
    <w:rsid w:val="001F29F2"/>
    <w:rsid w:val="00204303"/>
    <w:rsid w:val="0023427E"/>
    <w:rsid w:val="0024419D"/>
    <w:rsid w:val="0026217C"/>
    <w:rsid w:val="00262B9C"/>
    <w:rsid w:val="002934F0"/>
    <w:rsid w:val="002A7CFD"/>
    <w:rsid w:val="002C1AFE"/>
    <w:rsid w:val="002D3F28"/>
    <w:rsid w:val="002E4BD6"/>
    <w:rsid w:val="00323560"/>
    <w:rsid w:val="003467E6"/>
    <w:rsid w:val="003957F5"/>
    <w:rsid w:val="00396249"/>
    <w:rsid w:val="003D37EE"/>
    <w:rsid w:val="00471B40"/>
    <w:rsid w:val="00473188"/>
    <w:rsid w:val="004A790D"/>
    <w:rsid w:val="004D7E1E"/>
    <w:rsid w:val="00544F41"/>
    <w:rsid w:val="0055442C"/>
    <w:rsid w:val="00601488"/>
    <w:rsid w:val="00640106"/>
    <w:rsid w:val="006558F1"/>
    <w:rsid w:val="00690D4E"/>
    <w:rsid w:val="006A35D4"/>
    <w:rsid w:val="006A670F"/>
    <w:rsid w:val="00705C12"/>
    <w:rsid w:val="00714300"/>
    <w:rsid w:val="00727DC2"/>
    <w:rsid w:val="0077598F"/>
    <w:rsid w:val="007C6C2F"/>
    <w:rsid w:val="007E4DCD"/>
    <w:rsid w:val="007F2B7B"/>
    <w:rsid w:val="00813EF7"/>
    <w:rsid w:val="00817538"/>
    <w:rsid w:val="00832D83"/>
    <w:rsid w:val="0085491D"/>
    <w:rsid w:val="008923CA"/>
    <w:rsid w:val="008F62AC"/>
    <w:rsid w:val="00917EDF"/>
    <w:rsid w:val="00945AF4"/>
    <w:rsid w:val="00983C5C"/>
    <w:rsid w:val="009A7BEA"/>
    <w:rsid w:val="009B78B6"/>
    <w:rsid w:val="00A122C2"/>
    <w:rsid w:val="00A2258C"/>
    <w:rsid w:val="00A665CD"/>
    <w:rsid w:val="00A71A11"/>
    <w:rsid w:val="00A865CC"/>
    <w:rsid w:val="00AA620B"/>
    <w:rsid w:val="00AF0F99"/>
    <w:rsid w:val="00B86277"/>
    <w:rsid w:val="00B94D6D"/>
    <w:rsid w:val="00C34265"/>
    <w:rsid w:val="00C571CE"/>
    <w:rsid w:val="00C703BD"/>
    <w:rsid w:val="00CF318B"/>
    <w:rsid w:val="00D16E68"/>
    <w:rsid w:val="00D620DB"/>
    <w:rsid w:val="00D820E0"/>
    <w:rsid w:val="00E01D58"/>
    <w:rsid w:val="00E2230F"/>
    <w:rsid w:val="00E24B4C"/>
    <w:rsid w:val="00E8384E"/>
    <w:rsid w:val="00E90138"/>
    <w:rsid w:val="00EB4A97"/>
    <w:rsid w:val="00EC0BBC"/>
    <w:rsid w:val="00EC1A8C"/>
    <w:rsid w:val="00ED7C56"/>
    <w:rsid w:val="00F91E53"/>
    <w:rsid w:val="00FA2E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028A302"/>
  <w15:docId w15:val="{742A78EE-D51A-40A2-A5D5-B4277713F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34F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2934F0"/>
    <w:pPr>
      <w:spacing w:after="200" w:line="240" w:lineRule="auto"/>
    </w:pPr>
    <w:rPr>
      <w:i/>
      <w:iCs/>
      <w:color w:val="44546A" w:themeColor="text2"/>
      <w:sz w:val="18"/>
      <w:szCs w:val="18"/>
    </w:rPr>
  </w:style>
  <w:style w:type="table" w:styleId="TableGrid">
    <w:name w:val="Table Grid"/>
    <w:basedOn w:val="TableNormal"/>
    <w:uiPriority w:val="39"/>
    <w:rsid w:val="002934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F2B7B"/>
    <w:rPr>
      <w:color w:val="0563C1" w:themeColor="hyperlink"/>
      <w:u w:val="single"/>
    </w:rPr>
  </w:style>
  <w:style w:type="paragraph" w:styleId="Header">
    <w:name w:val="header"/>
    <w:basedOn w:val="Normal"/>
    <w:link w:val="HeaderChar"/>
    <w:uiPriority w:val="99"/>
    <w:unhideWhenUsed/>
    <w:rsid w:val="001F29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9F2"/>
  </w:style>
  <w:style w:type="paragraph" w:styleId="Footer">
    <w:name w:val="footer"/>
    <w:basedOn w:val="Normal"/>
    <w:link w:val="FooterChar"/>
    <w:uiPriority w:val="99"/>
    <w:unhideWhenUsed/>
    <w:rsid w:val="001F29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9F2"/>
  </w:style>
  <w:style w:type="paragraph" w:styleId="BalloonText">
    <w:name w:val="Balloon Text"/>
    <w:basedOn w:val="Normal"/>
    <w:link w:val="BalloonTextChar"/>
    <w:uiPriority w:val="99"/>
    <w:semiHidden/>
    <w:unhideWhenUsed/>
    <w:rsid w:val="000C50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00F"/>
    <w:rPr>
      <w:rFonts w:ascii="Segoe UI" w:hAnsi="Segoe UI" w:cs="Segoe UI"/>
      <w:sz w:val="18"/>
      <w:szCs w:val="18"/>
    </w:rPr>
  </w:style>
  <w:style w:type="character" w:styleId="CommentReference">
    <w:name w:val="annotation reference"/>
    <w:basedOn w:val="DefaultParagraphFont"/>
    <w:uiPriority w:val="99"/>
    <w:semiHidden/>
    <w:unhideWhenUsed/>
    <w:rsid w:val="00727DC2"/>
    <w:rPr>
      <w:sz w:val="18"/>
      <w:szCs w:val="18"/>
    </w:rPr>
  </w:style>
  <w:style w:type="paragraph" w:styleId="CommentText">
    <w:name w:val="annotation text"/>
    <w:basedOn w:val="Normal"/>
    <w:link w:val="CommentTextChar"/>
    <w:uiPriority w:val="99"/>
    <w:semiHidden/>
    <w:unhideWhenUsed/>
    <w:rsid w:val="00727DC2"/>
    <w:pPr>
      <w:spacing w:line="240" w:lineRule="auto"/>
    </w:pPr>
    <w:rPr>
      <w:sz w:val="24"/>
      <w:szCs w:val="24"/>
    </w:rPr>
  </w:style>
  <w:style w:type="character" w:customStyle="1" w:styleId="CommentTextChar">
    <w:name w:val="Comment Text Char"/>
    <w:basedOn w:val="DefaultParagraphFont"/>
    <w:link w:val="CommentText"/>
    <w:uiPriority w:val="99"/>
    <w:semiHidden/>
    <w:rsid w:val="00727DC2"/>
    <w:rPr>
      <w:sz w:val="24"/>
      <w:szCs w:val="24"/>
    </w:rPr>
  </w:style>
  <w:style w:type="paragraph" w:styleId="CommentSubject">
    <w:name w:val="annotation subject"/>
    <w:basedOn w:val="CommentText"/>
    <w:next w:val="CommentText"/>
    <w:link w:val="CommentSubjectChar"/>
    <w:uiPriority w:val="99"/>
    <w:semiHidden/>
    <w:unhideWhenUsed/>
    <w:rsid w:val="00727DC2"/>
    <w:rPr>
      <w:b/>
      <w:bCs/>
      <w:sz w:val="20"/>
      <w:szCs w:val="20"/>
    </w:rPr>
  </w:style>
  <w:style w:type="character" w:customStyle="1" w:styleId="CommentSubjectChar">
    <w:name w:val="Comment Subject Char"/>
    <w:basedOn w:val="CommentTextChar"/>
    <w:link w:val="CommentSubject"/>
    <w:uiPriority w:val="99"/>
    <w:semiHidden/>
    <w:rsid w:val="00727DC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yperlink" Target="mailto:mandovi@uw.edu" TargetMode="Externa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drew\OneDrive\University%20of%20Washington\Senior%20Thesis\Thesis_Data_v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Selenium Enrichment Factors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Pt>
            <c:idx val="4"/>
            <c:invertIfNegative val="0"/>
            <c:bubble3D val="0"/>
            <c:spPr>
              <a:solidFill>
                <a:schemeClr val="tx2">
                  <a:lumMod val="40000"/>
                  <a:lumOff val="60000"/>
                </a:schemeClr>
              </a:solidFill>
              <a:ln>
                <a:noFill/>
              </a:ln>
              <a:effectLst/>
            </c:spPr>
          </c:dPt>
          <c:dPt>
            <c:idx val="5"/>
            <c:invertIfNegative val="0"/>
            <c:bubble3D val="0"/>
            <c:spPr>
              <a:solidFill>
                <a:schemeClr val="tx2">
                  <a:lumMod val="40000"/>
                  <a:lumOff val="60000"/>
                </a:schemeClr>
              </a:solidFill>
              <a:ln>
                <a:noFill/>
              </a:ln>
              <a:effectLst/>
            </c:spPr>
          </c:dPt>
          <c:cat>
            <c:strRef>
              <c:f>Data!$A$51:$A$61</c:f>
              <c:strCache>
                <c:ptCount val="11"/>
                <c:pt idx="0">
                  <c:v>LW - NW 520 bridge</c:v>
                </c:pt>
                <c:pt idx="1">
                  <c:v>LW - SE 520 bridge</c:v>
                </c:pt>
                <c:pt idx="2">
                  <c:v>LW - i90 bridge near Mercer</c:v>
                </c:pt>
                <c:pt idx="3">
                  <c:v>Ship Canal under 99</c:v>
                </c:pt>
                <c:pt idx="4">
                  <c:v>CONTROL: LW - St. Ed Park</c:v>
                </c:pt>
                <c:pt idx="5">
                  <c:v>CONTROL: SS - Case Inlet</c:v>
                </c:pt>
                <c:pt idx="6">
                  <c:v>SS - Nisqually R. Delta</c:v>
                </c:pt>
                <c:pt idx="7">
                  <c:v>SS - Henderson Inlet</c:v>
                </c:pt>
                <c:pt idx="8">
                  <c:v>SS - Budd Inlet </c:v>
                </c:pt>
                <c:pt idx="9">
                  <c:v>INV - Henderson Inlet</c:v>
                </c:pt>
                <c:pt idx="10">
                  <c:v>INV CONTROL: Case Inlet</c:v>
                </c:pt>
              </c:strCache>
            </c:strRef>
          </c:cat>
          <c:val>
            <c:numRef>
              <c:f>Data!$T$51:$T$61</c:f>
              <c:numCache>
                <c:formatCode>General</c:formatCode>
                <c:ptCount val="11"/>
                <c:pt idx="0">
                  <c:v>2452.2779060157122</c:v>
                </c:pt>
                <c:pt idx="1">
                  <c:v>2758.2307527644593</c:v>
                </c:pt>
                <c:pt idx="2">
                  <c:v>4876.4389940418123</c:v>
                </c:pt>
                <c:pt idx="3">
                  <c:v>3666.0817068920401</c:v>
                </c:pt>
                <c:pt idx="4">
                  <c:v>2647.7369804123896</c:v>
                </c:pt>
                <c:pt idx="5">
                  <c:v>2621.8228253042957</c:v>
                </c:pt>
                <c:pt idx="6">
                  <c:v>3333.8505090841268</c:v>
                </c:pt>
                <c:pt idx="7">
                  <c:v>2509.7273356435649</c:v>
                </c:pt>
                <c:pt idx="8">
                  <c:v>1955.013325915922</c:v>
                </c:pt>
                <c:pt idx="9">
                  <c:v>844.71331058020473</c:v>
                </c:pt>
                <c:pt idx="10">
                  <c:v>0</c:v>
                </c:pt>
              </c:numCache>
            </c:numRef>
          </c:val>
          <c:extLst xmlns:c16r2="http://schemas.microsoft.com/office/drawing/2015/06/chart">
            <c:ext xmlns:c16="http://schemas.microsoft.com/office/drawing/2014/chart" uri="{C3380CC4-5D6E-409C-BE32-E72D297353CC}">
              <c16:uniqueId val="{00000000-1BE8-48CB-88AC-1670FBC571AB}"/>
            </c:ext>
          </c:extLst>
        </c:ser>
        <c:dLbls>
          <c:showLegendKey val="0"/>
          <c:showVal val="0"/>
          <c:showCatName val="0"/>
          <c:showSerName val="0"/>
          <c:showPercent val="0"/>
          <c:showBubbleSize val="0"/>
        </c:dLbls>
        <c:gapWidth val="77"/>
        <c:overlap val="-27"/>
        <c:axId val="473464704"/>
        <c:axId val="473465824"/>
      </c:barChart>
      <c:catAx>
        <c:axId val="473464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5824"/>
        <c:crosses val="autoZero"/>
        <c:auto val="1"/>
        <c:lblAlgn val="ctr"/>
        <c:lblOffset val="100"/>
        <c:noMultiLvlLbl val="0"/>
      </c:catAx>
      <c:valAx>
        <c:axId val="473465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47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15E8D-4D91-439A-BDBB-54CA28107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5565</Words>
  <Characters>31727</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M</dc:creator>
  <cp:keywords/>
  <dc:description/>
  <cp:lastModifiedBy>Maureen D. Nolan</cp:lastModifiedBy>
  <cp:revision>2</cp:revision>
  <cp:lastPrinted>2019-05-28T18:55:00Z</cp:lastPrinted>
  <dcterms:created xsi:type="dcterms:W3CDTF">2019-10-16T19:02:00Z</dcterms:created>
  <dcterms:modified xsi:type="dcterms:W3CDTF">2019-10-16T19:02:00Z</dcterms:modified>
</cp:coreProperties>
</file>