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FE671C" w14:textId="77777777" w:rsidR="009D2F13" w:rsidRDefault="00612736">
      <w:pPr>
        <w:spacing w:before="240" w:after="240" w:line="48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  </w:t>
      </w:r>
    </w:p>
    <w:p w14:paraId="4CC66434" w14:textId="77777777" w:rsidR="009D2F13" w:rsidRDefault="009D2F13">
      <w:pPr>
        <w:spacing w:before="240" w:after="240" w:line="480" w:lineRule="auto"/>
        <w:ind w:left="0" w:hanging="2"/>
        <w:jc w:val="center"/>
        <w:rPr>
          <w:rFonts w:ascii="Times New Roman" w:eastAsia="Times New Roman" w:hAnsi="Times New Roman" w:cs="Times New Roman"/>
          <w:color w:val="2E2E2E"/>
          <w:sz w:val="24"/>
          <w:szCs w:val="24"/>
        </w:rPr>
      </w:pPr>
    </w:p>
    <w:p w14:paraId="71FF0038" w14:textId="77777777" w:rsidR="009D2F13" w:rsidRDefault="009D2F13">
      <w:pPr>
        <w:spacing w:before="240" w:after="240" w:line="480" w:lineRule="auto"/>
        <w:ind w:left="0" w:hanging="2"/>
        <w:jc w:val="center"/>
        <w:rPr>
          <w:rFonts w:ascii="Times New Roman" w:eastAsia="Times New Roman" w:hAnsi="Times New Roman" w:cs="Times New Roman"/>
          <w:color w:val="2E2E2E"/>
          <w:sz w:val="24"/>
          <w:szCs w:val="24"/>
        </w:rPr>
      </w:pPr>
    </w:p>
    <w:p w14:paraId="5EB862AC" w14:textId="77777777" w:rsidR="009D2F13" w:rsidRDefault="009D2F13">
      <w:pPr>
        <w:spacing w:before="240" w:after="240" w:line="480" w:lineRule="auto"/>
        <w:ind w:left="0" w:hanging="2"/>
        <w:jc w:val="center"/>
        <w:rPr>
          <w:rFonts w:ascii="Times New Roman" w:eastAsia="Times New Roman" w:hAnsi="Times New Roman" w:cs="Times New Roman"/>
          <w:color w:val="2E2E2E"/>
          <w:sz w:val="24"/>
          <w:szCs w:val="24"/>
        </w:rPr>
      </w:pPr>
    </w:p>
    <w:p w14:paraId="62AE43EA" w14:textId="77777777" w:rsidR="009D2F13" w:rsidRDefault="00612736">
      <w:pPr>
        <w:spacing w:before="240" w:after="240" w:line="24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b/>
          <w:color w:val="2E2E2E"/>
          <w:sz w:val="24"/>
          <w:szCs w:val="24"/>
        </w:rPr>
        <w:t xml:space="preserve">The effect of </w:t>
      </w:r>
      <w:r>
        <w:rPr>
          <w:rFonts w:ascii="Times New Roman" w:eastAsia="Times New Roman" w:hAnsi="Times New Roman" w:cs="Times New Roman"/>
          <w:b/>
          <w:i/>
          <w:color w:val="2E2E2E"/>
          <w:sz w:val="24"/>
          <w:szCs w:val="24"/>
        </w:rPr>
        <w:t>Crassostrea gigas</w:t>
      </w:r>
      <w:r>
        <w:rPr>
          <w:rFonts w:ascii="Times New Roman" w:eastAsia="Times New Roman" w:hAnsi="Times New Roman" w:cs="Times New Roman"/>
          <w:b/>
          <w:color w:val="2E2E2E"/>
          <w:sz w:val="24"/>
          <w:szCs w:val="24"/>
        </w:rPr>
        <w:t xml:space="preserve"> size on survival following Pacific Northwest heat dome</w:t>
      </w:r>
    </w:p>
    <w:p w14:paraId="52704345" w14:textId="77777777" w:rsidR="009D2F13" w:rsidRDefault="00612736">
      <w:pPr>
        <w:spacing w:before="240" w:after="240" w:line="24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 Brittany Miller</w:t>
      </w:r>
    </w:p>
    <w:p w14:paraId="37D1910C" w14:textId="77777777" w:rsidR="009D2F13" w:rsidRDefault="009D2F13">
      <w:pPr>
        <w:spacing w:before="240" w:after="240" w:line="240" w:lineRule="auto"/>
        <w:ind w:left="0" w:hanging="2"/>
        <w:jc w:val="center"/>
        <w:rPr>
          <w:rFonts w:ascii="Times New Roman" w:eastAsia="Times New Roman" w:hAnsi="Times New Roman" w:cs="Times New Roman"/>
          <w:color w:val="2E2E2E"/>
          <w:sz w:val="24"/>
          <w:szCs w:val="24"/>
        </w:rPr>
      </w:pPr>
    </w:p>
    <w:p w14:paraId="7DB6512C" w14:textId="77777777" w:rsidR="009D2F13" w:rsidRDefault="00612736">
      <w:pPr>
        <w:spacing w:before="240" w:after="240" w:line="24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FHL 470: Research in Marine Botany</w:t>
      </w:r>
    </w:p>
    <w:p w14:paraId="565500B1" w14:textId="77777777" w:rsidR="009D2F13" w:rsidRDefault="00612736">
      <w:pPr>
        <w:spacing w:before="240" w:after="240" w:line="24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May 27, 2022</w:t>
      </w:r>
    </w:p>
    <w:p w14:paraId="16085BF2" w14:textId="77777777" w:rsidR="009D2F13" w:rsidRDefault="009D2F13">
      <w:pPr>
        <w:spacing w:before="240" w:after="240" w:line="240" w:lineRule="auto"/>
        <w:ind w:left="0" w:hanging="2"/>
        <w:jc w:val="center"/>
        <w:rPr>
          <w:rFonts w:ascii="Times New Roman" w:eastAsia="Times New Roman" w:hAnsi="Times New Roman" w:cs="Times New Roman"/>
          <w:color w:val="2E2E2E"/>
          <w:sz w:val="24"/>
          <w:szCs w:val="24"/>
        </w:rPr>
      </w:pPr>
    </w:p>
    <w:p w14:paraId="59BC1DFE" w14:textId="77777777" w:rsidR="009D2F13" w:rsidRDefault="00612736">
      <w:pPr>
        <w:spacing w:before="240" w:after="240" w:line="24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Friday Harbor Labs, University of Washington</w:t>
      </w:r>
    </w:p>
    <w:p w14:paraId="20D77344" w14:textId="77777777" w:rsidR="009D2F13" w:rsidRDefault="009D2F13">
      <w:pPr>
        <w:spacing w:before="240" w:after="240" w:line="480" w:lineRule="auto"/>
        <w:ind w:left="0" w:hanging="2"/>
        <w:jc w:val="center"/>
        <w:rPr>
          <w:rFonts w:ascii="Times New Roman" w:eastAsia="Times New Roman" w:hAnsi="Times New Roman" w:cs="Times New Roman"/>
          <w:color w:val="2E2E2E"/>
          <w:sz w:val="24"/>
          <w:szCs w:val="24"/>
        </w:rPr>
      </w:pPr>
    </w:p>
    <w:p w14:paraId="046DB0F4" w14:textId="77777777" w:rsidR="009D2F13" w:rsidRDefault="009D2F13">
      <w:pPr>
        <w:spacing w:before="240" w:after="240" w:line="480" w:lineRule="auto"/>
        <w:ind w:left="0" w:hanging="2"/>
        <w:jc w:val="center"/>
        <w:rPr>
          <w:rFonts w:ascii="Times New Roman" w:eastAsia="Times New Roman" w:hAnsi="Times New Roman" w:cs="Times New Roman"/>
          <w:color w:val="2E2E2E"/>
          <w:sz w:val="24"/>
          <w:szCs w:val="24"/>
        </w:rPr>
      </w:pPr>
    </w:p>
    <w:p w14:paraId="7F2A2B6C" w14:textId="77777777" w:rsidR="009D2F13" w:rsidRDefault="009D2F13">
      <w:pPr>
        <w:spacing w:before="240" w:after="240" w:line="480" w:lineRule="auto"/>
        <w:ind w:left="0" w:hanging="2"/>
        <w:jc w:val="center"/>
        <w:rPr>
          <w:rFonts w:ascii="Times New Roman" w:eastAsia="Times New Roman" w:hAnsi="Times New Roman" w:cs="Times New Roman"/>
          <w:color w:val="2E2E2E"/>
          <w:sz w:val="24"/>
          <w:szCs w:val="24"/>
        </w:rPr>
      </w:pPr>
    </w:p>
    <w:p w14:paraId="0FD0C393" w14:textId="77777777" w:rsidR="009D2F13" w:rsidRDefault="009D2F13">
      <w:pPr>
        <w:spacing w:before="240" w:after="240" w:line="480" w:lineRule="auto"/>
        <w:ind w:left="0" w:hanging="2"/>
        <w:jc w:val="center"/>
        <w:rPr>
          <w:rFonts w:ascii="Times New Roman" w:eastAsia="Times New Roman" w:hAnsi="Times New Roman" w:cs="Times New Roman"/>
          <w:color w:val="2E2E2E"/>
          <w:sz w:val="24"/>
          <w:szCs w:val="24"/>
        </w:rPr>
      </w:pPr>
    </w:p>
    <w:p w14:paraId="56EBA343" w14:textId="77777777" w:rsidR="009D2F13" w:rsidRDefault="009D2F13">
      <w:pPr>
        <w:spacing w:before="240" w:after="240" w:line="480" w:lineRule="auto"/>
        <w:ind w:left="0" w:hanging="2"/>
        <w:jc w:val="center"/>
        <w:rPr>
          <w:rFonts w:ascii="Times New Roman" w:eastAsia="Times New Roman" w:hAnsi="Times New Roman" w:cs="Times New Roman"/>
          <w:color w:val="2E2E2E"/>
          <w:sz w:val="24"/>
          <w:szCs w:val="24"/>
        </w:rPr>
      </w:pPr>
    </w:p>
    <w:p w14:paraId="28E31869"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2B2C2A2B"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585A8C09"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24BB1C00" w14:textId="77777777" w:rsidR="009D2F13" w:rsidRDefault="00612736">
      <w:pPr>
        <w:spacing w:before="240" w:after="240" w:line="480" w:lineRule="auto"/>
        <w:ind w:left="0" w:hanging="2"/>
        <w:jc w:val="both"/>
        <w:rPr>
          <w:rFonts w:ascii="Times New Roman" w:eastAsia="Times New Roman" w:hAnsi="Times New Roman" w:cs="Times New Roman"/>
          <w:color w:val="2E2E2E"/>
          <w:sz w:val="24"/>
          <w:szCs w:val="24"/>
        </w:rPr>
      </w:pPr>
      <w:r>
        <w:rPr>
          <w:rFonts w:ascii="Times New Roman" w:eastAsia="Times New Roman" w:hAnsi="Times New Roman" w:cs="Times New Roman"/>
          <w:b/>
          <w:color w:val="2E2E2E"/>
          <w:sz w:val="24"/>
          <w:szCs w:val="24"/>
        </w:rPr>
        <w:lastRenderedPageBreak/>
        <w:t>Abstract</w:t>
      </w:r>
    </w:p>
    <w:p w14:paraId="392DE09A" w14:textId="77777777" w:rsidR="009D2F13" w:rsidRDefault="00612736">
      <w:pPr>
        <w:spacing w:before="240" w:after="240" w:line="480" w:lineRule="auto"/>
        <w:ind w:left="0" w:hanging="2"/>
        <w:jc w:val="both"/>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Following a heat dome event in late June- early July 2021, mass shellfish mortalities were reported in Washington State. It is important to study this mortality event given the economic and ecological value of shellfish, particularly in the context of clim</w:t>
      </w:r>
      <w:r>
        <w:rPr>
          <w:rFonts w:ascii="Times New Roman" w:eastAsia="Times New Roman" w:hAnsi="Times New Roman" w:cs="Times New Roman"/>
          <w:color w:val="2E2E2E"/>
          <w:sz w:val="24"/>
          <w:szCs w:val="24"/>
        </w:rPr>
        <w:t xml:space="preserve">ate change. We </w:t>
      </w:r>
      <w:r>
        <w:rPr>
          <w:rFonts w:ascii="Times New Roman" w:eastAsia="Times New Roman" w:hAnsi="Times New Roman" w:cs="Times New Roman"/>
          <w:color w:val="2E2E2E"/>
          <w:sz w:val="24"/>
          <w:szCs w:val="24"/>
        </w:rPr>
        <w:t>chose</w:t>
      </w:r>
      <w:r>
        <w:rPr>
          <w:rFonts w:ascii="Times New Roman" w:eastAsia="Times New Roman" w:hAnsi="Times New Roman" w:cs="Times New Roman"/>
          <w:color w:val="2E2E2E"/>
          <w:sz w:val="24"/>
          <w:szCs w:val="24"/>
        </w:rPr>
        <w:t xml:space="preserve"> to contribute to this research by surveying </w:t>
      </w:r>
      <w:r>
        <w:rPr>
          <w:rFonts w:ascii="Times New Roman" w:eastAsia="Times New Roman" w:hAnsi="Times New Roman" w:cs="Times New Roman"/>
          <w:i/>
          <w:color w:val="2E2E2E"/>
          <w:sz w:val="24"/>
          <w:szCs w:val="24"/>
        </w:rPr>
        <w:t>Crassostrea gigas</w:t>
      </w:r>
      <w:r>
        <w:rPr>
          <w:rFonts w:ascii="Times New Roman" w:eastAsia="Times New Roman" w:hAnsi="Times New Roman" w:cs="Times New Roman"/>
          <w:color w:val="2E2E2E"/>
          <w:sz w:val="24"/>
          <w:szCs w:val="24"/>
        </w:rPr>
        <w:t xml:space="preserve"> in San Juan Island, Washington, to estimate percent mortality and to investigate a relationship between size and survival following the heat dome. We surveyed four sites on </w:t>
      </w:r>
      <w:r>
        <w:rPr>
          <w:rFonts w:ascii="Times New Roman" w:eastAsia="Times New Roman" w:hAnsi="Times New Roman" w:cs="Times New Roman"/>
          <w:color w:val="2E2E2E"/>
          <w:sz w:val="24"/>
          <w:szCs w:val="24"/>
        </w:rPr>
        <w:t xml:space="preserve">San Juan Island, sampling 70 at </w:t>
      </w:r>
      <w:r>
        <w:rPr>
          <w:rFonts w:ascii="Times New Roman" w:eastAsia="Times New Roman" w:hAnsi="Times New Roman" w:cs="Times New Roman"/>
          <w:color w:val="2E2E2E"/>
          <w:sz w:val="24"/>
          <w:szCs w:val="24"/>
        </w:rPr>
        <w:t>each. We recorded</w:t>
      </w:r>
      <w:r>
        <w:rPr>
          <w:rFonts w:ascii="Times New Roman" w:eastAsia="Times New Roman" w:hAnsi="Times New Roman" w:cs="Times New Roman"/>
          <w:color w:val="2E2E2E"/>
          <w:sz w:val="24"/>
          <w:szCs w:val="24"/>
        </w:rPr>
        <w:t xml:space="preserve"> whether each individual was living or recently </w:t>
      </w:r>
      <w:r>
        <w:rPr>
          <w:rFonts w:ascii="Times New Roman" w:eastAsia="Times New Roman" w:hAnsi="Times New Roman" w:cs="Times New Roman"/>
          <w:color w:val="2E2E2E"/>
          <w:sz w:val="24"/>
          <w:szCs w:val="24"/>
        </w:rPr>
        <w:t>dead</w:t>
      </w:r>
      <w:r>
        <w:rPr>
          <w:rFonts w:ascii="Times New Roman" w:eastAsia="Times New Roman" w:hAnsi="Times New Roman" w:cs="Times New Roman"/>
          <w:color w:val="2E2E2E"/>
          <w:sz w:val="24"/>
          <w:szCs w:val="24"/>
        </w:rPr>
        <w:t>, and measured total shell length. We compiled the data and generated a logistic regression to model the relationship between size and survival, and calcul</w:t>
      </w:r>
      <w:r>
        <w:rPr>
          <w:rFonts w:ascii="Times New Roman" w:eastAsia="Times New Roman" w:hAnsi="Times New Roman" w:cs="Times New Roman"/>
          <w:color w:val="2E2E2E"/>
          <w:sz w:val="24"/>
          <w:szCs w:val="24"/>
        </w:rPr>
        <w:t xml:space="preserve">ated percent mortality between the 4 sites and </w:t>
      </w:r>
      <w:r>
        <w:rPr>
          <w:rFonts w:ascii="Times New Roman" w:eastAsia="Times New Roman" w:hAnsi="Times New Roman" w:cs="Times New Roman"/>
          <w:color w:val="2E2E2E"/>
          <w:sz w:val="24"/>
          <w:szCs w:val="24"/>
        </w:rPr>
        <w:t>overall</w:t>
      </w:r>
      <w:r>
        <w:rPr>
          <w:rFonts w:ascii="Times New Roman" w:eastAsia="Times New Roman" w:hAnsi="Times New Roman" w:cs="Times New Roman"/>
          <w:color w:val="2E2E2E"/>
          <w:sz w:val="24"/>
          <w:szCs w:val="24"/>
        </w:rPr>
        <w:t>. We found a positive association between greater length (cm) and predicted probability of the individual being alive. We calculated an overall percent mortality of 8.57%, which is consistent with other</w:t>
      </w:r>
      <w:r>
        <w:rPr>
          <w:rFonts w:ascii="Times New Roman" w:eastAsia="Times New Roman" w:hAnsi="Times New Roman" w:cs="Times New Roman"/>
          <w:color w:val="2E2E2E"/>
          <w:sz w:val="24"/>
          <w:szCs w:val="24"/>
        </w:rPr>
        <w:t xml:space="preserve"> estimates following the heat dome. While these data suggest that the heat dome was a major contributor to the observed shellfish mortality in Washington State, investigations into other potential factors characteristic of “summer mortalities” would contri</w:t>
      </w:r>
      <w:r>
        <w:rPr>
          <w:rFonts w:ascii="Times New Roman" w:eastAsia="Times New Roman" w:hAnsi="Times New Roman" w:cs="Times New Roman"/>
          <w:color w:val="2E2E2E"/>
          <w:sz w:val="24"/>
          <w:szCs w:val="24"/>
        </w:rPr>
        <w:t xml:space="preserve">bute to a broader understanding of these events.  </w:t>
      </w:r>
    </w:p>
    <w:p w14:paraId="300E3B0E" w14:textId="77777777" w:rsidR="009D2F13" w:rsidRDefault="00612736">
      <w:pPr>
        <w:spacing w:before="240" w:after="240" w:line="480" w:lineRule="auto"/>
        <w:ind w:left="0" w:hanging="2"/>
        <w:jc w:val="both"/>
        <w:rPr>
          <w:rFonts w:ascii="Times New Roman" w:eastAsia="Times New Roman" w:hAnsi="Times New Roman" w:cs="Times New Roman"/>
          <w:color w:val="2E2E2E"/>
          <w:sz w:val="24"/>
          <w:szCs w:val="24"/>
        </w:rPr>
      </w:pPr>
      <w:r>
        <w:rPr>
          <w:rFonts w:ascii="Times New Roman" w:eastAsia="Times New Roman" w:hAnsi="Times New Roman" w:cs="Times New Roman"/>
          <w:b/>
          <w:color w:val="2E2E2E"/>
          <w:sz w:val="24"/>
          <w:szCs w:val="24"/>
        </w:rPr>
        <w:t>Introduction</w:t>
      </w:r>
    </w:p>
    <w:p w14:paraId="2CFC4A06"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Shellfish hold an often</w:t>
      </w:r>
      <w:r>
        <w:rPr>
          <w:rFonts w:ascii="Times New Roman" w:eastAsia="Times New Roman" w:hAnsi="Times New Roman" w:cs="Times New Roman"/>
          <w:color w:val="2E2E2E"/>
          <w:sz w:val="24"/>
          <w:szCs w:val="24"/>
        </w:rPr>
        <w:t>-</w:t>
      </w:r>
      <w:r>
        <w:rPr>
          <w:rFonts w:ascii="Times New Roman" w:eastAsia="Times New Roman" w:hAnsi="Times New Roman" w:cs="Times New Roman"/>
          <w:color w:val="2E2E2E"/>
          <w:sz w:val="24"/>
          <w:szCs w:val="24"/>
        </w:rPr>
        <w:t xml:space="preserve">unrecognized </w:t>
      </w:r>
      <w:r>
        <w:rPr>
          <w:rFonts w:ascii="Times New Roman" w:eastAsia="Times New Roman" w:hAnsi="Times New Roman" w:cs="Times New Roman"/>
          <w:color w:val="2E2E2E"/>
          <w:sz w:val="24"/>
          <w:szCs w:val="24"/>
        </w:rPr>
        <w:t>importance in our lives, both economically and ecologically. The commercial shellfish industry in Washington state alone produces roughly $150 million in revenue (Washington Sea Grant, 2015) and 2710  jobs annually (Northern Economics, 2013). A majority of</w:t>
      </w:r>
      <w:r>
        <w:rPr>
          <w:rFonts w:ascii="Times New Roman" w:eastAsia="Times New Roman" w:hAnsi="Times New Roman" w:cs="Times New Roman"/>
          <w:color w:val="2E2E2E"/>
          <w:sz w:val="24"/>
          <w:szCs w:val="24"/>
        </w:rPr>
        <w:t xml:space="preserve"> this production and employment comes from oysters (Northern Economics 2013). Additionally, oysters </w:t>
      </w:r>
      <w:r>
        <w:rPr>
          <w:rFonts w:ascii="Times New Roman" w:eastAsia="Times New Roman" w:hAnsi="Times New Roman" w:cs="Times New Roman"/>
          <w:color w:val="2E2E2E"/>
          <w:sz w:val="24"/>
          <w:szCs w:val="24"/>
        </w:rPr>
        <w:t xml:space="preserve">filter nutrients and particles </w:t>
      </w:r>
      <w:r>
        <w:rPr>
          <w:rFonts w:ascii="Times New Roman" w:eastAsia="Times New Roman" w:hAnsi="Times New Roman" w:cs="Times New Roman"/>
          <w:color w:val="2E2E2E"/>
          <w:sz w:val="24"/>
          <w:szCs w:val="24"/>
        </w:rPr>
        <w:t>in the water, thereby contributing to the overall health of the ecosystem (Rice, 2001</w:t>
      </w:r>
      <w:r>
        <w:rPr>
          <w:rFonts w:ascii="Times New Roman" w:eastAsia="Times New Roman" w:hAnsi="Times New Roman" w:cs="Times New Roman"/>
          <w:color w:val="2E2E2E"/>
          <w:sz w:val="24"/>
          <w:szCs w:val="24"/>
        </w:rPr>
        <w:t xml:space="preserve">; </w:t>
      </w:r>
      <w:r>
        <w:rPr>
          <w:rFonts w:ascii="Times New Roman" w:eastAsia="Times New Roman" w:hAnsi="Times New Roman" w:cs="Times New Roman"/>
          <w:color w:val="2E2E2E"/>
          <w:sz w:val="24"/>
          <w:szCs w:val="24"/>
        </w:rPr>
        <w:t xml:space="preserve">NOAA Fisheries, 2022). Because </w:t>
      </w:r>
      <w:r>
        <w:rPr>
          <w:rFonts w:ascii="Times New Roman" w:eastAsia="Times New Roman" w:hAnsi="Times New Roman" w:cs="Times New Roman"/>
          <w:color w:val="2E2E2E"/>
          <w:sz w:val="24"/>
          <w:szCs w:val="24"/>
        </w:rPr>
        <w:lastRenderedPageBreak/>
        <w:t>of this</w:t>
      </w:r>
      <w:r>
        <w:rPr>
          <w:rFonts w:ascii="Times New Roman" w:eastAsia="Times New Roman" w:hAnsi="Times New Roman" w:cs="Times New Roman"/>
          <w:color w:val="2E2E2E"/>
          <w:sz w:val="24"/>
          <w:szCs w:val="24"/>
        </w:rPr>
        <w:t xml:space="preserve"> value, it is essential to consider how these organisms will fare under the conditions of a changing climate. The Pacific Oyster, </w:t>
      </w:r>
      <w:r>
        <w:rPr>
          <w:rFonts w:ascii="Times New Roman" w:eastAsia="Times New Roman" w:hAnsi="Times New Roman" w:cs="Times New Roman"/>
          <w:i/>
          <w:color w:val="2E2E2E"/>
          <w:sz w:val="24"/>
          <w:szCs w:val="24"/>
        </w:rPr>
        <w:t>Crassostrea gigas</w:t>
      </w:r>
      <w:r>
        <w:rPr>
          <w:rFonts w:ascii="Times New Roman" w:eastAsia="Times New Roman" w:hAnsi="Times New Roman" w:cs="Times New Roman"/>
          <w:color w:val="2E2E2E"/>
          <w:sz w:val="24"/>
          <w:szCs w:val="24"/>
        </w:rPr>
        <w:t>, is one of the most abundant and economically significant shellfish in Washington State, and therefore the f</w:t>
      </w:r>
      <w:r>
        <w:rPr>
          <w:rFonts w:ascii="Times New Roman" w:eastAsia="Times New Roman" w:hAnsi="Times New Roman" w:cs="Times New Roman"/>
          <w:color w:val="2E2E2E"/>
          <w:sz w:val="24"/>
          <w:szCs w:val="24"/>
        </w:rPr>
        <w:t>ocus for our study.</w:t>
      </w:r>
    </w:p>
    <w:p w14:paraId="65B09C06"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Between late June and early July 2021, the US Pacific Northwest and western Canada experienced a period of record</w:t>
      </w:r>
      <w:r>
        <w:rPr>
          <w:rFonts w:ascii="Times New Roman" w:eastAsia="Times New Roman" w:hAnsi="Times New Roman" w:cs="Times New Roman"/>
          <w:color w:val="2E2E2E"/>
          <w:sz w:val="24"/>
          <w:szCs w:val="24"/>
        </w:rPr>
        <w:t>-b</w:t>
      </w:r>
      <w:r>
        <w:rPr>
          <w:rFonts w:ascii="Times New Roman" w:eastAsia="Times New Roman" w:hAnsi="Times New Roman" w:cs="Times New Roman"/>
          <w:color w:val="2E2E2E"/>
          <w:sz w:val="24"/>
          <w:szCs w:val="24"/>
        </w:rPr>
        <w:t xml:space="preserve">reaking high temperatures reaching over 40℃ (Lin et.al, 2022). High atmospheric pressures and dry conditions contributed </w:t>
      </w:r>
      <w:r>
        <w:rPr>
          <w:rFonts w:ascii="Times New Roman" w:eastAsia="Times New Roman" w:hAnsi="Times New Roman" w:cs="Times New Roman"/>
          <w:color w:val="2E2E2E"/>
          <w:sz w:val="24"/>
          <w:szCs w:val="24"/>
        </w:rPr>
        <w:t xml:space="preserve">to this “heat dome” event (Thompson et.al, 2022). These temperatures were well above the optimal temperature range for </w:t>
      </w:r>
      <w:r>
        <w:rPr>
          <w:rFonts w:ascii="Times New Roman" w:eastAsia="Times New Roman" w:hAnsi="Times New Roman" w:cs="Times New Roman"/>
          <w:i/>
          <w:color w:val="2E2E2E"/>
          <w:sz w:val="24"/>
          <w:szCs w:val="24"/>
        </w:rPr>
        <w:t>C.gigas</w:t>
      </w:r>
      <w:r>
        <w:rPr>
          <w:rFonts w:ascii="Times New Roman" w:eastAsia="Times New Roman" w:hAnsi="Times New Roman" w:cs="Times New Roman"/>
          <w:color w:val="2E2E2E"/>
          <w:sz w:val="24"/>
          <w:szCs w:val="24"/>
        </w:rPr>
        <w:t>, which is between 4-24℃ (Shatkin et.al, 1997). Large shellfish mortalities were reported following this event (WSG &amp; WDFW, 2021).</w:t>
      </w:r>
      <w:r>
        <w:rPr>
          <w:rFonts w:ascii="Times New Roman" w:eastAsia="Times New Roman" w:hAnsi="Times New Roman" w:cs="Times New Roman"/>
          <w:color w:val="2E2E2E"/>
          <w:sz w:val="24"/>
          <w:szCs w:val="24"/>
        </w:rPr>
        <w:t>.</w:t>
      </w:r>
    </w:p>
    <w:p w14:paraId="435E75D6"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We specifically chose to investigate the scale of  </w:t>
      </w:r>
      <w:r>
        <w:rPr>
          <w:rFonts w:ascii="Times New Roman" w:eastAsia="Times New Roman" w:hAnsi="Times New Roman" w:cs="Times New Roman"/>
          <w:i/>
          <w:color w:val="2E2E2E"/>
          <w:sz w:val="24"/>
          <w:szCs w:val="24"/>
        </w:rPr>
        <w:t>C.gigas</w:t>
      </w:r>
      <w:r>
        <w:rPr>
          <w:rFonts w:ascii="Times New Roman" w:eastAsia="Times New Roman" w:hAnsi="Times New Roman" w:cs="Times New Roman"/>
          <w:color w:val="2E2E2E"/>
          <w:sz w:val="24"/>
          <w:szCs w:val="24"/>
        </w:rPr>
        <w:t xml:space="preserve"> mortality in San Juan Island, Washington following the heat dome event, as well as the relationship between survival and size. We hypothesized that </w:t>
      </w:r>
      <w:r>
        <w:rPr>
          <w:rFonts w:ascii="Times New Roman" w:eastAsia="Times New Roman" w:hAnsi="Times New Roman" w:cs="Times New Roman"/>
          <w:i/>
          <w:color w:val="2E2E2E"/>
          <w:sz w:val="24"/>
          <w:szCs w:val="24"/>
        </w:rPr>
        <w:t>C.gigas</w:t>
      </w:r>
      <w:r>
        <w:rPr>
          <w:rFonts w:ascii="Times New Roman" w:eastAsia="Times New Roman" w:hAnsi="Times New Roman" w:cs="Times New Roman"/>
          <w:color w:val="2E2E2E"/>
          <w:sz w:val="24"/>
          <w:szCs w:val="24"/>
        </w:rPr>
        <w:t xml:space="preserve"> survival is positively associated with greater shell size.</w:t>
      </w:r>
    </w:p>
    <w:p w14:paraId="19DB5C8D"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bookmarkStart w:id="0" w:name="_heading=h.gjdgxs" w:colFirst="0" w:colLast="0"/>
      <w:bookmarkEnd w:id="0"/>
      <w:r>
        <w:rPr>
          <w:rFonts w:ascii="Times New Roman" w:eastAsia="Times New Roman" w:hAnsi="Times New Roman" w:cs="Times New Roman"/>
          <w:b/>
          <w:color w:val="2E2E2E"/>
          <w:sz w:val="24"/>
          <w:szCs w:val="24"/>
        </w:rPr>
        <w:t>Methods</w:t>
      </w:r>
    </w:p>
    <w:p w14:paraId="0F7A3D7B" w14:textId="77777777" w:rsidR="009D2F13" w:rsidRDefault="00612736">
      <w:pPr>
        <w:pStyle w:val="Heading1"/>
        <w:keepNext w:val="0"/>
        <w:keepLines w:val="0"/>
        <w:spacing w:before="48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Data w</w:t>
      </w:r>
      <w:r>
        <w:rPr>
          <w:rFonts w:ascii="Times New Roman" w:eastAsia="Times New Roman" w:hAnsi="Times New Roman" w:cs="Times New Roman"/>
          <w:color w:val="2E2E2E"/>
          <w:sz w:val="24"/>
          <w:szCs w:val="24"/>
        </w:rPr>
        <w:t>ere</w:t>
      </w:r>
      <w:r>
        <w:rPr>
          <w:rFonts w:ascii="Times New Roman" w:eastAsia="Times New Roman" w:hAnsi="Times New Roman" w:cs="Times New Roman"/>
          <w:color w:val="2E2E2E"/>
          <w:sz w:val="24"/>
          <w:szCs w:val="24"/>
        </w:rPr>
        <w:t xml:space="preserve"> collected during low tide at 4 sites in San Juan Island, Washington: Friday Harbor Labs Beach, False Bay, Beaverton Cove, and Griffin Bay (Figure 1). The first 70 individuals enc</w:t>
      </w:r>
      <w:r>
        <w:rPr>
          <w:rFonts w:ascii="Times New Roman" w:eastAsia="Times New Roman" w:hAnsi="Times New Roman" w:cs="Times New Roman"/>
          <w:color w:val="2E2E2E"/>
          <w:sz w:val="24"/>
          <w:szCs w:val="24"/>
        </w:rPr>
        <w:t xml:space="preserve">ountered were selected for data collection using the following criteria: The individual must be either (a) living and </w:t>
      </w:r>
      <w:r>
        <w:rPr>
          <w:rFonts w:ascii="Times New Roman" w:eastAsia="Times New Roman" w:hAnsi="Times New Roman" w:cs="Times New Roman"/>
          <w:color w:val="2E2E2E"/>
          <w:sz w:val="24"/>
          <w:szCs w:val="24"/>
        </w:rPr>
        <w:t>firmly attached to</w:t>
      </w:r>
      <w:r>
        <w:rPr>
          <w:rFonts w:ascii="Times New Roman" w:eastAsia="Times New Roman" w:hAnsi="Times New Roman" w:cs="Times New Roman"/>
          <w:color w:val="2E2E2E"/>
          <w:sz w:val="24"/>
          <w:szCs w:val="24"/>
        </w:rPr>
        <w:t xml:space="preserve"> the substrate, and of a size indicative of presence during summer of 2021 (~&gt; 5cm), or (b) recently de</w:t>
      </w:r>
      <w:r>
        <w:rPr>
          <w:rFonts w:ascii="Times New Roman" w:eastAsia="Times New Roman" w:hAnsi="Times New Roman" w:cs="Times New Roman"/>
          <w:color w:val="2E2E2E"/>
          <w:sz w:val="24"/>
          <w:szCs w:val="24"/>
        </w:rPr>
        <w:t>ad</w:t>
      </w:r>
      <w:r>
        <w:rPr>
          <w:rFonts w:ascii="Times New Roman" w:eastAsia="Times New Roman" w:hAnsi="Times New Roman" w:cs="Times New Roman"/>
          <w:color w:val="2E2E2E"/>
          <w:sz w:val="24"/>
          <w:szCs w:val="24"/>
        </w:rPr>
        <w:t>, as characteri</w:t>
      </w:r>
      <w:r>
        <w:rPr>
          <w:rFonts w:ascii="Times New Roman" w:eastAsia="Times New Roman" w:hAnsi="Times New Roman" w:cs="Times New Roman"/>
          <w:color w:val="2E2E2E"/>
          <w:sz w:val="24"/>
          <w:szCs w:val="24"/>
        </w:rPr>
        <w:t>zed by a missing right valve and internal body, left valve attached to the substrate, and little to no signs of shell degradation. This last criteri</w:t>
      </w:r>
      <w:r>
        <w:rPr>
          <w:rFonts w:ascii="Times New Roman" w:eastAsia="Times New Roman" w:hAnsi="Times New Roman" w:cs="Times New Roman"/>
          <w:color w:val="2E2E2E"/>
          <w:sz w:val="24"/>
          <w:szCs w:val="24"/>
        </w:rPr>
        <w:t>on</w:t>
      </w:r>
      <w:r>
        <w:rPr>
          <w:rFonts w:ascii="Times New Roman" w:eastAsia="Times New Roman" w:hAnsi="Times New Roman" w:cs="Times New Roman"/>
          <w:color w:val="2E2E2E"/>
          <w:sz w:val="24"/>
          <w:szCs w:val="24"/>
        </w:rPr>
        <w:t xml:space="preserve"> was established to allow for more accurate representation of the community that was present during the he</w:t>
      </w:r>
      <w:r>
        <w:rPr>
          <w:rFonts w:ascii="Times New Roman" w:eastAsia="Times New Roman" w:hAnsi="Times New Roman" w:cs="Times New Roman"/>
          <w:color w:val="2E2E2E"/>
          <w:sz w:val="24"/>
          <w:szCs w:val="24"/>
        </w:rPr>
        <w:t>at dome. Omission of individuals not meeting this criteri</w:t>
      </w:r>
      <w:r>
        <w:rPr>
          <w:rFonts w:ascii="Times New Roman" w:eastAsia="Times New Roman" w:hAnsi="Times New Roman" w:cs="Times New Roman"/>
          <w:color w:val="2E2E2E"/>
          <w:sz w:val="24"/>
          <w:szCs w:val="24"/>
        </w:rPr>
        <w:t>on</w:t>
      </w:r>
      <w:r>
        <w:rPr>
          <w:rFonts w:ascii="Times New Roman" w:eastAsia="Times New Roman" w:hAnsi="Times New Roman" w:cs="Times New Roman"/>
          <w:color w:val="2E2E2E"/>
          <w:sz w:val="24"/>
          <w:szCs w:val="24"/>
        </w:rPr>
        <w:t xml:space="preserve"> was </w:t>
      </w:r>
      <w:r>
        <w:rPr>
          <w:rFonts w:ascii="Times New Roman" w:eastAsia="Times New Roman" w:hAnsi="Times New Roman" w:cs="Times New Roman"/>
          <w:color w:val="2E2E2E"/>
          <w:sz w:val="24"/>
          <w:szCs w:val="24"/>
        </w:rPr>
        <w:lastRenderedPageBreak/>
        <w:t>intended to exclude those oysters that were already de</w:t>
      </w:r>
      <w:r>
        <w:rPr>
          <w:rFonts w:ascii="Times New Roman" w:eastAsia="Times New Roman" w:hAnsi="Times New Roman" w:cs="Times New Roman"/>
          <w:color w:val="2E2E2E"/>
          <w:sz w:val="24"/>
          <w:szCs w:val="24"/>
        </w:rPr>
        <w:t>ad</w:t>
      </w:r>
      <w:r>
        <w:rPr>
          <w:rFonts w:ascii="Times New Roman" w:eastAsia="Times New Roman" w:hAnsi="Times New Roman" w:cs="Times New Roman"/>
          <w:color w:val="2E2E2E"/>
          <w:sz w:val="24"/>
          <w:szCs w:val="24"/>
        </w:rPr>
        <w:t xml:space="preserve"> or not yet present at the time of the heat dome. For each individual we recorded whether the oyster was living or </w:t>
      </w:r>
      <w:r>
        <w:rPr>
          <w:rFonts w:ascii="Times New Roman" w:eastAsia="Times New Roman" w:hAnsi="Times New Roman" w:cs="Times New Roman"/>
          <w:color w:val="2E2E2E"/>
          <w:sz w:val="24"/>
          <w:szCs w:val="24"/>
        </w:rPr>
        <w:t>dead</w:t>
      </w:r>
      <w:r>
        <w:rPr>
          <w:rFonts w:ascii="Times New Roman" w:eastAsia="Times New Roman" w:hAnsi="Times New Roman" w:cs="Times New Roman"/>
          <w:color w:val="2E2E2E"/>
          <w:sz w:val="24"/>
          <w:szCs w:val="24"/>
        </w:rPr>
        <w:t>, and measured to</w:t>
      </w:r>
      <w:r>
        <w:rPr>
          <w:rFonts w:ascii="Times New Roman" w:eastAsia="Times New Roman" w:hAnsi="Times New Roman" w:cs="Times New Roman"/>
          <w:color w:val="2E2E2E"/>
          <w:sz w:val="24"/>
          <w:szCs w:val="24"/>
        </w:rPr>
        <w:t>tal length across the longest</w:t>
      </w:r>
      <w:r>
        <w:rPr>
          <w:rFonts w:ascii="Times New Roman" w:eastAsia="Times New Roman" w:hAnsi="Times New Roman" w:cs="Times New Roman"/>
          <w:color w:val="2E2E2E"/>
          <w:sz w:val="24"/>
          <w:szCs w:val="24"/>
        </w:rPr>
        <w:t xml:space="preserve"> axis </w:t>
      </w:r>
      <w:r>
        <w:rPr>
          <w:rFonts w:ascii="Times New Roman" w:eastAsia="Times New Roman" w:hAnsi="Times New Roman" w:cs="Times New Roman"/>
          <w:color w:val="2E2E2E"/>
          <w:sz w:val="24"/>
          <w:szCs w:val="24"/>
        </w:rPr>
        <w:t>using digital calipers (cm).</w:t>
      </w:r>
    </w:p>
    <w:p w14:paraId="5F954A42" w14:textId="77777777" w:rsidR="009D2F13" w:rsidRDefault="00612736">
      <w:pPr>
        <w:spacing w:before="240" w:line="48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noProof/>
          <w:color w:val="2E2E2E"/>
          <w:sz w:val="24"/>
          <w:szCs w:val="24"/>
        </w:rPr>
        <w:drawing>
          <wp:inline distT="114300" distB="114300" distL="114300" distR="114300" wp14:anchorId="171446EB" wp14:editId="7FF15672">
            <wp:extent cx="5091113" cy="4177323"/>
            <wp:effectExtent l="0" t="0" r="0" b="0"/>
            <wp:docPr id="103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
                    <a:srcRect t="8043" b="28589"/>
                    <a:stretch>
                      <a:fillRect/>
                    </a:stretch>
                  </pic:blipFill>
                  <pic:spPr>
                    <a:xfrm>
                      <a:off x="0" y="0"/>
                      <a:ext cx="5091113" cy="4177323"/>
                    </a:xfrm>
                    <a:prstGeom prst="rect">
                      <a:avLst/>
                    </a:prstGeom>
                    <a:ln/>
                  </pic:spPr>
                </pic:pic>
              </a:graphicData>
            </a:graphic>
          </wp:inline>
        </w:drawing>
      </w:r>
    </w:p>
    <w:p w14:paraId="7D4EB71D" w14:textId="77777777" w:rsidR="009D2F13" w:rsidRDefault="00612736">
      <w:pPr>
        <w:spacing w:before="240" w:line="480" w:lineRule="auto"/>
        <w:ind w:left="0" w:hanging="2"/>
        <w:jc w:val="center"/>
        <w:rPr>
          <w:rFonts w:ascii="Times New Roman" w:eastAsia="Times New Roman" w:hAnsi="Times New Roman" w:cs="Times New Roman"/>
          <w:color w:val="2E2E2E"/>
          <w:sz w:val="20"/>
          <w:szCs w:val="20"/>
        </w:rPr>
      </w:pPr>
      <w:r>
        <w:rPr>
          <w:rFonts w:ascii="Times New Roman" w:eastAsia="Times New Roman" w:hAnsi="Times New Roman" w:cs="Times New Roman"/>
          <w:color w:val="2E2E2E"/>
          <w:sz w:val="20"/>
          <w:szCs w:val="20"/>
        </w:rPr>
        <w:t xml:space="preserve">Figure 1. Map of survey sites on San Juan Island, Washington, including: Friday Harbor Labs Beach (48.54635°N, 123.00981°W), False Bay (48.48307°N, 123.07452°W), Beaverton Cove (48.54509°N, </w:t>
      </w:r>
      <w:r>
        <w:rPr>
          <w:rFonts w:ascii="Times New Roman" w:eastAsia="Times New Roman" w:hAnsi="Times New Roman" w:cs="Times New Roman"/>
          <w:color w:val="2E2E2E"/>
          <w:sz w:val="20"/>
          <w:szCs w:val="20"/>
        </w:rPr>
        <w:t>123.01579°W), and Griffin Bay (48.46271°N, 122.97286°W).</w:t>
      </w:r>
    </w:p>
    <w:p w14:paraId="4FD3DE60" w14:textId="77777777" w:rsidR="009D2F13" w:rsidRDefault="009D2F13">
      <w:pPr>
        <w:spacing w:before="240" w:line="480" w:lineRule="auto"/>
        <w:ind w:left="0" w:hanging="2"/>
        <w:jc w:val="center"/>
        <w:rPr>
          <w:rFonts w:ascii="Times New Roman" w:eastAsia="Times New Roman" w:hAnsi="Times New Roman" w:cs="Times New Roman"/>
          <w:color w:val="2E2E2E"/>
          <w:sz w:val="24"/>
          <w:szCs w:val="24"/>
        </w:rPr>
      </w:pPr>
    </w:p>
    <w:p w14:paraId="0E06F90C" w14:textId="77777777" w:rsidR="009D2F13" w:rsidRDefault="00612736">
      <w:pPr>
        <w:spacing w:before="240" w:line="48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noProof/>
          <w:color w:val="2E2E2E"/>
          <w:sz w:val="24"/>
          <w:szCs w:val="24"/>
        </w:rPr>
        <w:lastRenderedPageBreak/>
        <w:drawing>
          <wp:inline distT="114300" distB="114300" distL="114300" distR="114300" wp14:anchorId="688E52A4" wp14:editId="370547E7">
            <wp:extent cx="4395788" cy="2446191"/>
            <wp:effectExtent l="0" t="0" r="0" b="0"/>
            <wp:docPr id="103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
                    <a:srcRect t="14428" b="16032"/>
                    <a:stretch>
                      <a:fillRect/>
                    </a:stretch>
                  </pic:blipFill>
                  <pic:spPr>
                    <a:xfrm>
                      <a:off x="0" y="0"/>
                      <a:ext cx="4395788" cy="2446191"/>
                    </a:xfrm>
                    <a:prstGeom prst="rect">
                      <a:avLst/>
                    </a:prstGeom>
                    <a:ln/>
                  </pic:spPr>
                </pic:pic>
              </a:graphicData>
            </a:graphic>
          </wp:inline>
        </w:drawing>
      </w:r>
    </w:p>
    <w:p w14:paraId="3C8CF19D" w14:textId="77777777" w:rsidR="009D2F13" w:rsidRDefault="00612736">
      <w:pPr>
        <w:spacing w:before="240" w:line="480" w:lineRule="auto"/>
        <w:ind w:left="0" w:hanging="2"/>
        <w:jc w:val="center"/>
        <w:rPr>
          <w:rFonts w:ascii="Times New Roman" w:eastAsia="Times New Roman" w:hAnsi="Times New Roman" w:cs="Times New Roman"/>
          <w:color w:val="2E2E2E"/>
          <w:sz w:val="20"/>
          <w:szCs w:val="20"/>
        </w:rPr>
      </w:pPr>
      <w:r>
        <w:rPr>
          <w:rFonts w:ascii="Times New Roman" w:eastAsia="Times New Roman" w:hAnsi="Times New Roman" w:cs="Times New Roman"/>
          <w:color w:val="2E2E2E"/>
          <w:sz w:val="20"/>
          <w:szCs w:val="20"/>
        </w:rPr>
        <w:t>Figure 2. Visual example of survey criteria. Recently de</w:t>
      </w:r>
      <w:r>
        <w:rPr>
          <w:rFonts w:ascii="Times New Roman" w:eastAsia="Times New Roman" w:hAnsi="Times New Roman" w:cs="Times New Roman"/>
          <w:color w:val="2E2E2E"/>
          <w:sz w:val="20"/>
          <w:szCs w:val="20"/>
        </w:rPr>
        <w:t>ad</w:t>
      </w:r>
      <w:r>
        <w:rPr>
          <w:rFonts w:ascii="Times New Roman" w:eastAsia="Times New Roman" w:hAnsi="Times New Roman" w:cs="Times New Roman"/>
          <w:color w:val="2E2E2E"/>
          <w:sz w:val="20"/>
          <w:szCs w:val="20"/>
        </w:rPr>
        <w:t xml:space="preserve"> individuals were </w:t>
      </w:r>
      <w:r>
        <w:rPr>
          <w:rFonts w:ascii="Times New Roman" w:eastAsia="Times New Roman" w:hAnsi="Times New Roman" w:cs="Times New Roman"/>
          <w:color w:val="2E2E2E"/>
          <w:sz w:val="20"/>
          <w:szCs w:val="20"/>
        </w:rPr>
        <w:t xml:space="preserve">included </w:t>
      </w:r>
      <w:r>
        <w:rPr>
          <w:rFonts w:ascii="Times New Roman" w:eastAsia="Times New Roman" w:hAnsi="Times New Roman" w:cs="Times New Roman"/>
          <w:color w:val="2E2E2E"/>
          <w:sz w:val="20"/>
          <w:szCs w:val="20"/>
        </w:rPr>
        <w:t xml:space="preserve">in the data when the criteria </w:t>
      </w:r>
      <w:r>
        <w:rPr>
          <w:rFonts w:ascii="Times New Roman" w:eastAsia="Times New Roman" w:hAnsi="Times New Roman" w:cs="Times New Roman"/>
          <w:color w:val="2E2E2E"/>
          <w:sz w:val="20"/>
          <w:szCs w:val="20"/>
        </w:rPr>
        <w:t xml:space="preserve">were </w:t>
      </w:r>
      <w:r>
        <w:rPr>
          <w:rFonts w:ascii="Times New Roman" w:eastAsia="Times New Roman" w:hAnsi="Times New Roman" w:cs="Times New Roman"/>
          <w:color w:val="2E2E2E"/>
          <w:sz w:val="20"/>
          <w:szCs w:val="20"/>
        </w:rPr>
        <w:t xml:space="preserve">met such that: the right valve and internal body was absent, the left valve is attached to substrate, little to no signs of shell degradation are observed. Living individuals were </w:t>
      </w:r>
      <w:r>
        <w:rPr>
          <w:rFonts w:ascii="Times New Roman" w:eastAsia="Times New Roman" w:hAnsi="Times New Roman" w:cs="Times New Roman"/>
          <w:color w:val="2E2E2E"/>
          <w:sz w:val="20"/>
          <w:szCs w:val="20"/>
        </w:rPr>
        <w:t xml:space="preserve">included </w:t>
      </w:r>
      <w:r>
        <w:rPr>
          <w:rFonts w:ascii="Times New Roman" w:eastAsia="Times New Roman" w:hAnsi="Times New Roman" w:cs="Times New Roman"/>
          <w:color w:val="2E2E2E"/>
          <w:sz w:val="20"/>
          <w:szCs w:val="20"/>
        </w:rPr>
        <w:t xml:space="preserve">in the data when the criteria was met such that: the individual is </w:t>
      </w:r>
      <w:r>
        <w:rPr>
          <w:rFonts w:ascii="Times New Roman" w:eastAsia="Times New Roman" w:hAnsi="Times New Roman" w:cs="Times New Roman"/>
          <w:color w:val="2E2E2E"/>
          <w:sz w:val="20"/>
          <w:szCs w:val="20"/>
        </w:rPr>
        <w:t>well established on the substrate with both valves present, and the individual's size indicates a presence in summer 2021 (~ &gt;5cm).</w:t>
      </w:r>
    </w:p>
    <w:p w14:paraId="061DECFB" w14:textId="77777777" w:rsidR="009D2F13" w:rsidRDefault="00612736">
      <w:pPr>
        <w:spacing w:before="240" w:line="480" w:lineRule="auto"/>
        <w:ind w:left="0" w:hanging="2"/>
        <w:jc w:val="both"/>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The </w:t>
      </w:r>
      <w:r>
        <w:rPr>
          <w:rFonts w:ascii="Times New Roman" w:eastAsia="Times New Roman" w:hAnsi="Times New Roman" w:cs="Times New Roman"/>
          <w:color w:val="2E2E2E"/>
          <w:sz w:val="24"/>
          <w:szCs w:val="24"/>
        </w:rPr>
        <w:t>data collected</w:t>
      </w:r>
      <w:r>
        <w:rPr>
          <w:rFonts w:ascii="Times New Roman" w:eastAsia="Times New Roman" w:hAnsi="Times New Roman" w:cs="Times New Roman"/>
          <w:color w:val="2E2E2E"/>
          <w:sz w:val="24"/>
          <w:szCs w:val="24"/>
        </w:rPr>
        <w:t xml:space="preserve"> </w:t>
      </w:r>
      <w:r>
        <w:rPr>
          <w:rFonts w:ascii="Times New Roman" w:eastAsia="Times New Roman" w:hAnsi="Times New Roman" w:cs="Times New Roman"/>
          <w:color w:val="2E2E2E"/>
          <w:sz w:val="24"/>
          <w:szCs w:val="24"/>
        </w:rPr>
        <w:t>were</w:t>
      </w:r>
      <w:r>
        <w:rPr>
          <w:rFonts w:ascii="Times New Roman" w:eastAsia="Times New Roman" w:hAnsi="Times New Roman" w:cs="Times New Roman"/>
          <w:color w:val="2E2E2E"/>
          <w:sz w:val="24"/>
          <w:szCs w:val="24"/>
        </w:rPr>
        <w:t xml:space="preserve"> imported into Rstudio to </w:t>
      </w:r>
      <w:r>
        <w:rPr>
          <w:rFonts w:ascii="Times New Roman" w:eastAsia="Times New Roman" w:hAnsi="Times New Roman" w:cs="Times New Roman"/>
          <w:color w:val="2E2E2E"/>
          <w:sz w:val="24"/>
          <w:szCs w:val="24"/>
        </w:rPr>
        <w:t xml:space="preserve">perform </w:t>
      </w:r>
      <w:r>
        <w:rPr>
          <w:rFonts w:ascii="Times New Roman" w:eastAsia="Times New Roman" w:hAnsi="Times New Roman" w:cs="Times New Roman"/>
          <w:color w:val="2E2E2E"/>
          <w:sz w:val="24"/>
          <w:szCs w:val="24"/>
        </w:rPr>
        <w:t>a logistic regression to model the probability of mortality given s</w:t>
      </w:r>
      <w:r>
        <w:rPr>
          <w:rFonts w:ascii="Times New Roman" w:eastAsia="Times New Roman" w:hAnsi="Times New Roman" w:cs="Times New Roman"/>
          <w:color w:val="2E2E2E"/>
          <w:sz w:val="24"/>
          <w:szCs w:val="24"/>
        </w:rPr>
        <w:t xml:space="preserve">ize and site. The binary mortality data (total living-total </w:t>
      </w:r>
      <w:r>
        <w:rPr>
          <w:rFonts w:ascii="Times New Roman" w:eastAsia="Times New Roman" w:hAnsi="Times New Roman" w:cs="Times New Roman"/>
          <w:color w:val="2E2E2E"/>
          <w:sz w:val="24"/>
          <w:szCs w:val="24"/>
        </w:rPr>
        <w:t>dead</w:t>
      </w:r>
      <w:r>
        <w:rPr>
          <w:rFonts w:ascii="Times New Roman" w:eastAsia="Times New Roman" w:hAnsi="Times New Roman" w:cs="Times New Roman"/>
          <w:color w:val="2E2E2E"/>
          <w:sz w:val="24"/>
          <w:szCs w:val="24"/>
        </w:rPr>
        <w:t xml:space="preserve">) was used to estimate the percent mortality at each of the 4 sites and in total ((total dead/total individuals)*100).  </w:t>
      </w:r>
    </w:p>
    <w:p w14:paraId="4518FD99" w14:textId="77777777" w:rsidR="009D2F13" w:rsidRDefault="00612736">
      <w:pPr>
        <w:spacing w:before="240" w:line="480" w:lineRule="auto"/>
        <w:ind w:left="0" w:hanging="2"/>
        <w:jc w:val="both"/>
        <w:rPr>
          <w:rFonts w:ascii="Times New Roman" w:eastAsia="Times New Roman" w:hAnsi="Times New Roman" w:cs="Times New Roman"/>
          <w:b/>
          <w:color w:val="2E2E2E"/>
          <w:sz w:val="24"/>
          <w:szCs w:val="24"/>
        </w:rPr>
      </w:pPr>
      <w:r>
        <w:rPr>
          <w:rFonts w:ascii="Times New Roman" w:eastAsia="Times New Roman" w:hAnsi="Times New Roman" w:cs="Times New Roman"/>
          <w:b/>
          <w:color w:val="2E2E2E"/>
          <w:sz w:val="24"/>
          <w:szCs w:val="24"/>
        </w:rPr>
        <w:t>Results</w:t>
      </w:r>
    </w:p>
    <w:p w14:paraId="6AC5BB0F" w14:textId="77777777" w:rsidR="009D2F13" w:rsidRDefault="00612736">
      <w:pPr>
        <w:spacing w:before="240" w:after="240" w:line="480" w:lineRule="auto"/>
        <w:ind w:left="0" w:hanging="2"/>
        <w:jc w:val="both"/>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The logistic regression model shows that length is a significan</w:t>
      </w:r>
      <w:r>
        <w:rPr>
          <w:rFonts w:ascii="Times New Roman" w:eastAsia="Times New Roman" w:hAnsi="Times New Roman" w:cs="Times New Roman"/>
          <w:color w:val="2E2E2E"/>
          <w:sz w:val="24"/>
          <w:szCs w:val="24"/>
        </w:rPr>
        <w:t>t factor in predicting the probability of an individual being alive or dead (p value= 0.00421), within a 95% confidence interval. Every 1cm increase in length is associated with an increase in the odds of an oyster being alive. The model does not suggest a</w:t>
      </w:r>
      <w:r>
        <w:rPr>
          <w:rFonts w:ascii="Times New Roman" w:eastAsia="Times New Roman" w:hAnsi="Times New Roman" w:cs="Times New Roman"/>
          <w:color w:val="2E2E2E"/>
          <w:sz w:val="24"/>
          <w:szCs w:val="24"/>
        </w:rPr>
        <w:t xml:space="preserve"> significant difference in this association between the 4 sites (p values &gt; 0.1). </w:t>
      </w:r>
    </w:p>
    <w:p w14:paraId="3EA61E8B" w14:textId="77777777" w:rsidR="009D2F13" w:rsidRDefault="00612736">
      <w:pPr>
        <w:spacing w:before="240" w:after="240" w:line="480" w:lineRule="auto"/>
        <w:ind w:left="0" w:hanging="2"/>
        <w:jc w:val="both"/>
        <w:rPr>
          <w:rFonts w:ascii="Times New Roman" w:eastAsia="Times New Roman" w:hAnsi="Times New Roman" w:cs="Times New Roman"/>
          <w:b/>
          <w:color w:val="2E2E2E"/>
          <w:sz w:val="24"/>
          <w:szCs w:val="24"/>
        </w:rPr>
      </w:pPr>
      <w:r>
        <w:rPr>
          <w:rFonts w:ascii="Times New Roman" w:eastAsia="Times New Roman" w:hAnsi="Times New Roman" w:cs="Times New Roman"/>
          <w:color w:val="2E2E2E"/>
          <w:sz w:val="24"/>
          <w:szCs w:val="24"/>
        </w:rPr>
        <w:lastRenderedPageBreak/>
        <w:t xml:space="preserve">The calculated percent mortalities across the 4 sites range between 4.29%-14.29%. The overall percent mortality was 8.57%. </w:t>
      </w:r>
    </w:p>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2"/>
        <w:gridCol w:w="1872"/>
        <w:gridCol w:w="1872"/>
        <w:gridCol w:w="1872"/>
        <w:gridCol w:w="1872"/>
      </w:tblGrid>
      <w:tr w:rsidR="009D2F13" w14:paraId="424AE559" w14:textId="77777777">
        <w:tc>
          <w:tcPr>
            <w:tcW w:w="1872" w:type="dxa"/>
            <w:shd w:val="clear" w:color="auto" w:fill="auto"/>
            <w:tcMar>
              <w:top w:w="100" w:type="dxa"/>
              <w:left w:w="100" w:type="dxa"/>
              <w:bottom w:w="100" w:type="dxa"/>
              <w:right w:w="100" w:type="dxa"/>
            </w:tcMar>
          </w:tcPr>
          <w:p w14:paraId="05EE8A26" w14:textId="77777777" w:rsidR="009D2F13" w:rsidRDefault="009D2F13">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p>
        </w:tc>
        <w:tc>
          <w:tcPr>
            <w:tcW w:w="1872" w:type="dxa"/>
            <w:shd w:val="clear" w:color="auto" w:fill="auto"/>
            <w:tcMar>
              <w:top w:w="100" w:type="dxa"/>
              <w:left w:w="100" w:type="dxa"/>
              <w:bottom w:w="100" w:type="dxa"/>
              <w:right w:w="100" w:type="dxa"/>
            </w:tcMar>
          </w:tcPr>
          <w:p w14:paraId="2B368A81"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 xml:space="preserve">Estimate </w:t>
            </w:r>
          </w:p>
        </w:tc>
        <w:tc>
          <w:tcPr>
            <w:tcW w:w="1872" w:type="dxa"/>
            <w:shd w:val="clear" w:color="auto" w:fill="auto"/>
            <w:tcMar>
              <w:top w:w="100" w:type="dxa"/>
              <w:left w:w="100" w:type="dxa"/>
              <w:bottom w:w="100" w:type="dxa"/>
              <w:right w:w="100" w:type="dxa"/>
            </w:tcMar>
          </w:tcPr>
          <w:p w14:paraId="666C4144"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Standard Error</w:t>
            </w:r>
          </w:p>
        </w:tc>
        <w:tc>
          <w:tcPr>
            <w:tcW w:w="1872" w:type="dxa"/>
            <w:shd w:val="clear" w:color="auto" w:fill="auto"/>
            <w:tcMar>
              <w:top w:w="100" w:type="dxa"/>
              <w:left w:w="100" w:type="dxa"/>
              <w:bottom w:w="100" w:type="dxa"/>
              <w:right w:w="100" w:type="dxa"/>
            </w:tcMar>
          </w:tcPr>
          <w:p w14:paraId="6210B5B4"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 xml:space="preserve">Z value </w:t>
            </w:r>
          </w:p>
        </w:tc>
        <w:tc>
          <w:tcPr>
            <w:tcW w:w="1872" w:type="dxa"/>
            <w:shd w:val="clear" w:color="auto" w:fill="auto"/>
            <w:tcMar>
              <w:top w:w="100" w:type="dxa"/>
              <w:left w:w="100" w:type="dxa"/>
              <w:bottom w:w="100" w:type="dxa"/>
              <w:right w:w="100" w:type="dxa"/>
            </w:tcMar>
          </w:tcPr>
          <w:p w14:paraId="361798BA"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P value</w:t>
            </w:r>
          </w:p>
        </w:tc>
      </w:tr>
      <w:tr w:rsidR="009D2F13" w14:paraId="38CA1E3F" w14:textId="77777777">
        <w:tc>
          <w:tcPr>
            <w:tcW w:w="1872" w:type="dxa"/>
            <w:shd w:val="clear" w:color="auto" w:fill="auto"/>
            <w:tcMar>
              <w:top w:w="100" w:type="dxa"/>
              <w:left w:w="100" w:type="dxa"/>
              <w:bottom w:w="100" w:type="dxa"/>
              <w:right w:w="100" w:type="dxa"/>
            </w:tcMar>
          </w:tcPr>
          <w:p w14:paraId="4E4D4FA3"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(Intercepts)</w:t>
            </w:r>
          </w:p>
        </w:tc>
        <w:tc>
          <w:tcPr>
            <w:tcW w:w="1872" w:type="dxa"/>
            <w:shd w:val="clear" w:color="auto" w:fill="auto"/>
            <w:tcMar>
              <w:top w:w="100" w:type="dxa"/>
              <w:left w:w="100" w:type="dxa"/>
              <w:bottom w:w="100" w:type="dxa"/>
              <w:right w:w="100" w:type="dxa"/>
            </w:tcMar>
          </w:tcPr>
          <w:p w14:paraId="06F504EC"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-0.93684</w:t>
            </w:r>
          </w:p>
        </w:tc>
        <w:tc>
          <w:tcPr>
            <w:tcW w:w="1872" w:type="dxa"/>
            <w:shd w:val="clear" w:color="auto" w:fill="auto"/>
            <w:tcMar>
              <w:top w:w="100" w:type="dxa"/>
              <w:left w:w="100" w:type="dxa"/>
              <w:bottom w:w="100" w:type="dxa"/>
              <w:right w:w="100" w:type="dxa"/>
            </w:tcMar>
          </w:tcPr>
          <w:p w14:paraId="00CA8A02"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1.12871</w:t>
            </w:r>
          </w:p>
        </w:tc>
        <w:tc>
          <w:tcPr>
            <w:tcW w:w="1872" w:type="dxa"/>
            <w:shd w:val="clear" w:color="auto" w:fill="auto"/>
            <w:tcMar>
              <w:top w:w="100" w:type="dxa"/>
              <w:left w:w="100" w:type="dxa"/>
              <w:bottom w:w="100" w:type="dxa"/>
              <w:right w:w="100" w:type="dxa"/>
            </w:tcMar>
          </w:tcPr>
          <w:p w14:paraId="751D3202"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-0.830</w:t>
            </w:r>
          </w:p>
        </w:tc>
        <w:tc>
          <w:tcPr>
            <w:tcW w:w="1872" w:type="dxa"/>
            <w:shd w:val="clear" w:color="auto" w:fill="auto"/>
            <w:tcMar>
              <w:top w:w="100" w:type="dxa"/>
              <w:left w:w="100" w:type="dxa"/>
              <w:bottom w:w="100" w:type="dxa"/>
              <w:right w:w="100" w:type="dxa"/>
            </w:tcMar>
          </w:tcPr>
          <w:p w14:paraId="7C147B46"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0.40654</w:t>
            </w:r>
          </w:p>
        </w:tc>
      </w:tr>
      <w:tr w:rsidR="009D2F13" w14:paraId="2B1B9335" w14:textId="77777777">
        <w:tc>
          <w:tcPr>
            <w:tcW w:w="1872" w:type="dxa"/>
            <w:shd w:val="clear" w:color="auto" w:fill="auto"/>
            <w:tcMar>
              <w:top w:w="100" w:type="dxa"/>
              <w:left w:w="100" w:type="dxa"/>
              <w:bottom w:w="100" w:type="dxa"/>
              <w:right w:w="100" w:type="dxa"/>
            </w:tcMar>
          </w:tcPr>
          <w:p w14:paraId="3CF72D6E"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 xml:space="preserve">Length </w:t>
            </w:r>
          </w:p>
        </w:tc>
        <w:tc>
          <w:tcPr>
            <w:tcW w:w="1872" w:type="dxa"/>
            <w:shd w:val="clear" w:color="auto" w:fill="auto"/>
            <w:tcMar>
              <w:top w:w="100" w:type="dxa"/>
              <w:left w:w="100" w:type="dxa"/>
              <w:bottom w:w="100" w:type="dxa"/>
              <w:right w:w="100" w:type="dxa"/>
            </w:tcMar>
          </w:tcPr>
          <w:p w14:paraId="7196A6EE"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0.31486</w:t>
            </w:r>
          </w:p>
        </w:tc>
        <w:tc>
          <w:tcPr>
            <w:tcW w:w="1872" w:type="dxa"/>
            <w:shd w:val="clear" w:color="auto" w:fill="auto"/>
            <w:tcMar>
              <w:top w:w="100" w:type="dxa"/>
              <w:left w:w="100" w:type="dxa"/>
              <w:bottom w:w="100" w:type="dxa"/>
              <w:right w:w="100" w:type="dxa"/>
            </w:tcMar>
          </w:tcPr>
          <w:p w14:paraId="3B8EEDB9"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0.11000</w:t>
            </w:r>
          </w:p>
        </w:tc>
        <w:tc>
          <w:tcPr>
            <w:tcW w:w="1872" w:type="dxa"/>
            <w:shd w:val="clear" w:color="auto" w:fill="auto"/>
            <w:tcMar>
              <w:top w:w="100" w:type="dxa"/>
              <w:left w:w="100" w:type="dxa"/>
              <w:bottom w:w="100" w:type="dxa"/>
              <w:right w:w="100" w:type="dxa"/>
            </w:tcMar>
          </w:tcPr>
          <w:p w14:paraId="7542B662"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2.862</w:t>
            </w:r>
          </w:p>
        </w:tc>
        <w:tc>
          <w:tcPr>
            <w:tcW w:w="1872" w:type="dxa"/>
            <w:shd w:val="clear" w:color="auto" w:fill="auto"/>
            <w:tcMar>
              <w:top w:w="100" w:type="dxa"/>
              <w:left w:w="100" w:type="dxa"/>
              <w:bottom w:w="100" w:type="dxa"/>
              <w:right w:w="100" w:type="dxa"/>
            </w:tcMar>
          </w:tcPr>
          <w:p w14:paraId="1B5BC830"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0.00421</w:t>
            </w:r>
          </w:p>
        </w:tc>
      </w:tr>
      <w:tr w:rsidR="009D2F13" w14:paraId="5462F812" w14:textId="77777777">
        <w:tc>
          <w:tcPr>
            <w:tcW w:w="1872" w:type="dxa"/>
            <w:shd w:val="clear" w:color="auto" w:fill="auto"/>
            <w:tcMar>
              <w:top w:w="100" w:type="dxa"/>
              <w:left w:w="100" w:type="dxa"/>
              <w:bottom w:w="100" w:type="dxa"/>
              <w:right w:w="100" w:type="dxa"/>
            </w:tcMar>
          </w:tcPr>
          <w:p w14:paraId="5BEB33D1"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Site: False Bay</w:t>
            </w:r>
          </w:p>
        </w:tc>
        <w:tc>
          <w:tcPr>
            <w:tcW w:w="1872" w:type="dxa"/>
            <w:shd w:val="clear" w:color="auto" w:fill="auto"/>
            <w:tcMar>
              <w:top w:w="100" w:type="dxa"/>
              <w:left w:w="100" w:type="dxa"/>
              <w:bottom w:w="100" w:type="dxa"/>
              <w:right w:w="100" w:type="dxa"/>
            </w:tcMar>
          </w:tcPr>
          <w:p w14:paraId="692FB16A"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0.92577</w:t>
            </w:r>
          </w:p>
        </w:tc>
        <w:tc>
          <w:tcPr>
            <w:tcW w:w="1872" w:type="dxa"/>
            <w:shd w:val="clear" w:color="auto" w:fill="auto"/>
            <w:tcMar>
              <w:top w:w="100" w:type="dxa"/>
              <w:left w:w="100" w:type="dxa"/>
              <w:bottom w:w="100" w:type="dxa"/>
              <w:right w:w="100" w:type="dxa"/>
            </w:tcMar>
          </w:tcPr>
          <w:p w14:paraId="65B61D33"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0.72019</w:t>
            </w:r>
          </w:p>
        </w:tc>
        <w:tc>
          <w:tcPr>
            <w:tcW w:w="1872" w:type="dxa"/>
            <w:shd w:val="clear" w:color="auto" w:fill="auto"/>
            <w:tcMar>
              <w:top w:w="100" w:type="dxa"/>
              <w:left w:w="100" w:type="dxa"/>
              <w:bottom w:w="100" w:type="dxa"/>
              <w:right w:w="100" w:type="dxa"/>
            </w:tcMar>
          </w:tcPr>
          <w:p w14:paraId="168B2ABC"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1.285</w:t>
            </w:r>
          </w:p>
        </w:tc>
        <w:tc>
          <w:tcPr>
            <w:tcW w:w="1872" w:type="dxa"/>
            <w:shd w:val="clear" w:color="auto" w:fill="auto"/>
            <w:tcMar>
              <w:top w:w="100" w:type="dxa"/>
              <w:left w:w="100" w:type="dxa"/>
              <w:bottom w:w="100" w:type="dxa"/>
              <w:right w:w="100" w:type="dxa"/>
            </w:tcMar>
          </w:tcPr>
          <w:p w14:paraId="73F335C7"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0.19863</w:t>
            </w:r>
          </w:p>
        </w:tc>
      </w:tr>
      <w:tr w:rsidR="009D2F13" w14:paraId="0F0DAA07" w14:textId="77777777">
        <w:tc>
          <w:tcPr>
            <w:tcW w:w="1872" w:type="dxa"/>
            <w:shd w:val="clear" w:color="auto" w:fill="auto"/>
            <w:tcMar>
              <w:top w:w="100" w:type="dxa"/>
              <w:left w:w="100" w:type="dxa"/>
              <w:bottom w:w="100" w:type="dxa"/>
              <w:right w:w="100" w:type="dxa"/>
            </w:tcMar>
          </w:tcPr>
          <w:p w14:paraId="73D3B037"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Site: Friday Harbor Labs Beach</w:t>
            </w:r>
          </w:p>
        </w:tc>
        <w:tc>
          <w:tcPr>
            <w:tcW w:w="1872" w:type="dxa"/>
            <w:shd w:val="clear" w:color="auto" w:fill="auto"/>
            <w:tcMar>
              <w:top w:w="100" w:type="dxa"/>
              <w:left w:w="100" w:type="dxa"/>
              <w:bottom w:w="100" w:type="dxa"/>
              <w:right w:w="100" w:type="dxa"/>
            </w:tcMar>
          </w:tcPr>
          <w:p w14:paraId="1B1C1A7B"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-0.06466</w:t>
            </w:r>
          </w:p>
        </w:tc>
        <w:tc>
          <w:tcPr>
            <w:tcW w:w="1872" w:type="dxa"/>
            <w:shd w:val="clear" w:color="auto" w:fill="auto"/>
            <w:tcMar>
              <w:top w:w="100" w:type="dxa"/>
              <w:left w:w="100" w:type="dxa"/>
              <w:bottom w:w="100" w:type="dxa"/>
              <w:right w:w="100" w:type="dxa"/>
            </w:tcMar>
          </w:tcPr>
          <w:p w14:paraId="203094C3"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0.55106</w:t>
            </w:r>
          </w:p>
        </w:tc>
        <w:tc>
          <w:tcPr>
            <w:tcW w:w="1872" w:type="dxa"/>
            <w:shd w:val="clear" w:color="auto" w:fill="auto"/>
            <w:tcMar>
              <w:top w:w="100" w:type="dxa"/>
              <w:left w:w="100" w:type="dxa"/>
              <w:bottom w:w="100" w:type="dxa"/>
              <w:right w:w="100" w:type="dxa"/>
            </w:tcMar>
          </w:tcPr>
          <w:p w14:paraId="02C7B989"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-0.117</w:t>
            </w:r>
          </w:p>
        </w:tc>
        <w:tc>
          <w:tcPr>
            <w:tcW w:w="1872" w:type="dxa"/>
            <w:shd w:val="clear" w:color="auto" w:fill="auto"/>
            <w:tcMar>
              <w:top w:w="100" w:type="dxa"/>
              <w:left w:w="100" w:type="dxa"/>
              <w:bottom w:w="100" w:type="dxa"/>
              <w:right w:w="100" w:type="dxa"/>
            </w:tcMar>
          </w:tcPr>
          <w:p w14:paraId="43257531"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0.90659</w:t>
            </w:r>
          </w:p>
        </w:tc>
      </w:tr>
      <w:tr w:rsidR="009D2F13" w14:paraId="4CD2A4ED" w14:textId="77777777">
        <w:tc>
          <w:tcPr>
            <w:tcW w:w="1872" w:type="dxa"/>
            <w:shd w:val="clear" w:color="auto" w:fill="auto"/>
            <w:tcMar>
              <w:top w:w="100" w:type="dxa"/>
              <w:left w:w="100" w:type="dxa"/>
              <w:bottom w:w="100" w:type="dxa"/>
              <w:right w:w="100" w:type="dxa"/>
            </w:tcMar>
          </w:tcPr>
          <w:p w14:paraId="1A409521"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Site: Griffin Bay</w:t>
            </w:r>
          </w:p>
        </w:tc>
        <w:tc>
          <w:tcPr>
            <w:tcW w:w="1872" w:type="dxa"/>
            <w:shd w:val="clear" w:color="auto" w:fill="auto"/>
            <w:tcMar>
              <w:top w:w="100" w:type="dxa"/>
              <w:left w:w="100" w:type="dxa"/>
              <w:bottom w:w="100" w:type="dxa"/>
              <w:right w:w="100" w:type="dxa"/>
            </w:tcMar>
          </w:tcPr>
          <w:p w14:paraId="3AA5CA83"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0.88971</w:t>
            </w:r>
          </w:p>
        </w:tc>
        <w:tc>
          <w:tcPr>
            <w:tcW w:w="1872" w:type="dxa"/>
            <w:shd w:val="clear" w:color="auto" w:fill="auto"/>
            <w:tcMar>
              <w:top w:w="100" w:type="dxa"/>
              <w:left w:w="100" w:type="dxa"/>
              <w:bottom w:w="100" w:type="dxa"/>
              <w:right w:w="100" w:type="dxa"/>
            </w:tcMar>
          </w:tcPr>
          <w:p w14:paraId="0556CDEC"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0.67301</w:t>
            </w:r>
          </w:p>
        </w:tc>
        <w:tc>
          <w:tcPr>
            <w:tcW w:w="1872" w:type="dxa"/>
            <w:shd w:val="clear" w:color="auto" w:fill="auto"/>
            <w:tcMar>
              <w:top w:w="100" w:type="dxa"/>
              <w:left w:w="100" w:type="dxa"/>
              <w:bottom w:w="100" w:type="dxa"/>
              <w:right w:w="100" w:type="dxa"/>
            </w:tcMar>
          </w:tcPr>
          <w:p w14:paraId="6E269167"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1.322</w:t>
            </w:r>
          </w:p>
        </w:tc>
        <w:tc>
          <w:tcPr>
            <w:tcW w:w="1872" w:type="dxa"/>
            <w:shd w:val="clear" w:color="auto" w:fill="auto"/>
            <w:tcMar>
              <w:top w:w="100" w:type="dxa"/>
              <w:left w:w="100" w:type="dxa"/>
              <w:bottom w:w="100" w:type="dxa"/>
              <w:right w:w="100" w:type="dxa"/>
            </w:tcMar>
          </w:tcPr>
          <w:p w14:paraId="58A4FEDF" w14:textId="77777777" w:rsidR="009D2F13" w:rsidRDefault="00612736">
            <w:pPr>
              <w:widowControl w:val="0"/>
              <w:pBdr>
                <w:top w:val="nil"/>
                <w:left w:val="nil"/>
                <w:bottom w:val="nil"/>
                <w:right w:val="nil"/>
                <w:between w:val="nil"/>
              </w:pBdr>
              <w:spacing w:line="240" w:lineRule="auto"/>
              <w:ind w:left="0" w:hanging="2"/>
              <w:rPr>
                <w:rFonts w:ascii="Times New Roman" w:eastAsia="Times New Roman" w:hAnsi="Times New Roman" w:cs="Times New Roman"/>
                <w:b/>
                <w:color w:val="2E2E2E"/>
                <w:sz w:val="20"/>
                <w:szCs w:val="20"/>
              </w:rPr>
            </w:pPr>
            <w:r>
              <w:rPr>
                <w:rFonts w:ascii="Times New Roman" w:eastAsia="Times New Roman" w:hAnsi="Times New Roman" w:cs="Times New Roman"/>
                <w:b/>
                <w:color w:val="2E2E2E"/>
                <w:sz w:val="20"/>
                <w:szCs w:val="20"/>
              </w:rPr>
              <w:t>0.18617</w:t>
            </w:r>
          </w:p>
        </w:tc>
      </w:tr>
    </w:tbl>
    <w:p w14:paraId="480DF1DD" w14:textId="77777777" w:rsidR="009D2F13" w:rsidRDefault="00612736">
      <w:pPr>
        <w:spacing w:before="240" w:after="240" w:line="480" w:lineRule="auto"/>
        <w:ind w:left="0" w:hanging="2"/>
        <w:jc w:val="center"/>
        <w:rPr>
          <w:rFonts w:ascii="Times New Roman" w:eastAsia="Times New Roman" w:hAnsi="Times New Roman" w:cs="Times New Roman"/>
          <w:color w:val="2E2E2E"/>
          <w:sz w:val="20"/>
          <w:szCs w:val="20"/>
        </w:rPr>
      </w:pPr>
      <w:r>
        <w:rPr>
          <w:rFonts w:ascii="Times New Roman" w:eastAsia="Times New Roman" w:hAnsi="Times New Roman" w:cs="Times New Roman"/>
          <w:color w:val="2E2E2E"/>
          <w:sz w:val="20"/>
          <w:szCs w:val="20"/>
        </w:rPr>
        <w:t xml:space="preserve">Table 1. </w:t>
      </w:r>
      <w:r>
        <w:rPr>
          <w:rFonts w:ascii="Times New Roman" w:eastAsia="Times New Roman" w:hAnsi="Times New Roman" w:cs="Times New Roman"/>
          <w:color w:val="2E2E2E"/>
          <w:sz w:val="20"/>
          <w:szCs w:val="20"/>
        </w:rPr>
        <w:t xml:space="preserve">Coefficients summary of logistic regression model. Length is a significant predictive factor (p-value = 0.00421), where every 1cm increase in </w:t>
      </w:r>
      <w:r>
        <w:rPr>
          <w:rFonts w:ascii="Times New Roman" w:eastAsia="Times New Roman" w:hAnsi="Times New Roman" w:cs="Times New Roman"/>
          <w:i/>
          <w:color w:val="2E2E2E"/>
          <w:sz w:val="20"/>
          <w:szCs w:val="20"/>
        </w:rPr>
        <w:t xml:space="preserve">C.gigas </w:t>
      </w:r>
      <w:r>
        <w:rPr>
          <w:rFonts w:ascii="Times New Roman" w:eastAsia="Times New Roman" w:hAnsi="Times New Roman" w:cs="Times New Roman"/>
          <w:color w:val="2E2E2E"/>
          <w:sz w:val="20"/>
          <w:szCs w:val="20"/>
        </w:rPr>
        <w:t>length is associated with an increase in the odds of an oyster being alive. Sites FB (False Bay), FH (Friday Harbor Labs Beach), and GB (Griffin Bay) were tested against Beaverton Cove, where no significant difference was found (p-values= 0.198, 0.907, 0.1</w:t>
      </w:r>
      <w:r>
        <w:rPr>
          <w:rFonts w:ascii="Times New Roman" w:eastAsia="Times New Roman" w:hAnsi="Times New Roman" w:cs="Times New Roman"/>
          <w:color w:val="2E2E2E"/>
          <w:sz w:val="20"/>
          <w:szCs w:val="20"/>
        </w:rPr>
        <w:t xml:space="preserve">86). </w:t>
      </w:r>
    </w:p>
    <w:p w14:paraId="5A0475FD" w14:textId="77777777" w:rsidR="009D2F13" w:rsidRDefault="009D2F13">
      <w:pPr>
        <w:spacing w:before="240" w:after="240" w:line="480" w:lineRule="auto"/>
        <w:ind w:left="0" w:hanging="2"/>
        <w:jc w:val="center"/>
        <w:rPr>
          <w:rFonts w:ascii="Times New Roman" w:eastAsia="Times New Roman" w:hAnsi="Times New Roman" w:cs="Times New Roman"/>
          <w:color w:val="2E2E2E"/>
          <w:sz w:val="24"/>
          <w:szCs w:val="24"/>
        </w:rPr>
      </w:pPr>
    </w:p>
    <w:p w14:paraId="782F486B" w14:textId="77777777" w:rsidR="009D2F13" w:rsidRDefault="00612736">
      <w:pPr>
        <w:spacing w:before="240" w:after="240" w:line="48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b/>
          <w:noProof/>
          <w:color w:val="2E2E2E"/>
          <w:sz w:val="24"/>
          <w:szCs w:val="24"/>
        </w:rPr>
        <w:lastRenderedPageBreak/>
        <w:drawing>
          <wp:inline distT="0" distB="0" distL="114300" distR="114300" wp14:anchorId="60A43917" wp14:editId="172F0ED6">
            <wp:extent cx="5949950" cy="4075430"/>
            <wp:effectExtent l="0" t="0" r="0" b="0"/>
            <wp:docPr id="103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5949950" cy="4075430"/>
                    </a:xfrm>
                    <a:prstGeom prst="rect">
                      <a:avLst/>
                    </a:prstGeom>
                    <a:ln/>
                  </pic:spPr>
                </pic:pic>
              </a:graphicData>
            </a:graphic>
          </wp:inline>
        </w:drawing>
      </w:r>
    </w:p>
    <w:p w14:paraId="48FA2516" w14:textId="77777777" w:rsidR="009D2F13" w:rsidRDefault="00612736">
      <w:pPr>
        <w:spacing w:before="240" w:after="240" w:line="480" w:lineRule="auto"/>
        <w:ind w:left="0" w:hanging="2"/>
        <w:jc w:val="center"/>
        <w:rPr>
          <w:rFonts w:ascii="Times New Roman" w:eastAsia="Times New Roman" w:hAnsi="Times New Roman" w:cs="Times New Roman"/>
          <w:color w:val="2E2E2E"/>
          <w:sz w:val="20"/>
          <w:szCs w:val="20"/>
        </w:rPr>
      </w:pPr>
      <w:r>
        <w:rPr>
          <w:rFonts w:ascii="Times New Roman" w:eastAsia="Times New Roman" w:hAnsi="Times New Roman" w:cs="Times New Roman"/>
          <w:color w:val="2E2E2E"/>
          <w:sz w:val="20"/>
          <w:szCs w:val="20"/>
        </w:rPr>
        <w:t xml:space="preserve">Figure </w:t>
      </w:r>
      <w:r>
        <w:rPr>
          <w:rFonts w:ascii="Times New Roman" w:eastAsia="Times New Roman" w:hAnsi="Times New Roman" w:cs="Times New Roman"/>
          <w:color w:val="2E2E2E"/>
          <w:sz w:val="20"/>
          <w:szCs w:val="20"/>
        </w:rPr>
        <w:t>3</w:t>
      </w:r>
      <w:r>
        <w:rPr>
          <w:rFonts w:ascii="Times New Roman" w:eastAsia="Times New Roman" w:hAnsi="Times New Roman" w:cs="Times New Roman"/>
          <w:color w:val="2E2E2E"/>
          <w:sz w:val="20"/>
          <w:szCs w:val="20"/>
        </w:rPr>
        <w:t>. Plot of logistic regression model across 4 sites</w:t>
      </w:r>
      <w:r>
        <w:rPr>
          <w:rFonts w:ascii="Times New Roman" w:eastAsia="Times New Roman" w:hAnsi="Times New Roman" w:cs="Times New Roman"/>
          <w:color w:val="2E2E2E"/>
          <w:sz w:val="20"/>
          <w:szCs w:val="20"/>
        </w:rPr>
        <w:t xml:space="preserve">, showing a </w:t>
      </w:r>
      <w:r>
        <w:rPr>
          <w:rFonts w:ascii="Times New Roman" w:eastAsia="Times New Roman" w:hAnsi="Times New Roman" w:cs="Times New Roman"/>
          <w:color w:val="2E2E2E"/>
          <w:sz w:val="20"/>
          <w:szCs w:val="20"/>
        </w:rPr>
        <w:t xml:space="preserve">95% confidence interval in the shaded region.. </w:t>
      </w:r>
      <w:r>
        <w:rPr>
          <w:rFonts w:ascii="Times New Roman" w:eastAsia="Times New Roman" w:hAnsi="Times New Roman" w:cs="Times New Roman"/>
          <w:color w:val="2E2E2E"/>
          <w:sz w:val="20"/>
          <w:szCs w:val="20"/>
        </w:rPr>
        <w:t>There is a p</w:t>
      </w:r>
      <w:r>
        <w:rPr>
          <w:rFonts w:ascii="Times New Roman" w:eastAsia="Times New Roman" w:hAnsi="Times New Roman" w:cs="Times New Roman"/>
          <w:color w:val="2E2E2E"/>
          <w:sz w:val="20"/>
          <w:szCs w:val="20"/>
        </w:rPr>
        <w:t xml:space="preserve">ositive association between </w:t>
      </w:r>
      <w:r>
        <w:rPr>
          <w:rFonts w:ascii="Times New Roman" w:eastAsia="Times New Roman" w:hAnsi="Times New Roman" w:cs="Times New Roman"/>
          <w:i/>
          <w:color w:val="2E2E2E"/>
          <w:sz w:val="20"/>
          <w:szCs w:val="20"/>
        </w:rPr>
        <w:t xml:space="preserve">C.gigas </w:t>
      </w:r>
      <w:r>
        <w:rPr>
          <w:rFonts w:ascii="Times New Roman" w:eastAsia="Times New Roman" w:hAnsi="Times New Roman" w:cs="Times New Roman"/>
          <w:color w:val="2E2E2E"/>
          <w:sz w:val="20"/>
          <w:szCs w:val="20"/>
        </w:rPr>
        <w:t>length (cm) and predicted probability of individual being alive as shown by the li</w:t>
      </w:r>
      <w:r>
        <w:rPr>
          <w:rFonts w:ascii="Times New Roman" w:eastAsia="Times New Roman" w:hAnsi="Times New Roman" w:cs="Times New Roman"/>
          <w:color w:val="2E2E2E"/>
          <w:sz w:val="20"/>
          <w:szCs w:val="20"/>
        </w:rPr>
        <w:t>n</w:t>
      </w:r>
      <w:r>
        <w:rPr>
          <w:rFonts w:ascii="Times New Roman" w:eastAsia="Times New Roman" w:hAnsi="Times New Roman" w:cs="Times New Roman"/>
          <w:color w:val="2E2E2E"/>
          <w:sz w:val="20"/>
          <w:szCs w:val="20"/>
        </w:rPr>
        <w:t>e.</w:t>
      </w:r>
      <w:r>
        <w:rPr>
          <w:rFonts w:ascii="Times New Roman" w:eastAsia="Times New Roman" w:hAnsi="Times New Roman" w:cs="Times New Roman"/>
          <w:color w:val="2E2E2E"/>
          <w:sz w:val="20"/>
          <w:szCs w:val="20"/>
        </w:rPr>
        <w:t xml:space="preserve"> </w:t>
      </w:r>
      <w:r>
        <w:rPr>
          <w:rFonts w:ascii="Times New Roman" w:eastAsia="Times New Roman" w:hAnsi="Times New Roman" w:cs="Times New Roman"/>
          <w:color w:val="2E2E2E"/>
          <w:sz w:val="20"/>
          <w:szCs w:val="20"/>
        </w:rPr>
        <w:t>There is n</w:t>
      </w:r>
      <w:r>
        <w:rPr>
          <w:rFonts w:ascii="Times New Roman" w:eastAsia="Times New Roman" w:hAnsi="Times New Roman" w:cs="Times New Roman"/>
          <w:color w:val="2E2E2E"/>
          <w:sz w:val="20"/>
          <w:szCs w:val="20"/>
        </w:rPr>
        <w:t xml:space="preserve">o significant difference in </w:t>
      </w:r>
      <w:r>
        <w:rPr>
          <w:rFonts w:ascii="Times New Roman" w:eastAsia="Times New Roman" w:hAnsi="Times New Roman" w:cs="Times New Roman"/>
          <w:color w:val="2E2E2E"/>
          <w:sz w:val="20"/>
          <w:szCs w:val="20"/>
        </w:rPr>
        <w:t>the assocation</w:t>
      </w:r>
      <w:r>
        <w:rPr>
          <w:rFonts w:ascii="Times New Roman" w:eastAsia="Times New Roman" w:hAnsi="Times New Roman" w:cs="Times New Roman"/>
          <w:color w:val="2E2E2E"/>
          <w:sz w:val="20"/>
          <w:szCs w:val="20"/>
        </w:rPr>
        <w:t xml:space="preserve"> between sites. </w:t>
      </w:r>
    </w:p>
    <w:p w14:paraId="3F6D8C57" w14:textId="77777777" w:rsidR="009D2F13" w:rsidRDefault="009D2F13">
      <w:pPr>
        <w:spacing w:before="240" w:after="240" w:line="480" w:lineRule="auto"/>
        <w:ind w:left="0" w:hanging="2"/>
        <w:jc w:val="center"/>
        <w:rPr>
          <w:rFonts w:ascii="Times New Roman" w:eastAsia="Times New Roman" w:hAnsi="Times New Roman" w:cs="Times New Roman"/>
          <w:color w:val="2E2E2E"/>
          <w:sz w:val="24"/>
          <w:szCs w:val="24"/>
        </w:rPr>
      </w:pPr>
    </w:p>
    <w:p w14:paraId="68ADCD27" w14:textId="77777777" w:rsidR="009D2F13" w:rsidRDefault="00612736">
      <w:pPr>
        <w:spacing w:before="240" w:after="240" w:line="48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noProof/>
          <w:color w:val="2E2E2E"/>
          <w:sz w:val="24"/>
          <w:szCs w:val="24"/>
        </w:rPr>
        <w:drawing>
          <wp:inline distT="0" distB="0" distL="114300" distR="114300" wp14:anchorId="0358D54D" wp14:editId="01FBAF3D">
            <wp:extent cx="5951220" cy="419100"/>
            <wp:effectExtent l="0" t="0" r="0" b="0"/>
            <wp:docPr id="103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5951220" cy="419100"/>
                    </a:xfrm>
                    <a:prstGeom prst="rect">
                      <a:avLst/>
                    </a:prstGeom>
                    <a:ln/>
                  </pic:spPr>
                </pic:pic>
              </a:graphicData>
            </a:graphic>
          </wp:inline>
        </w:drawing>
      </w:r>
    </w:p>
    <w:p w14:paraId="6EA4526B" w14:textId="77777777" w:rsidR="009D2F13" w:rsidRDefault="00612736">
      <w:pPr>
        <w:spacing w:before="240" w:after="240" w:line="48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0"/>
          <w:szCs w:val="20"/>
        </w:rPr>
        <w:t xml:space="preserve">Table 2. </w:t>
      </w:r>
      <w:r>
        <w:rPr>
          <w:rFonts w:ascii="Times New Roman" w:eastAsia="Times New Roman" w:hAnsi="Times New Roman" w:cs="Times New Roman"/>
          <w:color w:val="2E2E2E"/>
          <w:sz w:val="20"/>
          <w:szCs w:val="20"/>
        </w:rPr>
        <w:t xml:space="preserve">Percent </w:t>
      </w:r>
      <w:r>
        <w:rPr>
          <w:rFonts w:ascii="Times New Roman" w:eastAsia="Times New Roman" w:hAnsi="Times New Roman" w:cs="Times New Roman"/>
          <w:color w:val="2E2E2E"/>
          <w:sz w:val="20"/>
          <w:szCs w:val="20"/>
        </w:rPr>
        <w:t xml:space="preserve">mortality in </w:t>
      </w:r>
      <w:r>
        <w:rPr>
          <w:rFonts w:ascii="Times New Roman" w:eastAsia="Times New Roman" w:hAnsi="Times New Roman" w:cs="Times New Roman"/>
          <w:i/>
          <w:color w:val="2E2E2E"/>
          <w:sz w:val="20"/>
          <w:szCs w:val="20"/>
        </w:rPr>
        <w:t>C.gigas</w:t>
      </w:r>
      <w:r>
        <w:rPr>
          <w:rFonts w:ascii="Times New Roman" w:eastAsia="Times New Roman" w:hAnsi="Times New Roman" w:cs="Times New Roman"/>
          <w:color w:val="2E2E2E"/>
          <w:sz w:val="20"/>
          <w:szCs w:val="20"/>
        </w:rPr>
        <w:t>, as calculated using survey data across 4 sites and in total. Values determined by (total de</w:t>
      </w:r>
      <w:r>
        <w:rPr>
          <w:rFonts w:ascii="Times New Roman" w:eastAsia="Times New Roman" w:hAnsi="Times New Roman" w:cs="Times New Roman"/>
          <w:color w:val="2E2E2E"/>
          <w:sz w:val="20"/>
          <w:szCs w:val="20"/>
        </w:rPr>
        <w:t>ad</w:t>
      </w:r>
      <w:r>
        <w:rPr>
          <w:rFonts w:ascii="Times New Roman" w:eastAsia="Times New Roman" w:hAnsi="Times New Roman" w:cs="Times New Roman"/>
          <w:color w:val="2E2E2E"/>
          <w:sz w:val="20"/>
          <w:szCs w:val="20"/>
        </w:rPr>
        <w:t xml:space="preserve">/total individuals)*100. </w:t>
      </w:r>
    </w:p>
    <w:p w14:paraId="30FAB960" w14:textId="77777777" w:rsidR="009D2F13" w:rsidRDefault="00612736">
      <w:pPr>
        <w:spacing w:before="240" w:after="240" w:line="480" w:lineRule="auto"/>
        <w:ind w:left="0" w:hanging="2"/>
        <w:jc w:val="both"/>
        <w:rPr>
          <w:rFonts w:ascii="Times New Roman" w:eastAsia="Times New Roman" w:hAnsi="Times New Roman" w:cs="Times New Roman"/>
          <w:color w:val="2E2E2E"/>
          <w:sz w:val="24"/>
          <w:szCs w:val="24"/>
        </w:rPr>
      </w:pPr>
      <w:r>
        <w:rPr>
          <w:rFonts w:ascii="Times New Roman" w:eastAsia="Times New Roman" w:hAnsi="Times New Roman" w:cs="Times New Roman"/>
          <w:b/>
          <w:color w:val="2E2E2E"/>
          <w:sz w:val="24"/>
          <w:szCs w:val="24"/>
        </w:rPr>
        <w:t>Discussion</w:t>
      </w:r>
    </w:p>
    <w:p w14:paraId="1DA65DEF"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lastRenderedPageBreak/>
        <w:t>The data show that</w:t>
      </w:r>
      <w:r>
        <w:rPr>
          <w:rFonts w:ascii="Times New Roman" w:eastAsia="Times New Roman" w:hAnsi="Times New Roman" w:cs="Times New Roman"/>
          <w:i/>
          <w:color w:val="2E2E2E"/>
          <w:sz w:val="24"/>
          <w:szCs w:val="24"/>
        </w:rPr>
        <w:t xml:space="preserve"> C.gigas</w:t>
      </w:r>
      <w:r>
        <w:rPr>
          <w:rFonts w:ascii="Times New Roman" w:eastAsia="Times New Roman" w:hAnsi="Times New Roman" w:cs="Times New Roman"/>
          <w:color w:val="2E2E2E"/>
          <w:sz w:val="24"/>
          <w:szCs w:val="24"/>
        </w:rPr>
        <w:t xml:space="preserve"> individuals of greater length were more likely to be alive. This suggests that the individuals that survived the summer 2021 heat dome were of greater length than those which did not. When under repeated exposure to marine heatwa</w:t>
      </w:r>
      <w:r>
        <w:rPr>
          <w:rFonts w:ascii="Times New Roman" w:eastAsia="Times New Roman" w:hAnsi="Times New Roman" w:cs="Times New Roman"/>
          <w:color w:val="2E2E2E"/>
          <w:sz w:val="24"/>
          <w:szCs w:val="24"/>
        </w:rPr>
        <w:t>ves, it was found that Pearl Oyster</w:t>
      </w:r>
      <w:r>
        <w:rPr>
          <w:rFonts w:ascii="Times New Roman" w:eastAsia="Times New Roman" w:hAnsi="Times New Roman" w:cs="Times New Roman"/>
          <w:color w:val="2E2E2E"/>
          <w:sz w:val="24"/>
          <w:szCs w:val="24"/>
        </w:rPr>
        <w:t>s</w:t>
      </w:r>
      <w:r>
        <w:rPr>
          <w:rFonts w:ascii="Times New Roman" w:eastAsia="Times New Roman" w:hAnsi="Times New Roman" w:cs="Times New Roman"/>
          <w:i/>
          <w:color w:val="2E2E2E"/>
          <w:sz w:val="24"/>
          <w:szCs w:val="24"/>
        </w:rPr>
        <w:t xml:space="preserve">, </w:t>
      </w:r>
      <w:hyperlink r:id="rId9">
        <w:r>
          <w:rPr>
            <w:rFonts w:ascii="Times New Roman" w:eastAsia="Times New Roman" w:hAnsi="Times New Roman" w:cs="Times New Roman"/>
            <w:i/>
            <w:color w:val="2E2E2E"/>
            <w:sz w:val="24"/>
            <w:szCs w:val="24"/>
          </w:rPr>
          <w:t>Pinctada maxima</w:t>
        </w:r>
      </w:hyperlink>
      <w:r>
        <w:rPr>
          <w:rFonts w:ascii="Times New Roman" w:eastAsia="Times New Roman" w:hAnsi="Times New Roman" w:cs="Times New Roman"/>
          <w:i/>
          <w:color w:val="2E2E2E"/>
          <w:sz w:val="24"/>
          <w:szCs w:val="24"/>
        </w:rPr>
        <w:t xml:space="preserve">, </w:t>
      </w:r>
      <w:r>
        <w:rPr>
          <w:rFonts w:ascii="Times New Roman" w:eastAsia="Times New Roman" w:hAnsi="Times New Roman" w:cs="Times New Roman"/>
          <w:color w:val="2E2E2E"/>
          <w:sz w:val="24"/>
          <w:szCs w:val="24"/>
        </w:rPr>
        <w:t>showed decreases in thermal stress response, indicating an abil</w:t>
      </w:r>
      <w:r>
        <w:rPr>
          <w:rFonts w:ascii="Times New Roman" w:eastAsia="Times New Roman" w:hAnsi="Times New Roman" w:cs="Times New Roman"/>
          <w:color w:val="2E2E2E"/>
          <w:sz w:val="24"/>
          <w:szCs w:val="24"/>
        </w:rPr>
        <w:t xml:space="preserve">ity to rapidly acclimate to marine heatwaves (Xu et. al, 2021). Given this, the older and larger Pacific Oysters may have been better </w:t>
      </w:r>
      <w:r>
        <w:rPr>
          <w:rFonts w:ascii="Times New Roman" w:eastAsia="Times New Roman" w:hAnsi="Times New Roman" w:cs="Times New Roman"/>
          <w:color w:val="2E2E2E"/>
          <w:sz w:val="24"/>
          <w:szCs w:val="24"/>
        </w:rPr>
        <w:t xml:space="preserve">able </w:t>
      </w:r>
      <w:r>
        <w:rPr>
          <w:rFonts w:ascii="Times New Roman" w:eastAsia="Times New Roman" w:hAnsi="Times New Roman" w:cs="Times New Roman"/>
          <w:color w:val="2E2E2E"/>
          <w:sz w:val="24"/>
          <w:szCs w:val="24"/>
        </w:rPr>
        <w:t xml:space="preserve">to survive the 2021 heat dome due to prior exposure to high temperatures. </w:t>
      </w:r>
    </w:p>
    <w:p w14:paraId="126E6D4C"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Given the </w:t>
      </w:r>
      <w:r>
        <w:rPr>
          <w:rFonts w:ascii="Times New Roman" w:eastAsia="Times New Roman" w:hAnsi="Times New Roman" w:cs="Times New Roman"/>
          <w:color w:val="2E2E2E"/>
          <w:sz w:val="24"/>
          <w:szCs w:val="24"/>
        </w:rPr>
        <w:t xml:space="preserve">lack of significant </w:t>
      </w:r>
      <w:r>
        <w:rPr>
          <w:rFonts w:ascii="Times New Roman" w:eastAsia="Times New Roman" w:hAnsi="Times New Roman" w:cs="Times New Roman"/>
          <w:color w:val="2E2E2E"/>
          <w:sz w:val="24"/>
          <w:szCs w:val="24"/>
        </w:rPr>
        <w:t>difference i</w:t>
      </w:r>
      <w:r>
        <w:rPr>
          <w:rFonts w:ascii="Times New Roman" w:eastAsia="Times New Roman" w:hAnsi="Times New Roman" w:cs="Times New Roman"/>
          <w:color w:val="2E2E2E"/>
          <w:sz w:val="24"/>
          <w:szCs w:val="24"/>
        </w:rPr>
        <w:t>n the data between the 4 sites, we can more confidently conclude that this positive association between greater length and survival is representative of the surveyed areas. We cannot extrapolate this data to represent San Juan Island in a larger sense, how</w:t>
      </w:r>
      <w:r>
        <w:rPr>
          <w:rFonts w:ascii="Times New Roman" w:eastAsia="Times New Roman" w:hAnsi="Times New Roman" w:cs="Times New Roman"/>
          <w:color w:val="2E2E2E"/>
          <w:sz w:val="24"/>
          <w:szCs w:val="24"/>
        </w:rPr>
        <w:t xml:space="preserve">ever. Our 4 survey sites were located on the southern half of the island, and therefore did not adequately represent the northern half in our data. </w:t>
      </w:r>
    </w:p>
    <w:p w14:paraId="3163BD6C"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The overall percent mortality of 8.57% is consistent with what </w:t>
      </w:r>
      <w:r>
        <w:rPr>
          <w:rFonts w:ascii="Times New Roman" w:eastAsia="Times New Roman" w:hAnsi="Times New Roman" w:cs="Times New Roman"/>
          <w:color w:val="2E2E2E"/>
          <w:sz w:val="24"/>
          <w:szCs w:val="24"/>
        </w:rPr>
        <w:t>other recent</w:t>
      </w:r>
      <w:r>
        <w:rPr>
          <w:rFonts w:ascii="Times New Roman" w:eastAsia="Times New Roman" w:hAnsi="Times New Roman" w:cs="Times New Roman"/>
          <w:color w:val="2E2E2E"/>
          <w:sz w:val="24"/>
          <w:szCs w:val="24"/>
        </w:rPr>
        <w:t xml:space="preserve"> studies suggest. Some estimates</w:t>
      </w:r>
      <w:r>
        <w:rPr>
          <w:rFonts w:ascii="Times New Roman" w:eastAsia="Times New Roman" w:hAnsi="Times New Roman" w:cs="Times New Roman"/>
          <w:color w:val="2E2E2E"/>
          <w:sz w:val="24"/>
          <w:szCs w:val="24"/>
        </w:rPr>
        <w:t xml:space="preserve"> for oyster mortality following the heat dome event are as high as 30%, whereas others range from 5-18% (Royal, 2022). </w:t>
      </w:r>
    </w:p>
    <w:p w14:paraId="5A66B6A5"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The recent cases of high shellfish mortality are being attributed to the heat dome of summer 2021, with high atmospheric pressures, dry </w:t>
      </w:r>
      <w:r>
        <w:rPr>
          <w:rFonts w:ascii="Times New Roman" w:eastAsia="Times New Roman" w:hAnsi="Times New Roman" w:cs="Times New Roman"/>
          <w:color w:val="2E2E2E"/>
          <w:sz w:val="24"/>
          <w:szCs w:val="24"/>
        </w:rPr>
        <w:t>conditions, and midday extreme low tides as the major contributors (Thompson et.al, 2022</w:t>
      </w:r>
      <w:r>
        <w:rPr>
          <w:rFonts w:ascii="Times New Roman" w:eastAsia="Times New Roman" w:hAnsi="Times New Roman" w:cs="Times New Roman"/>
          <w:color w:val="2E2E2E"/>
          <w:sz w:val="24"/>
          <w:szCs w:val="24"/>
        </w:rPr>
        <w:t xml:space="preserve">; </w:t>
      </w:r>
      <w:r>
        <w:rPr>
          <w:rFonts w:ascii="Times New Roman" w:eastAsia="Times New Roman" w:hAnsi="Times New Roman" w:cs="Times New Roman"/>
          <w:color w:val="2E2E2E"/>
          <w:sz w:val="24"/>
          <w:szCs w:val="24"/>
        </w:rPr>
        <w:t>WSG, 2021). Shellfish mortalities in the summer months are not uncommon, however. The term “summer mortalities” (King et.al, 2018) is used to encompass large shellfis</w:t>
      </w:r>
      <w:r>
        <w:rPr>
          <w:rFonts w:ascii="Times New Roman" w:eastAsia="Times New Roman" w:hAnsi="Times New Roman" w:cs="Times New Roman"/>
          <w:color w:val="2E2E2E"/>
          <w:sz w:val="24"/>
          <w:szCs w:val="24"/>
        </w:rPr>
        <w:t xml:space="preserve">h die-offs caused by a number of factors including infectious agents, temperature, eutrophication, salinity, and the genetics and physiology of the affected oysters (Malham et.al, 2009). Whether the mortality event following the summer 2021 heat dome was </w:t>
      </w:r>
      <w:r>
        <w:rPr>
          <w:rFonts w:ascii="Times New Roman" w:eastAsia="Times New Roman" w:hAnsi="Times New Roman" w:cs="Times New Roman"/>
          <w:color w:val="2E2E2E"/>
          <w:sz w:val="24"/>
          <w:szCs w:val="24"/>
        </w:rPr>
        <w:lastRenderedPageBreak/>
        <w:t>a</w:t>
      </w:r>
      <w:r>
        <w:rPr>
          <w:rFonts w:ascii="Times New Roman" w:eastAsia="Times New Roman" w:hAnsi="Times New Roman" w:cs="Times New Roman"/>
          <w:color w:val="2E2E2E"/>
          <w:sz w:val="24"/>
          <w:szCs w:val="24"/>
        </w:rPr>
        <w:t>bnormal in the context of these summer mortalities is still unclear, though the prolonged high temperatures appear to be a major contributing factor. It is unclear what greater ecological effects these mortality events might have. Investigation into potent</w:t>
      </w:r>
      <w:r>
        <w:rPr>
          <w:rFonts w:ascii="Times New Roman" w:eastAsia="Times New Roman" w:hAnsi="Times New Roman" w:cs="Times New Roman"/>
          <w:color w:val="2E2E2E"/>
          <w:sz w:val="24"/>
          <w:szCs w:val="24"/>
        </w:rPr>
        <w:t>ial effects of these mortality events at lower trophic levels (WSG &amp; WDFW, 2021), or of heat waves at varying bivalve life-history stages would contribute to our understanding of this developing issue (Xu et.al, 2021).</w:t>
      </w:r>
    </w:p>
    <w:p w14:paraId="3179ACB0"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23E2A020"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4825AA57"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6804A6B7"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157CB5E4"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6C5AA585"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6C8CDA45"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729E8C1D"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477228E6"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0197DCD8"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3A00036A"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2D8FD526"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01F0D75E"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p w14:paraId="0F82EC58" w14:textId="77777777" w:rsidR="009D2F13" w:rsidRDefault="00612736">
      <w:pPr>
        <w:spacing w:before="240" w:after="240" w:line="480" w:lineRule="auto"/>
        <w:ind w:left="0" w:hanging="2"/>
        <w:jc w:val="center"/>
        <w:rPr>
          <w:rFonts w:ascii="Times New Roman" w:eastAsia="Times New Roman" w:hAnsi="Times New Roman" w:cs="Times New Roman"/>
          <w:color w:val="2E2E2E"/>
          <w:sz w:val="24"/>
          <w:szCs w:val="24"/>
        </w:rPr>
      </w:pPr>
      <w:r>
        <w:rPr>
          <w:rFonts w:ascii="Times New Roman" w:eastAsia="Times New Roman" w:hAnsi="Times New Roman" w:cs="Times New Roman"/>
          <w:b/>
          <w:color w:val="2E2E2E"/>
          <w:sz w:val="24"/>
          <w:szCs w:val="24"/>
        </w:rPr>
        <w:lastRenderedPageBreak/>
        <w:t>Literature Cited</w:t>
      </w:r>
    </w:p>
    <w:p w14:paraId="2CB1B27B"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King, W</w:t>
      </w:r>
      <w:r>
        <w:rPr>
          <w:rFonts w:ascii="Times New Roman" w:eastAsia="Times New Roman" w:hAnsi="Times New Roman" w:cs="Times New Roman"/>
          <w:color w:val="2E2E2E"/>
          <w:sz w:val="24"/>
          <w:szCs w:val="24"/>
        </w:rPr>
        <w:t xml:space="preserve">illiam L., et al. “Characterisation of the Pacific Oyster Microbiome during a Summer Mortality Event.” </w:t>
      </w:r>
      <w:r>
        <w:rPr>
          <w:rFonts w:ascii="Times New Roman" w:eastAsia="Times New Roman" w:hAnsi="Times New Roman" w:cs="Times New Roman"/>
          <w:i/>
          <w:color w:val="2E2E2E"/>
          <w:sz w:val="24"/>
          <w:szCs w:val="24"/>
        </w:rPr>
        <w:t>Microbial Ecology</w:t>
      </w:r>
      <w:r>
        <w:rPr>
          <w:rFonts w:ascii="Times New Roman" w:eastAsia="Times New Roman" w:hAnsi="Times New Roman" w:cs="Times New Roman"/>
          <w:color w:val="2E2E2E"/>
          <w:sz w:val="24"/>
          <w:szCs w:val="24"/>
        </w:rPr>
        <w:t>, vol. 77, no. 2, 10 July 2018, pp. 502–512., https://doi.org/10.1007/s00248-018-1226-9. Accessed 24 May 2022.</w:t>
      </w:r>
    </w:p>
    <w:p w14:paraId="3818E03E"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Lin, Hai, et al. “The 202</w:t>
      </w:r>
      <w:r>
        <w:rPr>
          <w:rFonts w:ascii="Times New Roman" w:eastAsia="Times New Roman" w:hAnsi="Times New Roman" w:cs="Times New Roman"/>
          <w:color w:val="2E2E2E"/>
          <w:sz w:val="24"/>
          <w:szCs w:val="24"/>
        </w:rPr>
        <w:t xml:space="preserve">1 Western North American Heatwave and Its Subseasonal Predictions.” </w:t>
      </w:r>
      <w:r>
        <w:rPr>
          <w:rFonts w:ascii="Times New Roman" w:eastAsia="Times New Roman" w:hAnsi="Times New Roman" w:cs="Times New Roman"/>
          <w:i/>
          <w:color w:val="2E2E2E"/>
          <w:sz w:val="24"/>
          <w:szCs w:val="24"/>
        </w:rPr>
        <w:t>Geophysical Research Letters</w:t>
      </w:r>
      <w:r>
        <w:rPr>
          <w:rFonts w:ascii="Times New Roman" w:eastAsia="Times New Roman" w:hAnsi="Times New Roman" w:cs="Times New Roman"/>
          <w:color w:val="2E2E2E"/>
          <w:sz w:val="24"/>
          <w:szCs w:val="24"/>
        </w:rPr>
        <w:t>, vol. 49, no. 6, Mar. 2022, https://doi.org/10.1029/2021gl097036. Accessed 24 May 2022.</w:t>
      </w:r>
    </w:p>
    <w:p w14:paraId="2D5F6FE9"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Malham, Shelagh K., et al. “Summer Mortality of the Pacific Oyster, Cra</w:t>
      </w:r>
      <w:r>
        <w:rPr>
          <w:rFonts w:ascii="Times New Roman" w:eastAsia="Times New Roman" w:hAnsi="Times New Roman" w:cs="Times New Roman"/>
          <w:color w:val="2E2E2E"/>
          <w:sz w:val="24"/>
          <w:szCs w:val="24"/>
        </w:rPr>
        <w:t xml:space="preserve">ssostrea Gigas, in the Irish Sea: The Influence of Temperature and Nutrients on Health and Survival.” </w:t>
      </w:r>
      <w:r>
        <w:rPr>
          <w:rFonts w:ascii="Times New Roman" w:eastAsia="Times New Roman" w:hAnsi="Times New Roman" w:cs="Times New Roman"/>
          <w:i/>
          <w:color w:val="2E2E2E"/>
          <w:sz w:val="24"/>
          <w:szCs w:val="24"/>
        </w:rPr>
        <w:t>Aquaculture</w:t>
      </w:r>
      <w:r>
        <w:rPr>
          <w:rFonts w:ascii="Times New Roman" w:eastAsia="Times New Roman" w:hAnsi="Times New Roman" w:cs="Times New Roman"/>
          <w:color w:val="2E2E2E"/>
          <w:sz w:val="24"/>
          <w:szCs w:val="24"/>
        </w:rPr>
        <w:t>, vol. 287, no. 1-2, 1 Feb. 2009, pp. 128–138., https://doi.org/10.1016/j.aquaculture.2008.10.006. Accessed 24 May 2022.</w:t>
      </w:r>
    </w:p>
    <w:p w14:paraId="4154F8C3"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NOAA Fisheries. “Oyster Reef Habitat.” </w:t>
      </w:r>
      <w:r>
        <w:rPr>
          <w:rFonts w:ascii="Times New Roman" w:eastAsia="Times New Roman" w:hAnsi="Times New Roman" w:cs="Times New Roman"/>
          <w:i/>
          <w:color w:val="2E2E2E"/>
          <w:sz w:val="24"/>
          <w:szCs w:val="24"/>
        </w:rPr>
        <w:t>National Oceanic and Atmospheric Administration</w:t>
      </w:r>
      <w:r>
        <w:rPr>
          <w:rFonts w:ascii="Times New Roman" w:eastAsia="Times New Roman" w:hAnsi="Times New Roman" w:cs="Times New Roman"/>
          <w:color w:val="2E2E2E"/>
          <w:sz w:val="24"/>
          <w:szCs w:val="24"/>
        </w:rPr>
        <w:t>, U.S. Department of Commerce, 4 Feb. 2022, https://www.fisheries.noaa.gov/national/habitat-conservation/oyster-reef-habitat#:~:text=Oysters%20are%20a%20crucial%20compone</w:t>
      </w:r>
      <w:r>
        <w:rPr>
          <w:rFonts w:ascii="Times New Roman" w:eastAsia="Times New Roman" w:hAnsi="Times New Roman" w:cs="Times New Roman"/>
          <w:color w:val="2E2E2E"/>
          <w:sz w:val="24"/>
          <w:szCs w:val="24"/>
        </w:rPr>
        <w:t>nt,and%20protecting%20productive%20estuary%20waters.</w:t>
      </w:r>
    </w:p>
    <w:p w14:paraId="73D836BD"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Northern Economics, Inc. </w:t>
      </w:r>
      <w:r>
        <w:rPr>
          <w:rFonts w:ascii="Times New Roman" w:eastAsia="Times New Roman" w:hAnsi="Times New Roman" w:cs="Times New Roman"/>
          <w:i/>
          <w:color w:val="2E2E2E"/>
          <w:sz w:val="24"/>
          <w:szCs w:val="24"/>
        </w:rPr>
        <w:t>The Economic Impact of Shellfish Aquaculture in Washington, Oregon and California</w:t>
      </w:r>
      <w:r>
        <w:rPr>
          <w:rFonts w:ascii="Times New Roman" w:eastAsia="Times New Roman" w:hAnsi="Times New Roman" w:cs="Times New Roman"/>
          <w:color w:val="2E2E2E"/>
          <w:sz w:val="24"/>
          <w:szCs w:val="24"/>
        </w:rPr>
        <w:t>. Pacific Shellfish Institute, Apr. 2013, https://www.pacshell.org/pdf/Economic_Impact_of_Shellfi</w:t>
      </w:r>
      <w:r>
        <w:rPr>
          <w:rFonts w:ascii="Times New Roman" w:eastAsia="Times New Roman" w:hAnsi="Times New Roman" w:cs="Times New Roman"/>
          <w:color w:val="2E2E2E"/>
          <w:sz w:val="24"/>
          <w:szCs w:val="24"/>
        </w:rPr>
        <w:t>sh_Aquaculture_2013.pdf.</w:t>
      </w:r>
    </w:p>
    <w:p w14:paraId="48B8F210"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Rice, Michael. “Environmental Impacts of Shellfish Aquaculture: Filter Feeding to Control Eutrophication.” Jan. 2001, </w:t>
      </w:r>
      <w:r>
        <w:rPr>
          <w:rFonts w:ascii="Times New Roman" w:eastAsia="Times New Roman" w:hAnsi="Times New Roman" w:cs="Times New Roman"/>
          <w:color w:val="2E2E2E"/>
          <w:sz w:val="24"/>
          <w:szCs w:val="24"/>
        </w:rPr>
        <w:lastRenderedPageBreak/>
        <w:t>https://www.researchgate.net/publication/258235340_Environmental_Impacts_of_Shellfish_Aquaculture_Filter_Feeding_to_Control_Eutrophication</w:t>
      </w:r>
      <w:r>
        <w:rPr>
          <w:rFonts w:ascii="Times New Roman" w:eastAsia="Times New Roman" w:hAnsi="Times New Roman" w:cs="Times New Roman"/>
          <w:color w:val="2E2E2E"/>
          <w:sz w:val="24"/>
          <w:szCs w:val="24"/>
        </w:rPr>
        <w:t>.</w:t>
      </w:r>
    </w:p>
    <w:p w14:paraId="7A2B1DF6"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Royal, Tiffany. “Heat Dome Found to Be Deadly for Some Shellfish Species, but Not for Others.” </w:t>
      </w:r>
      <w:r>
        <w:rPr>
          <w:rFonts w:ascii="Times New Roman" w:eastAsia="Times New Roman" w:hAnsi="Times New Roman" w:cs="Times New Roman"/>
          <w:i/>
          <w:color w:val="2E2E2E"/>
          <w:sz w:val="24"/>
          <w:szCs w:val="24"/>
        </w:rPr>
        <w:t>Northwest Treaty Tribes</w:t>
      </w:r>
      <w:r>
        <w:rPr>
          <w:rFonts w:ascii="Times New Roman" w:eastAsia="Times New Roman" w:hAnsi="Times New Roman" w:cs="Times New Roman"/>
          <w:color w:val="2E2E2E"/>
          <w:sz w:val="24"/>
          <w:szCs w:val="24"/>
        </w:rPr>
        <w:t>, 10 Jan. 2022, https://nwtreatytribes.org/heat-dome-found-to-be-deadly-for-some-shellfish-species-but-not-for-others/.</w:t>
      </w:r>
    </w:p>
    <w:p w14:paraId="63295183"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Shatkin, Greg, e</w:t>
      </w:r>
      <w:r>
        <w:rPr>
          <w:rFonts w:ascii="Times New Roman" w:eastAsia="Times New Roman" w:hAnsi="Times New Roman" w:cs="Times New Roman"/>
          <w:color w:val="2E2E2E"/>
          <w:sz w:val="24"/>
          <w:szCs w:val="24"/>
        </w:rPr>
        <w:t xml:space="preserve">t al. “Considerations Regarding the Possible Introduction of the Pacific Oyster, Crassostrea Gigas, to the Gulf of Maine: a Review of Global Experience.” </w:t>
      </w:r>
      <w:r>
        <w:rPr>
          <w:rFonts w:ascii="Times New Roman" w:eastAsia="Times New Roman" w:hAnsi="Times New Roman" w:cs="Times New Roman"/>
          <w:i/>
          <w:color w:val="2E2E2E"/>
          <w:sz w:val="24"/>
          <w:szCs w:val="24"/>
        </w:rPr>
        <w:t>Journal of Shellfish Research</w:t>
      </w:r>
      <w:r>
        <w:rPr>
          <w:rFonts w:ascii="Times New Roman" w:eastAsia="Times New Roman" w:hAnsi="Times New Roman" w:cs="Times New Roman"/>
          <w:color w:val="2E2E2E"/>
          <w:sz w:val="24"/>
          <w:szCs w:val="24"/>
        </w:rPr>
        <w:t>, vol. 16, Jan. 1997, pp. 463–477.</w:t>
      </w:r>
    </w:p>
    <w:p w14:paraId="43290534"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Thompson, Vikki, et al. “The 2021 West</w:t>
      </w:r>
      <w:r>
        <w:rPr>
          <w:rFonts w:ascii="Times New Roman" w:eastAsia="Times New Roman" w:hAnsi="Times New Roman" w:cs="Times New Roman"/>
          <w:color w:val="2E2E2E"/>
          <w:sz w:val="24"/>
          <w:szCs w:val="24"/>
        </w:rPr>
        <w:t xml:space="preserve">ern North America Heat Wave among the Most Extreme Events Ever Recorded Globally.” </w:t>
      </w:r>
      <w:r>
        <w:rPr>
          <w:rFonts w:ascii="Times New Roman" w:eastAsia="Times New Roman" w:hAnsi="Times New Roman" w:cs="Times New Roman"/>
          <w:i/>
          <w:color w:val="2E2E2E"/>
          <w:sz w:val="24"/>
          <w:szCs w:val="24"/>
        </w:rPr>
        <w:t>Science Advances</w:t>
      </w:r>
      <w:r>
        <w:rPr>
          <w:rFonts w:ascii="Times New Roman" w:eastAsia="Times New Roman" w:hAnsi="Times New Roman" w:cs="Times New Roman"/>
          <w:color w:val="2E2E2E"/>
          <w:sz w:val="24"/>
          <w:szCs w:val="24"/>
        </w:rPr>
        <w:t>, vol. 8, no. 18, 4 May 2022, https://doi.org/10.1126/sciadv.abm6860. Accessed 24 May 2022.</w:t>
      </w:r>
    </w:p>
    <w:p w14:paraId="17B963F9"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Washington SeaGrant. </w:t>
      </w:r>
      <w:r>
        <w:rPr>
          <w:rFonts w:ascii="Times New Roman" w:eastAsia="Times New Roman" w:hAnsi="Times New Roman" w:cs="Times New Roman"/>
          <w:i/>
          <w:color w:val="2E2E2E"/>
          <w:sz w:val="24"/>
          <w:szCs w:val="24"/>
        </w:rPr>
        <w:t>Shellfish Aquaculture in Washington State. F</w:t>
      </w:r>
      <w:r>
        <w:rPr>
          <w:rFonts w:ascii="Times New Roman" w:eastAsia="Times New Roman" w:hAnsi="Times New Roman" w:cs="Times New Roman"/>
          <w:i/>
          <w:color w:val="2E2E2E"/>
          <w:sz w:val="24"/>
          <w:szCs w:val="24"/>
        </w:rPr>
        <w:t>inal Report to the Washington State Legislature.</w:t>
      </w:r>
      <w:r>
        <w:rPr>
          <w:rFonts w:ascii="Times New Roman" w:eastAsia="Times New Roman" w:hAnsi="Times New Roman" w:cs="Times New Roman"/>
          <w:color w:val="2E2E2E"/>
          <w:sz w:val="24"/>
          <w:szCs w:val="24"/>
        </w:rPr>
        <w:t xml:space="preserve"> Dec. 2015, https://app.leg.wa.gov/ReportsToTheLegislature/Home/GetPDF?fileName=WSGShellfishResearchFinalReportRevised_f6498d40-24b7-491e-8e1f-297faeef6a53.pdf.</w:t>
      </w:r>
    </w:p>
    <w:p w14:paraId="3E3D1742"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 xml:space="preserve">Washington SeaGrant, and Washington Department </w:t>
      </w:r>
      <w:r>
        <w:rPr>
          <w:rFonts w:ascii="Times New Roman" w:eastAsia="Times New Roman" w:hAnsi="Times New Roman" w:cs="Times New Roman"/>
          <w:color w:val="2E2E2E"/>
          <w:sz w:val="24"/>
          <w:szCs w:val="24"/>
        </w:rPr>
        <w:t xml:space="preserve">of Fish and Wildlife. </w:t>
      </w:r>
      <w:r>
        <w:rPr>
          <w:rFonts w:ascii="Times New Roman" w:eastAsia="Times New Roman" w:hAnsi="Times New Roman" w:cs="Times New Roman"/>
          <w:i/>
          <w:color w:val="2E2E2E"/>
          <w:sz w:val="24"/>
          <w:szCs w:val="24"/>
        </w:rPr>
        <w:t>Impacts from the Summer 2021 Heatwave on Washington Shellfish</w:t>
      </w:r>
      <w:r>
        <w:rPr>
          <w:rFonts w:ascii="Times New Roman" w:eastAsia="Times New Roman" w:hAnsi="Times New Roman" w:cs="Times New Roman"/>
          <w:color w:val="2E2E2E"/>
          <w:sz w:val="24"/>
          <w:szCs w:val="24"/>
        </w:rPr>
        <w:t>. 21 July 2021, https://wsg.washington.edu/impacts-from-the-summer-2021-heatwave-on-washington-shellfish/.</w:t>
      </w:r>
    </w:p>
    <w:p w14:paraId="48B2039C" w14:textId="77777777" w:rsidR="009D2F13" w:rsidRDefault="00612736">
      <w:pPr>
        <w:spacing w:before="240" w:after="240" w:line="480" w:lineRule="auto"/>
        <w:ind w:left="0" w:hanging="2"/>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Xu, Yang, et al. “Impacts of Marine Heatwaves on Pearl Oysters Are</w:t>
      </w:r>
      <w:r>
        <w:rPr>
          <w:rFonts w:ascii="Times New Roman" w:eastAsia="Times New Roman" w:hAnsi="Times New Roman" w:cs="Times New Roman"/>
          <w:color w:val="2E2E2E"/>
          <w:sz w:val="24"/>
          <w:szCs w:val="24"/>
        </w:rPr>
        <w:t xml:space="preserve"> Alleviated Following Repeated Exposure.” </w:t>
      </w:r>
      <w:r>
        <w:rPr>
          <w:rFonts w:ascii="Times New Roman" w:eastAsia="Times New Roman" w:hAnsi="Times New Roman" w:cs="Times New Roman"/>
          <w:i/>
          <w:color w:val="2E2E2E"/>
          <w:sz w:val="24"/>
          <w:szCs w:val="24"/>
        </w:rPr>
        <w:t>Marine Pollution Bulletin</w:t>
      </w:r>
      <w:r>
        <w:rPr>
          <w:rFonts w:ascii="Times New Roman" w:eastAsia="Times New Roman" w:hAnsi="Times New Roman" w:cs="Times New Roman"/>
          <w:color w:val="2E2E2E"/>
          <w:sz w:val="24"/>
          <w:szCs w:val="24"/>
        </w:rPr>
        <w:t xml:space="preserve">, vol. 173, Dec. 2021, https://doi.org/10.1016/j.marpolbul.2021.112932. </w:t>
      </w:r>
    </w:p>
    <w:p w14:paraId="70416032" w14:textId="77777777" w:rsidR="009D2F13" w:rsidRDefault="009D2F13">
      <w:pPr>
        <w:spacing w:before="240" w:after="240" w:line="480" w:lineRule="auto"/>
        <w:ind w:left="0" w:hanging="2"/>
        <w:rPr>
          <w:rFonts w:ascii="Times New Roman" w:eastAsia="Times New Roman" w:hAnsi="Times New Roman" w:cs="Times New Roman"/>
          <w:color w:val="2E2E2E"/>
          <w:sz w:val="24"/>
          <w:szCs w:val="24"/>
        </w:rPr>
      </w:pPr>
    </w:p>
    <w:sectPr w:rsidR="009D2F13">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2F13"/>
    <w:rsid w:val="00612736"/>
    <w:rsid w:val="009D2F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CC883AE"/>
  <w15:docId w15:val="{592E3F5E-9AC2-C942-BFD2-32A353DC41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ind w:leftChars="-1" w:left="-1" w:hangingChars="1" w:hanging="1"/>
      <w:textDirection w:val="btLr"/>
      <w:textAlignment w:val="top"/>
      <w:outlineLvl w:val="0"/>
    </w:pPr>
    <w:rPr>
      <w:position w:val="-1"/>
      <w:lang/>
    </w:rPr>
  </w:style>
  <w:style w:type="paragraph" w:styleId="Heading1">
    <w:name w:val="heading 1"/>
    <w:basedOn w:val="Normal"/>
    <w:next w:val="Normal"/>
    <w:uiPriority w:val="9"/>
    <w:qFormat/>
    <w:pPr>
      <w:keepNext/>
      <w:keepLines/>
      <w:spacing w:before="400" w:after="12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Revision">
    <w:name w:val="Revision"/>
    <w:pPr>
      <w:suppressAutoHyphens/>
      <w:spacing w:line="1" w:lineRule="atLeast"/>
      <w:ind w:leftChars="-1" w:left="-1" w:hangingChars="1" w:hanging="1"/>
      <w:textDirection w:val="btLr"/>
      <w:textAlignment w:val="top"/>
      <w:outlineLvl w:val="0"/>
    </w:pPr>
    <w:rPr>
      <w:position w:val="-1"/>
      <w:lang/>
    </w:rPr>
  </w:style>
  <w:style w:type="character" w:styleId="CommentReference">
    <w:name w:val="annotation reference"/>
    <w:qFormat/>
    <w:rPr>
      <w:w w:val="100"/>
      <w:position w:val="-1"/>
      <w:sz w:val="16"/>
      <w:szCs w:val="16"/>
      <w:effect w:val="none"/>
      <w:vertAlign w:val="baseline"/>
      <w:cs w:val="0"/>
      <w:em w:val="none"/>
    </w:rPr>
  </w:style>
  <w:style w:type="paragraph" w:styleId="CommentText">
    <w:name w:val="annotation text"/>
    <w:basedOn w:val="Normal"/>
    <w:qFormat/>
    <w:rPr>
      <w:sz w:val="20"/>
      <w:szCs w:val="20"/>
    </w:rPr>
  </w:style>
  <w:style w:type="character" w:customStyle="1" w:styleId="CommentTextChar">
    <w:name w:val="Comment Text Char"/>
    <w:rPr>
      <w:w w:val="100"/>
      <w:position w:val="-1"/>
      <w:effect w:val="none"/>
      <w:vertAlign w:val="baseline"/>
      <w:cs w:val="0"/>
      <w:em w:val="none"/>
      <w:lang/>
    </w:rPr>
  </w:style>
  <w:style w:type="paragraph" w:styleId="CommentSubject">
    <w:name w:val="annotation subject"/>
    <w:basedOn w:val="CommentText"/>
    <w:next w:val="CommentText"/>
    <w:qFormat/>
    <w:rPr>
      <w:b/>
      <w:bCs/>
    </w:rPr>
  </w:style>
  <w:style w:type="character" w:customStyle="1" w:styleId="CommentSubjectChar">
    <w:name w:val="Comment Subject Char"/>
    <w:rPr>
      <w:b/>
      <w:bCs/>
      <w:w w:val="100"/>
      <w:position w:val="-1"/>
      <w:effect w:val="none"/>
      <w:vertAlign w:val="baseline"/>
      <w:cs w:val="0"/>
      <w:em w:val="none"/>
      <w:lang/>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4.jp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sciencedirect-com.offcampus.lib.washington.edu/topics/agricultural-and-biological-sciences/pinctada-maxim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mKMBMTKnMCKmvZTIZzMFmSC1JIg==">AMUW2mW511AfuKw10l9dfmRHtr1snAyEFKBJQOZ4UbpTunR4O+6863QXDn0utSqbfNvl/KXXsVb8elhDHfguD4aDUTaWZeN8t9O9iRRNeG9e1lflAevMYwZ7cboGSbSi2leTbEFiAbpV</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1867</Words>
  <Characters>10648</Characters>
  <Application>Microsoft Office Word</Application>
  <DocSecurity>0</DocSecurity>
  <Lines>88</Lines>
  <Paragraphs>24</Paragraphs>
  <ScaleCrop>false</ScaleCrop>
  <Company/>
  <LinksUpToDate>false</LinksUpToDate>
  <CharactersWithSpaces>12491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Brittany Miller</dc:creator>
  <cp:lastModifiedBy>Terrie Klinger</cp:lastModifiedBy>
  <cp:revision>2</cp:revision>
  <dcterms:created xsi:type="dcterms:W3CDTF">2022-06-11T15:14:00Z</dcterms:created>
  <dcterms:modified xsi:type="dcterms:W3CDTF">2022-06-11T15:14:00Z</dcterms:modified>
</cp:coreProperties>
</file>