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053010" w14:textId="1F82AB93" w:rsidR="00A43CB0" w:rsidRDefault="00723081">
      <w:pPr>
        <w:rPr>
          <w:rFonts w:ascii="Times New Roman" w:hAnsi="Times New Roman" w:cs="Times New Roman"/>
          <w:b/>
        </w:rPr>
      </w:pPr>
      <w:r w:rsidRPr="00723081">
        <w:rPr>
          <w:rFonts w:ascii="Times New Roman" w:hAnsi="Times New Roman" w:cs="Times New Roman"/>
          <w:b/>
        </w:rPr>
        <w:t>Supplementary Material</w:t>
      </w:r>
    </w:p>
    <w:p w14:paraId="5BD44F67" w14:textId="4531DBCF" w:rsidR="00723081" w:rsidRPr="00723081" w:rsidRDefault="00723081">
      <w:pPr>
        <w:rPr>
          <w:rFonts w:ascii="Times New Roman" w:hAnsi="Times New Roman" w:cs="Times New Roman"/>
        </w:rPr>
      </w:pPr>
      <w:r w:rsidRPr="00723081">
        <w:rPr>
          <w:rFonts w:ascii="Times New Roman" w:hAnsi="Times New Roman" w:cs="Times New Roman"/>
        </w:rPr>
        <w:t xml:space="preserve">Secondary analyses </w:t>
      </w:r>
      <w:r w:rsidR="003E6CD8">
        <w:rPr>
          <w:rFonts w:ascii="Times New Roman" w:hAnsi="Times New Roman" w:cs="Times New Roman"/>
        </w:rPr>
        <w:t xml:space="preserve">of long-term outcomes </w:t>
      </w:r>
      <w:r w:rsidRPr="00723081">
        <w:rPr>
          <w:rFonts w:ascii="Times New Roman" w:hAnsi="Times New Roman" w:cs="Times New Roman"/>
        </w:rPr>
        <w:t>comparing patients with bronchoscopy-confirmed inhalation injury to patients without inhalation injury</w:t>
      </w:r>
    </w:p>
    <w:p w14:paraId="64E32F8A" w14:textId="77777777" w:rsidR="00EC08E4" w:rsidRPr="00723081" w:rsidRDefault="00EC08E4">
      <w:pPr>
        <w:rPr>
          <w:rFonts w:ascii="Times New Roman" w:hAnsi="Times New Roman" w:cs="Times New Roman"/>
        </w:rPr>
      </w:pPr>
    </w:p>
    <w:p w14:paraId="7AA3A861" w14:textId="64C49989" w:rsidR="00EC08E4" w:rsidRPr="00723081" w:rsidRDefault="00723081" w:rsidP="00EC08E4">
      <w:pPr>
        <w:rPr>
          <w:rFonts w:ascii="Times New Roman" w:hAnsi="Times New Roman" w:cs="Times New Roman"/>
          <w:b/>
        </w:rPr>
      </w:pPr>
      <w:r w:rsidRPr="00723081">
        <w:rPr>
          <w:rFonts w:ascii="Times New Roman" w:hAnsi="Times New Roman" w:cs="Times New Roman"/>
          <w:b/>
        </w:rPr>
        <w:t xml:space="preserve">Supplementary table </w:t>
      </w:r>
      <w:r w:rsidR="003E6CD8">
        <w:rPr>
          <w:rFonts w:ascii="Times New Roman" w:hAnsi="Times New Roman" w:cs="Times New Roman"/>
          <w:b/>
        </w:rPr>
        <w:t>1</w:t>
      </w:r>
      <w:r w:rsidRPr="00723081">
        <w:rPr>
          <w:rFonts w:ascii="Times New Roman" w:hAnsi="Times New Roman" w:cs="Times New Roman"/>
          <w:b/>
        </w:rPr>
        <w:t xml:space="preserve">. </w:t>
      </w:r>
      <w:r w:rsidR="00667C76" w:rsidRPr="00723081">
        <w:rPr>
          <w:rFonts w:ascii="Times New Roman" w:hAnsi="Times New Roman" w:cs="Times New Roman"/>
          <w:b/>
        </w:rPr>
        <w:t>All-cause mortality from time of hospital arrival to end of follow-up duration</w:t>
      </w:r>
      <w:r w:rsidRPr="00723081">
        <w:rPr>
          <w:rFonts w:ascii="Times New Roman" w:hAnsi="Times New Roman" w:cs="Times New Roman"/>
          <w:b/>
        </w:rPr>
        <w:t>,</w:t>
      </w:r>
      <w:r w:rsidR="00667C76" w:rsidRPr="00723081">
        <w:rPr>
          <w:rFonts w:ascii="Times New Roman" w:hAnsi="Times New Roman" w:cs="Times New Roman"/>
          <w:b/>
        </w:rPr>
        <w:t xml:space="preserve"> </w:t>
      </w:r>
      <w:r w:rsidR="003C26CD" w:rsidRPr="00723081">
        <w:rPr>
          <w:rFonts w:ascii="Times New Roman" w:hAnsi="Times New Roman" w:cs="Times New Roman"/>
          <w:b/>
        </w:rPr>
        <w:t xml:space="preserve">by bronchoscopic grade </w:t>
      </w:r>
    </w:p>
    <w:p w14:paraId="61ED6A80" w14:textId="77777777" w:rsidR="00667C76" w:rsidRPr="00723081" w:rsidRDefault="00667C76" w:rsidP="00EC08E4">
      <w:pPr>
        <w:rPr>
          <w:rFonts w:ascii="Times New Roman" w:hAnsi="Times New Roman" w:cs="Times New Roman"/>
          <w:b/>
        </w:rPr>
      </w:pPr>
    </w:p>
    <w:tbl>
      <w:tblPr>
        <w:tblStyle w:val="TableGrid"/>
        <w:tblW w:w="8056" w:type="dxa"/>
        <w:tblBorders>
          <w:top w:val="none" w:sz="0" w:space="0" w:color="auto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single" w:sz="4" w:space="0" w:color="BFBFBF" w:themeColor="background1" w:themeShade="BF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9"/>
        <w:gridCol w:w="1399"/>
        <w:gridCol w:w="1974"/>
        <w:gridCol w:w="2454"/>
      </w:tblGrid>
      <w:tr w:rsidR="00EC08E4" w:rsidRPr="00723081" w14:paraId="2BF2E2E0" w14:textId="77777777" w:rsidTr="00667C76">
        <w:tc>
          <w:tcPr>
            <w:tcW w:w="2229" w:type="dxa"/>
            <w:tcBorders>
              <w:top w:val="nil"/>
              <w:bottom w:val="single" w:sz="4" w:space="0" w:color="000000" w:themeColor="text1"/>
            </w:tcBorders>
          </w:tcPr>
          <w:p w14:paraId="737F9CFA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99" w:type="dxa"/>
            <w:tcBorders>
              <w:top w:val="nil"/>
              <w:bottom w:val="single" w:sz="4" w:space="0" w:color="000000" w:themeColor="text1"/>
            </w:tcBorders>
            <w:shd w:val="clear" w:color="auto" w:fill="auto"/>
          </w:tcPr>
          <w:p w14:paraId="01B619E3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All-cause mortality, n (%)</w:t>
            </w:r>
          </w:p>
        </w:tc>
        <w:tc>
          <w:tcPr>
            <w:tcW w:w="1974" w:type="dxa"/>
            <w:tcBorders>
              <w:top w:val="nil"/>
              <w:bottom w:val="single" w:sz="4" w:space="0" w:color="000000" w:themeColor="text1"/>
            </w:tcBorders>
          </w:tcPr>
          <w:p w14:paraId="420BBEB4" w14:textId="2ED934B0" w:rsidR="00EC08E4" w:rsidRPr="00723081" w:rsidRDefault="00EC08E4" w:rsidP="00667C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Crude hazard ratio (95% CI)</w:t>
            </w:r>
          </w:p>
        </w:tc>
        <w:tc>
          <w:tcPr>
            <w:tcW w:w="2454" w:type="dxa"/>
            <w:tcBorders>
              <w:top w:val="nil"/>
              <w:bottom w:val="single" w:sz="4" w:space="0" w:color="000000" w:themeColor="text1"/>
            </w:tcBorders>
          </w:tcPr>
          <w:p w14:paraId="579FE3CC" w14:textId="30CD9928" w:rsidR="00EC08E4" w:rsidRPr="00723081" w:rsidRDefault="00667C76" w:rsidP="00667C76">
            <w:pPr>
              <w:ind w:right="72"/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Adjusted hazard ratio</w:t>
            </w:r>
          </w:p>
        </w:tc>
      </w:tr>
      <w:tr w:rsidR="00EC08E4" w:rsidRPr="00723081" w14:paraId="17A64111" w14:textId="77777777" w:rsidTr="00667C76">
        <w:tc>
          <w:tcPr>
            <w:tcW w:w="2229" w:type="dxa"/>
            <w:tcBorders>
              <w:top w:val="single" w:sz="4" w:space="0" w:color="000000" w:themeColor="text1"/>
            </w:tcBorders>
          </w:tcPr>
          <w:p w14:paraId="1FF67615" w14:textId="6C1B8EAF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Grade 3-4 bronch</w:t>
            </w:r>
            <w:r w:rsidR="00667C76" w:rsidRPr="00723081">
              <w:rPr>
                <w:rFonts w:ascii="Times New Roman" w:hAnsi="Times New Roman" w:cs="Times New Roman"/>
                <w:sz w:val="24"/>
                <w:szCs w:val="24"/>
              </w:rPr>
              <w:t>oscopy</w:t>
            </w: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-confirmed inhalation injury (n=12)</w:t>
            </w:r>
          </w:p>
        </w:tc>
        <w:tc>
          <w:tcPr>
            <w:tcW w:w="1399" w:type="dxa"/>
            <w:tcBorders>
              <w:top w:val="single" w:sz="4" w:space="0" w:color="000000" w:themeColor="text1"/>
            </w:tcBorders>
            <w:shd w:val="clear" w:color="auto" w:fill="auto"/>
          </w:tcPr>
          <w:p w14:paraId="4D1CBAC7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3 (25.0%)</w:t>
            </w:r>
          </w:p>
        </w:tc>
        <w:tc>
          <w:tcPr>
            <w:tcW w:w="1974" w:type="dxa"/>
            <w:tcBorders>
              <w:top w:val="single" w:sz="4" w:space="0" w:color="000000" w:themeColor="text1"/>
            </w:tcBorders>
          </w:tcPr>
          <w:p w14:paraId="6236322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4.83 (1.55, 15.11)</w:t>
            </w:r>
          </w:p>
        </w:tc>
        <w:tc>
          <w:tcPr>
            <w:tcW w:w="2454" w:type="dxa"/>
            <w:tcBorders>
              <w:top w:val="single" w:sz="4" w:space="0" w:color="000000" w:themeColor="text1"/>
            </w:tcBorders>
          </w:tcPr>
          <w:p w14:paraId="542E84B7" w14:textId="77777777" w:rsidR="00EC08E4" w:rsidRPr="00723081" w:rsidRDefault="00EC08E4" w:rsidP="00EC08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aHR 1.45 (0.46, 4.59)</w:t>
            </w:r>
          </w:p>
        </w:tc>
      </w:tr>
      <w:tr w:rsidR="00EC08E4" w:rsidRPr="00723081" w14:paraId="3EC3C780" w14:textId="77777777" w:rsidTr="00667C76">
        <w:tc>
          <w:tcPr>
            <w:tcW w:w="2229" w:type="dxa"/>
          </w:tcPr>
          <w:p w14:paraId="601AE1D2" w14:textId="20095DE3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Grade 2 </w:t>
            </w:r>
            <w:r w:rsidR="00667C76"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bronchoscopy </w:t>
            </w: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-confirmed inhalation injury (n=28)</w:t>
            </w:r>
          </w:p>
        </w:tc>
        <w:tc>
          <w:tcPr>
            <w:tcW w:w="1399" w:type="dxa"/>
            <w:shd w:val="clear" w:color="auto" w:fill="auto"/>
          </w:tcPr>
          <w:p w14:paraId="02561B6C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7 (25.0%)</w:t>
            </w:r>
          </w:p>
        </w:tc>
        <w:tc>
          <w:tcPr>
            <w:tcW w:w="1974" w:type="dxa"/>
          </w:tcPr>
          <w:p w14:paraId="3C66A17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4.57 (2.15, 9.70)</w:t>
            </w:r>
          </w:p>
        </w:tc>
        <w:tc>
          <w:tcPr>
            <w:tcW w:w="2454" w:type="dxa"/>
          </w:tcPr>
          <w:p w14:paraId="484CA0DB" w14:textId="77777777" w:rsidR="00EC08E4" w:rsidRPr="00723081" w:rsidRDefault="00EC08E4" w:rsidP="00EC08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aHR 1.88 (0.88, 4.00)</w:t>
            </w:r>
          </w:p>
        </w:tc>
      </w:tr>
      <w:tr w:rsidR="00EC08E4" w:rsidRPr="00723081" w14:paraId="20D2FD31" w14:textId="77777777" w:rsidTr="00667C76">
        <w:tc>
          <w:tcPr>
            <w:tcW w:w="2229" w:type="dxa"/>
          </w:tcPr>
          <w:p w14:paraId="77C96073" w14:textId="1D6857B1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Grade 1 </w:t>
            </w:r>
            <w:r w:rsidR="00667C76"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bronchoscopy </w:t>
            </w: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-confirmed inhalation injury (n=53)</w:t>
            </w:r>
          </w:p>
        </w:tc>
        <w:tc>
          <w:tcPr>
            <w:tcW w:w="1399" w:type="dxa"/>
            <w:shd w:val="clear" w:color="auto" w:fill="auto"/>
          </w:tcPr>
          <w:p w14:paraId="03860BA6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17 (32.1%)</w:t>
            </w:r>
          </w:p>
        </w:tc>
        <w:tc>
          <w:tcPr>
            <w:tcW w:w="1974" w:type="dxa"/>
          </w:tcPr>
          <w:p w14:paraId="48799A20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7.47 (4.55, 12.26)</w:t>
            </w:r>
          </w:p>
        </w:tc>
        <w:tc>
          <w:tcPr>
            <w:tcW w:w="2454" w:type="dxa"/>
          </w:tcPr>
          <w:p w14:paraId="7C1A87A7" w14:textId="77777777" w:rsidR="00EC08E4" w:rsidRPr="00723081" w:rsidRDefault="00EC08E4" w:rsidP="00EC08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aHR 2.35 (1.41, 3.93)</w:t>
            </w:r>
          </w:p>
        </w:tc>
      </w:tr>
      <w:tr w:rsidR="00EC08E4" w:rsidRPr="00723081" w14:paraId="7ED5F9A4" w14:textId="77777777" w:rsidTr="00667C76">
        <w:tc>
          <w:tcPr>
            <w:tcW w:w="2229" w:type="dxa"/>
          </w:tcPr>
          <w:p w14:paraId="59480D7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No inhalation injury (n=3361)</w:t>
            </w:r>
          </w:p>
        </w:tc>
        <w:tc>
          <w:tcPr>
            <w:tcW w:w="1399" w:type="dxa"/>
            <w:shd w:val="clear" w:color="auto" w:fill="auto"/>
          </w:tcPr>
          <w:p w14:paraId="3C38EE03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208 (6.2%)</w:t>
            </w:r>
          </w:p>
        </w:tc>
        <w:tc>
          <w:tcPr>
            <w:tcW w:w="1974" w:type="dxa"/>
          </w:tcPr>
          <w:p w14:paraId="6F0FBEE1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Ref </w:t>
            </w:r>
          </w:p>
        </w:tc>
        <w:tc>
          <w:tcPr>
            <w:tcW w:w="2454" w:type="dxa"/>
          </w:tcPr>
          <w:p w14:paraId="4A1ABD1E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Ref</w:t>
            </w:r>
          </w:p>
        </w:tc>
      </w:tr>
    </w:tbl>
    <w:p w14:paraId="71D70F4C" w14:textId="77777777" w:rsidR="00EC08E4" w:rsidRPr="00723081" w:rsidRDefault="00EC08E4" w:rsidP="00EC08E4">
      <w:pPr>
        <w:rPr>
          <w:rFonts w:ascii="Times New Roman" w:hAnsi="Times New Roman" w:cs="Times New Roman"/>
          <w:b/>
        </w:rPr>
      </w:pPr>
    </w:p>
    <w:p w14:paraId="6272C73A" w14:textId="77777777" w:rsidR="00EC08E4" w:rsidRDefault="00EC08E4" w:rsidP="00EC08E4">
      <w:pPr>
        <w:rPr>
          <w:rFonts w:ascii="Times New Roman" w:hAnsi="Times New Roman" w:cs="Times New Roman"/>
        </w:rPr>
      </w:pPr>
    </w:p>
    <w:p w14:paraId="0D33B15E" w14:textId="77777777" w:rsidR="00723081" w:rsidRPr="00723081" w:rsidRDefault="00723081" w:rsidP="00EC08E4">
      <w:pPr>
        <w:rPr>
          <w:rFonts w:ascii="Times New Roman" w:hAnsi="Times New Roman" w:cs="Times New Roman"/>
        </w:rPr>
      </w:pPr>
    </w:p>
    <w:p w14:paraId="1ABAAC6C" w14:textId="77777777" w:rsidR="00723081" w:rsidRDefault="00723081" w:rsidP="00667C76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14:paraId="4031A093" w14:textId="58AA65EC" w:rsidR="00667C76" w:rsidRPr="00723081" w:rsidRDefault="00723081" w:rsidP="00667C76">
      <w:pPr>
        <w:rPr>
          <w:rFonts w:ascii="Times New Roman" w:hAnsi="Times New Roman" w:cs="Times New Roman"/>
        </w:rPr>
      </w:pPr>
      <w:r w:rsidRPr="00723081">
        <w:rPr>
          <w:rFonts w:ascii="Times New Roman" w:hAnsi="Times New Roman" w:cs="Times New Roman"/>
          <w:b/>
        </w:rPr>
        <w:lastRenderedPageBreak/>
        <w:t xml:space="preserve">Supplementary table </w:t>
      </w:r>
      <w:r w:rsidR="003E6CD8">
        <w:rPr>
          <w:rFonts w:ascii="Times New Roman" w:hAnsi="Times New Roman" w:cs="Times New Roman"/>
          <w:b/>
        </w:rPr>
        <w:t>2</w:t>
      </w:r>
      <w:bookmarkStart w:id="0" w:name="_GoBack"/>
      <w:bookmarkEnd w:id="0"/>
      <w:r w:rsidRPr="00723081">
        <w:rPr>
          <w:rFonts w:ascii="Times New Roman" w:hAnsi="Times New Roman" w:cs="Times New Roman"/>
          <w:b/>
        </w:rPr>
        <w:t xml:space="preserve">. </w:t>
      </w:r>
      <w:r w:rsidR="00667C76" w:rsidRPr="00723081">
        <w:rPr>
          <w:rFonts w:ascii="Times New Roman" w:hAnsi="Times New Roman" w:cs="Times New Roman"/>
          <w:b/>
        </w:rPr>
        <w:t>Post-discharge outcomes for burn patients with bronchoscopy-confirmed inhalation injury and without inhalation injury</w:t>
      </w:r>
    </w:p>
    <w:p w14:paraId="6851D635" w14:textId="13DA7E72" w:rsidR="00EC08E4" w:rsidRPr="00723081" w:rsidRDefault="00EC08E4" w:rsidP="00EC08E4">
      <w:pPr>
        <w:rPr>
          <w:rFonts w:ascii="Times New Roman" w:hAnsi="Times New Roman" w:cs="Times New Roman"/>
          <w:b/>
          <w:i/>
        </w:rPr>
      </w:pPr>
    </w:p>
    <w:tbl>
      <w:tblPr>
        <w:tblStyle w:val="TableGrid"/>
        <w:tblW w:w="7936" w:type="dxa"/>
        <w:tblBorders>
          <w:top w:val="none" w:sz="0" w:space="0" w:color="auto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single" w:sz="4" w:space="0" w:color="BFBFBF" w:themeColor="background1" w:themeShade="BF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8"/>
        <w:gridCol w:w="1290"/>
        <w:gridCol w:w="1615"/>
        <w:gridCol w:w="1437"/>
        <w:gridCol w:w="1806"/>
      </w:tblGrid>
      <w:tr w:rsidR="00EC08E4" w:rsidRPr="00723081" w14:paraId="0C737B27" w14:textId="77777777" w:rsidTr="00667C76">
        <w:tc>
          <w:tcPr>
            <w:tcW w:w="1788" w:type="dxa"/>
            <w:tcBorders>
              <w:top w:val="nil"/>
              <w:bottom w:val="single" w:sz="4" w:space="0" w:color="000000" w:themeColor="text1"/>
            </w:tcBorders>
          </w:tcPr>
          <w:p w14:paraId="26939CCD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bottom w:val="single" w:sz="4" w:space="0" w:color="000000" w:themeColor="text1"/>
            </w:tcBorders>
          </w:tcPr>
          <w:p w14:paraId="07F32D62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Inhalation</w:t>
            </w:r>
          </w:p>
          <w:p w14:paraId="1720B1F7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N=72</w:t>
            </w:r>
          </w:p>
        </w:tc>
        <w:tc>
          <w:tcPr>
            <w:tcW w:w="1615" w:type="dxa"/>
            <w:tcBorders>
              <w:top w:val="nil"/>
              <w:bottom w:val="single" w:sz="4" w:space="0" w:color="000000" w:themeColor="text1"/>
            </w:tcBorders>
          </w:tcPr>
          <w:p w14:paraId="5C580E65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Non-inhalation</w:t>
            </w:r>
          </w:p>
          <w:p w14:paraId="392D2557" w14:textId="34ABFBB1" w:rsidR="00EC08E4" w:rsidRPr="00723081" w:rsidRDefault="00EC08E4" w:rsidP="007230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N=3</w:t>
            </w:r>
            <w:r w:rsidR="00723081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33</w:t>
            </w:r>
            <w:r w:rsidR="0072308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437" w:type="dxa"/>
            <w:tcBorders>
              <w:top w:val="nil"/>
              <w:bottom w:val="single" w:sz="4" w:space="0" w:color="000000" w:themeColor="text1"/>
            </w:tcBorders>
          </w:tcPr>
          <w:p w14:paraId="13FE3C9F" w14:textId="77777777" w:rsidR="00EC08E4" w:rsidRPr="00723081" w:rsidRDefault="00EC08E4" w:rsidP="0065353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Crude hazard ratio (95% CI)</w:t>
            </w:r>
          </w:p>
        </w:tc>
        <w:tc>
          <w:tcPr>
            <w:tcW w:w="1806" w:type="dxa"/>
            <w:tcBorders>
              <w:top w:val="nil"/>
              <w:bottom w:val="single" w:sz="4" w:space="0" w:color="000000" w:themeColor="text1"/>
            </w:tcBorders>
          </w:tcPr>
          <w:p w14:paraId="1B685437" w14:textId="77777777" w:rsidR="00EC08E4" w:rsidRPr="00723081" w:rsidRDefault="00EC08E4" w:rsidP="00EC0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b/>
                <w:sz w:val="24"/>
                <w:szCs w:val="24"/>
              </w:rPr>
              <w:t>Adjusted hazard ratio or subhazard ratio (95% CI)</w:t>
            </w: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C08E4" w:rsidRPr="00723081" w14:paraId="01ED14B6" w14:textId="77777777" w:rsidTr="00667C76">
        <w:tc>
          <w:tcPr>
            <w:tcW w:w="1788" w:type="dxa"/>
            <w:tcBorders>
              <w:top w:val="single" w:sz="4" w:space="0" w:color="000000" w:themeColor="text1"/>
            </w:tcBorders>
          </w:tcPr>
          <w:p w14:paraId="45485159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All-cause mortality</w:t>
            </w:r>
          </w:p>
        </w:tc>
        <w:tc>
          <w:tcPr>
            <w:tcW w:w="1290" w:type="dxa"/>
            <w:tcBorders>
              <w:top w:val="single" w:sz="4" w:space="0" w:color="000000" w:themeColor="text1"/>
            </w:tcBorders>
          </w:tcPr>
          <w:p w14:paraId="0265966E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6 (8.3%)</w:t>
            </w:r>
          </w:p>
        </w:tc>
        <w:tc>
          <w:tcPr>
            <w:tcW w:w="1615" w:type="dxa"/>
            <w:tcBorders>
              <w:top w:val="single" w:sz="4" w:space="0" w:color="000000" w:themeColor="text1"/>
            </w:tcBorders>
          </w:tcPr>
          <w:p w14:paraId="0E48BE4D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180 (5.4%)</w:t>
            </w:r>
          </w:p>
        </w:tc>
        <w:tc>
          <w:tcPr>
            <w:tcW w:w="1437" w:type="dxa"/>
            <w:tcBorders>
              <w:top w:val="single" w:sz="4" w:space="0" w:color="000000" w:themeColor="text1"/>
            </w:tcBorders>
          </w:tcPr>
          <w:p w14:paraId="17B9364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1.71 (0.76, 3.86)</w:t>
            </w:r>
          </w:p>
        </w:tc>
        <w:tc>
          <w:tcPr>
            <w:tcW w:w="1806" w:type="dxa"/>
            <w:tcBorders>
              <w:top w:val="single" w:sz="4" w:space="0" w:color="000000" w:themeColor="text1"/>
            </w:tcBorders>
          </w:tcPr>
          <w:p w14:paraId="37639237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aHR 1.42 (0.61, 3.28)</w:t>
            </w:r>
          </w:p>
        </w:tc>
      </w:tr>
      <w:tr w:rsidR="00EC08E4" w:rsidRPr="00723081" w14:paraId="4631192D" w14:textId="77777777" w:rsidTr="00667C76">
        <w:trPr>
          <w:trHeight w:val="368"/>
        </w:trPr>
        <w:tc>
          <w:tcPr>
            <w:tcW w:w="1788" w:type="dxa"/>
          </w:tcPr>
          <w:p w14:paraId="7F403D97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All-cause readmission</w:t>
            </w:r>
          </w:p>
        </w:tc>
        <w:tc>
          <w:tcPr>
            <w:tcW w:w="1290" w:type="dxa"/>
          </w:tcPr>
          <w:p w14:paraId="5E87C1E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29 (44.6%)</w:t>
            </w:r>
          </w:p>
        </w:tc>
        <w:tc>
          <w:tcPr>
            <w:tcW w:w="1615" w:type="dxa"/>
          </w:tcPr>
          <w:p w14:paraId="1926384C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776 (23.6%)</w:t>
            </w:r>
          </w:p>
        </w:tc>
        <w:tc>
          <w:tcPr>
            <w:tcW w:w="1437" w:type="dxa"/>
          </w:tcPr>
          <w:p w14:paraId="6A4A87BC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2.27 (1.56, 3.29)</w:t>
            </w:r>
          </w:p>
        </w:tc>
        <w:tc>
          <w:tcPr>
            <w:tcW w:w="1806" w:type="dxa"/>
          </w:tcPr>
          <w:p w14:paraId="4846261E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sHR 1.51 (1.04, 2.21)</w:t>
            </w:r>
          </w:p>
        </w:tc>
      </w:tr>
      <w:tr w:rsidR="00EC08E4" w:rsidRPr="00723081" w14:paraId="403B0ED9" w14:textId="77777777" w:rsidTr="00667C76">
        <w:tc>
          <w:tcPr>
            <w:tcW w:w="1788" w:type="dxa"/>
          </w:tcPr>
          <w:p w14:paraId="585A4AB3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Readmission with pulmonary diagnosis</w:t>
            </w:r>
          </w:p>
        </w:tc>
        <w:tc>
          <w:tcPr>
            <w:tcW w:w="1290" w:type="dxa"/>
          </w:tcPr>
          <w:p w14:paraId="1AF089C6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10 (13.9%)</w:t>
            </w:r>
          </w:p>
        </w:tc>
        <w:tc>
          <w:tcPr>
            <w:tcW w:w="1615" w:type="dxa"/>
          </w:tcPr>
          <w:p w14:paraId="18E2351E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311 (9.3%)</w:t>
            </w:r>
          </w:p>
        </w:tc>
        <w:tc>
          <w:tcPr>
            <w:tcW w:w="1437" w:type="dxa"/>
          </w:tcPr>
          <w:p w14:paraId="391C7E9D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1.69 (0.90, 3.18)</w:t>
            </w:r>
          </w:p>
        </w:tc>
        <w:tc>
          <w:tcPr>
            <w:tcW w:w="1806" w:type="dxa"/>
          </w:tcPr>
          <w:p w14:paraId="15322827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sHR 1.26 (0.64, 2.51)</w:t>
            </w:r>
          </w:p>
        </w:tc>
      </w:tr>
      <w:tr w:rsidR="00EC08E4" w:rsidRPr="00723081" w14:paraId="5D16F99F" w14:textId="77777777" w:rsidTr="00667C76">
        <w:tc>
          <w:tcPr>
            <w:tcW w:w="1788" w:type="dxa"/>
          </w:tcPr>
          <w:p w14:paraId="34B57AE4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Readmission  on requiring mechanical ventilation</w:t>
            </w:r>
          </w:p>
        </w:tc>
        <w:tc>
          <w:tcPr>
            <w:tcW w:w="1290" w:type="dxa"/>
          </w:tcPr>
          <w:p w14:paraId="3138516C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3 (4.2%)</w:t>
            </w:r>
          </w:p>
        </w:tc>
        <w:tc>
          <w:tcPr>
            <w:tcW w:w="1615" w:type="dxa"/>
          </w:tcPr>
          <w:p w14:paraId="589878D8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98 (2.9%)</w:t>
            </w:r>
          </w:p>
        </w:tc>
        <w:tc>
          <w:tcPr>
            <w:tcW w:w="1437" w:type="dxa"/>
          </w:tcPr>
          <w:p w14:paraId="6C60E3C9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1.55 (0.49, 4.88)</w:t>
            </w:r>
          </w:p>
        </w:tc>
        <w:tc>
          <w:tcPr>
            <w:tcW w:w="1806" w:type="dxa"/>
          </w:tcPr>
          <w:p w14:paraId="5C0F96BF" w14:textId="77777777" w:rsidR="00EC08E4" w:rsidRPr="00723081" w:rsidRDefault="00EC08E4" w:rsidP="006535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3081">
              <w:rPr>
                <w:rFonts w:ascii="Times New Roman" w:hAnsi="Times New Roman" w:cs="Times New Roman"/>
                <w:sz w:val="24"/>
                <w:szCs w:val="24"/>
              </w:rPr>
              <w:t>sHR 1.06 (0.31, 3.69)</w:t>
            </w:r>
          </w:p>
        </w:tc>
      </w:tr>
    </w:tbl>
    <w:p w14:paraId="5573399A" w14:textId="77777777" w:rsidR="00EC08E4" w:rsidRPr="00723081" w:rsidRDefault="00EC08E4" w:rsidP="00EC08E4">
      <w:pPr>
        <w:rPr>
          <w:rFonts w:ascii="Times New Roman" w:hAnsi="Times New Roman" w:cs="Times New Roman"/>
          <w:b/>
        </w:rPr>
      </w:pPr>
    </w:p>
    <w:sectPr w:rsidR="00EC08E4" w:rsidRPr="00723081" w:rsidSect="008513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doNotDisplayPageBoundaries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E4"/>
    <w:rsid w:val="00030BCD"/>
    <w:rsid w:val="000643B7"/>
    <w:rsid w:val="000C55BE"/>
    <w:rsid w:val="000F43C3"/>
    <w:rsid w:val="00104F38"/>
    <w:rsid w:val="00137A26"/>
    <w:rsid w:val="00157D47"/>
    <w:rsid w:val="001716A5"/>
    <w:rsid w:val="00192284"/>
    <w:rsid w:val="001B55CC"/>
    <w:rsid w:val="001E7F23"/>
    <w:rsid w:val="001F11C3"/>
    <w:rsid w:val="00221CAA"/>
    <w:rsid w:val="00280F0C"/>
    <w:rsid w:val="002C64DB"/>
    <w:rsid w:val="002C70EF"/>
    <w:rsid w:val="003173DA"/>
    <w:rsid w:val="00327064"/>
    <w:rsid w:val="003522A7"/>
    <w:rsid w:val="00354684"/>
    <w:rsid w:val="003C0949"/>
    <w:rsid w:val="003C26CD"/>
    <w:rsid w:val="003E6CD8"/>
    <w:rsid w:val="003E6DB1"/>
    <w:rsid w:val="003E7CF0"/>
    <w:rsid w:val="003F5634"/>
    <w:rsid w:val="00405836"/>
    <w:rsid w:val="004A2370"/>
    <w:rsid w:val="004A7195"/>
    <w:rsid w:val="004B13F2"/>
    <w:rsid w:val="004B20C4"/>
    <w:rsid w:val="005051F0"/>
    <w:rsid w:val="005118E2"/>
    <w:rsid w:val="005169DF"/>
    <w:rsid w:val="005934C0"/>
    <w:rsid w:val="005A1CD4"/>
    <w:rsid w:val="00621A7D"/>
    <w:rsid w:val="00641937"/>
    <w:rsid w:val="00665B80"/>
    <w:rsid w:val="00667C76"/>
    <w:rsid w:val="0067354B"/>
    <w:rsid w:val="006861F5"/>
    <w:rsid w:val="006B1684"/>
    <w:rsid w:val="006C5B99"/>
    <w:rsid w:val="00715C5B"/>
    <w:rsid w:val="00723081"/>
    <w:rsid w:val="00746B12"/>
    <w:rsid w:val="00756B6C"/>
    <w:rsid w:val="0077289A"/>
    <w:rsid w:val="00780830"/>
    <w:rsid w:val="007B2C3F"/>
    <w:rsid w:val="007B580B"/>
    <w:rsid w:val="007F02BE"/>
    <w:rsid w:val="00806BED"/>
    <w:rsid w:val="008513C2"/>
    <w:rsid w:val="008A32D5"/>
    <w:rsid w:val="008B1DD2"/>
    <w:rsid w:val="009117D3"/>
    <w:rsid w:val="00913A12"/>
    <w:rsid w:val="009224B2"/>
    <w:rsid w:val="009405F3"/>
    <w:rsid w:val="00941759"/>
    <w:rsid w:val="00947E8D"/>
    <w:rsid w:val="009B0E8D"/>
    <w:rsid w:val="009D7CAC"/>
    <w:rsid w:val="009E2D7A"/>
    <w:rsid w:val="009F4776"/>
    <w:rsid w:val="009F6ED7"/>
    <w:rsid w:val="009F792F"/>
    <w:rsid w:val="00A43CB0"/>
    <w:rsid w:val="00A85F9C"/>
    <w:rsid w:val="00AB29F1"/>
    <w:rsid w:val="00AC6C3F"/>
    <w:rsid w:val="00AF16E1"/>
    <w:rsid w:val="00B0751F"/>
    <w:rsid w:val="00B319C0"/>
    <w:rsid w:val="00BB0A97"/>
    <w:rsid w:val="00BC39AC"/>
    <w:rsid w:val="00BE730A"/>
    <w:rsid w:val="00C20FBF"/>
    <w:rsid w:val="00C867A0"/>
    <w:rsid w:val="00C946B4"/>
    <w:rsid w:val="00CC1E48"/>
    <w:rsid w:val="00D107E5"/>
    <w:rsid w:val="00D12A0A"/>
    <w:rsid w:val="00D82624"/>
    <w:rsid w:val="00DE2585"/>
    <w:rsid w:val="00DF2BD7"/>
    <w:rsid w:val="00E2263D"/>
    <w:rsid w:val="00E37BA2"/>
    <w:rsid w:val="00E802BA"/>
    <w:rsid w:val="00E85A99"/>
    <w:rsid w:val="00EC08E4"/>
    <w:rsid w:val="00F105CC"/>
    <w:rsid w:val="00F12C18"/>
    <w:rsid w:val="00F53183"/>
    <w:rsid w:val="00F63E48"/>
    <w:rsid w:val="00F829B1"/>
    <w:rsid w:val="00F82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B0383B8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C08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08E4"/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08E4"/>
    <w:rPr>
      <w:rFonts w:ascii="Times New Roman" w:hAnsi="Times New Roman"/>
      <w:sz w:val="20"/>
      <w:szCs w:val="20"/>
    </w:rPr>
  </w:style>
  <w:style w:type="table" w:styleId="TableGrid">
    <w:name w:val="Table Grid"/>
    <w:basedOn w:val="TableNormal"/>
    <w:uiPriority w:val="59"/>
    <w:rsid w:val="00EC08E4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208</Words>
  <Characters>1191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Cordelie Witt</dc:creator>
  <cp:keywords/>
  <dc:description/>
  <cp:lastModifiedBy>Cordelie Witt</cp:lastModifiedBy>
  <cp:revision>4</cp:revision>
  <dcterms:created xsi:type="dcterms:W3CDTF">2017-06-08T21:15:00Z</dcterms:created>
  <dcterms:modified xsi:type="dcterms:W3CDTF">2017-06-08T23:09:00Z</dcterms:modified>
</cp:coreProperties>
</file>